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84374" w14:textId="77777777" w:rsidR="005D608C" w:rsidRPr="009A318D" w:rsidRDefault="005D608C" w:rsidP="005D608C">
      <w:pPr>
        <w:rPr>
          <w:rFonts w:ascii="仿宋_GB2312" w:eastAsia="仿宋_GB2312" w:hint="eastAsia"/>
          <w:sz w:val="30"/>
          <w:szCs w:val="30"/>
        </w:rPr>
      </w:pPr>
      <w:r w:rsidRPr="009A318D">
        <w:rPr>
          <w:rFonts w:ascii="仿宋_GB2312" w:eastAsia="仿宋_GB2312" w:hint="eastAsia"/>
          <w:sz w:val="30"/>
          <w:szCs w:val="30"/>
        </w:rPr>
        <w:t>附件1</w:t>
      </w:r>
      <w:r>
        <w:rPr>
          <w:rFonts w:ascii="仿宋_GB2312" w:eastAsia="仿宋_GB2312" w:hint="eastAsia"/>
          <w:sz w:val="30"/>
          <w:szCs w:val="30"/>
        </w:rPr>
        <w:t>：</w:t>
      </w:r>
    </w:p>
    <w:p w14:paraId="1C308A97" w14:textId="77777777" w:rsidR="005D608C" w:rsidRPr="005A0394" w:rsidRDefault="005D608C" w:rsidP="005D608C">
      <w:pPr>
        <w:pStyle w:val="2"/>
        <w:rPr>
          <w:rFonts w:ascii="仿宋_GB2312" w:eastAsia="仿宋_GB2312" w:hAnsi="Times New Roman" w:hint="eastAsia"/>
          <w:sz w:val="30"/>
          <w:szCs w:val="30"/>
        </w:rPr>
      </w:pPr>
      <w:proofErr w:type="spellStart"/>
      <w:r w:rsidRPr="005A0394">
        <w:rPr>
          <w:rFonts w:ascii="仿宋_GB2312" w:eastAsia="仿宋_GB2312" w:hAnsi="Times New Roman" w:hint="eastAsia"/>
          <w:sz w:val="30"/>
          <w:szCs w:val="30"/>
        </w:rPr>
        <w:t>永续票据</w:t>
      </w:r>
      <w:bookmarkStart w:id="0" w:name="_GoBack"/>
      <w:bookmarkEnd w:id="0"/>
      <w:r w:rsidRPr="005A0394">
        <w:rPr>
          <w:rFonts w:ascii="仿宋_GB2312" w:eastAsia="仿宋_GB2312" w:hAnsi="Times New Roman" w:hint="eastAsia"/>
          <w:sz w:val="30"/>
          <w:szCs w:val="30"/>
        </w:rPr>
        <w:t>Y表补充要件</w:t>
      </w:r>
      <w:proofErr w:type="spellEnd"/>
    </w:p>
    <w:tbl>
      <w:tblPr>
        <w:tblW w:w="8521" w:type="dxa"/>
        <w:jc w:val="center"/>
        <w:tblLook w:val="04A0" w:firstRow="1" w:lastRow="0" w:firstColumn="1" w:lastColumn="0" w:noHBand="0" w:noVBand="1"/>
      </w:tblPr>
      <w:tblGrid>
        <w:gridCol w:w="1063"/>
        <w:gridCol w:w="5854"/>
        <w:gridCol w:w="848"/>
        <w:gridCol w:w="756"/>
      </w:tblGrid>
      <w:tr w:rsidR="005D608C" w:rsidRPr="009A318D" w14:paraId="172115DB" w14:textId="77777777" w:rsidTr="009A318D">
        <w:trPr>
          <w:trHeight w:val="270"/>
          <w:jc w:val="center"/>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18758" w14:textId="77777777" w:rsidR="005D608C" w:rsidRPr="009A318D" w:rsidRDefault="005D608C" w:rsidP="009A318D">
            <w:pPr>
              <w:jc w:val="center"/>
              <w:rPr>
                <w:rFonts w:ascii="仿宋_GB2312" w:eastAsia="仿宋_GB2312" w:hint="eastAsia"/>
                <w:b/>
              </w:rPr>
            </w:pPr>
            <w:r w:rsidRPr="005A0394">
              <w:rPr>
                <w:rFonts w:ascii="仿宋_GB2312" w:eastAsia="仿宋_GB2312" w:hint="eastAsia"/>
                <w:b/>
              </w:rPr>
              <w:t>序号</w:t>
            </w:r>
          </w:p>
        </w:tc>
        <w:tc>
          <w:tcPr>
            <w:tcW w:w="5854" w:type="dxa"/>
            <w:tcBorders>
              <w:top w:val="single" w:sz="4" w:space="0" w:color="auto"/>
              <w:left w:val="nil"/>
              <w:bottom w:val="single" w:sz="4" w:space="0" w:color="auto"/>
              <w:right w:val="single" w:sz="4" w:space="0" w:color="auto"/>
            </w:tcBorders>
            <w:shd w:val="clear" w:color="auto" w:fill="auto"/>
            <w:vAlign w:val="center"/>
            <w:hideMark/>
          </w:tcPr>
          <w:p w14:paraId="25F1EF32" w14:textId="77777777" w:rsidR="005D608C" w:rsidRPr="009A318D" w:rsidRDefault="005D608C" w:rsidP="009A318D">
            <w:pPr>
              <w:jc w:val="center"/>
              <w:rPr>
                <w:rFonts w:ascii="仿宋_GB2312" w:eastAsia="仿宋_GB2312" w:hint="eastAsia"/>
                <w:b/>
              </w:rPr>
            </w:pPr>
            <w:r w:rsidRPr="005A0394">
              <w:rPr>
                <w:rFonts w:ascii="仿宋_GB2312" w:eastAsia="仿宋_GB2312" w:hint="eastAsia"/>
                <w:b/>
              </w:rPr>
              <w:t>补充要件</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D721BCB" w14:textId="77777777" w:rsidR="005D608C" w:rsidRPr="009A318D" w:rsidRDefault="005D608C" w:rsidP="009A318D">
            <w:pPr>
              <w:jc w:val="center"/>
              <w:rPr>
                <w:rFonts w:ascii="仿宋_GB2312" w:eastAsia="仿宋_GB2312" w:hint="eastAsia"/>
                <w:b/>
              </w:rPr>
            </w:pPr>
            <w:r w:rsidRPr="005A0394">
              <w:rPr>
                <w:rFonts w:ascii="仿宋_GB2312" w:eastAsia="仿宋_GB2312" w:hint="eastAsia"/>
                <w:b/>
              </w:rPr>
              <w:t>选项</w:t>
            </w:r>
          </w:p>
        </w:tc>
        <w:tc>
          <w:tcPr>
            <w:tcW w:w="756" w:type="dxa"/>
            <w:tcBorders>
              <w:top w:val="single" w:sz="4" w:space="0" w:color="auto"/>
              <w:left w:val="nil"/>
              <w:bottom w:val="single" w:sz="4" w:space="0" w:color="auto"/>
              <w:right w:val="single" w:sz="4" w:space="0" w:color="auto"/>
            </w:tcBorders>
            <w:shd w:val="clear" w:color="auto" w:fill="auto"/>
            <w:vAlign w:val="center"/>
            <w:hideMark/>
          </w:tcPr>
          <w:p w14:paraId="2DA1114A" w14:textId="77777777" w:rsidR="005D608C" w:rsidRPr="009A318D" w:rsidRDefault="005D608C" w:rsidP="009A318D">
            <w:pPr>
              <w:jc w:val="center"/>
              <w:rPr>
                <w:rFonts w:ascii="仿宋_GB2312" w:eastAsia="仿宋_GB2312" w:hint="eastAsia"/>
                <w:b/>
              </w:rPr>
            </w:pPr>
            <w:r w:rsidRPr="005A0394">
              <w:rPr>
                <w:rFonts w:ascii="仿宋_GB2312" w:eastAsia="仿宋_GB2312" w:hint="eastAsia"/>
                <w:b/>
              </w:rPr>
              <w:t>备注</w:t>
            </w:r>
          </w:p>
        </w:tc>
      </w:tr>
      <w:tr w:rsidR="005D608C" w:rsidRPr="009A318D" w14:paraId="13A4EFA4" w14:textId="77777777" w:rsidTr="009A318D">
        <w:trPr>
          <w:trHeight w:val="270"/>
          <w:jc w:val="center"/>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B504175" w14:textId="77777777" w:rsidR="005D608C" w:rsidRPr="009A318D" w:rsidRDefault="005D608C" w:rsidP="009A318D">
            <w:pPr>
              <w:jc w:val="center"/>
              <w:rPr>
                <w:rFonts w:ascii="仿宋_GB2312" w:eastAsia="仿宋_GB2312" w:hint="eastAsia"/>
                <w:b/>
              </w:rPr>
            </w:pPr>
            <w:r w:rsidRPr="009A318D">
              <w:rPr>
                <w:rFonts w:ascii="仿宋_GB2312" w:eastAsia="仿宋_GB2312" w:hint="eastAsia"/>
                <w:b/>
                <w:bCs/>
              </w:rPr>
              <w:t>1</w:t>
            </w:r>
          </w:p>
        </w:tc>
        <w:tc>
          <w:tcPr>
            <w:tcW w:w="5854" w:type="dxa"/>
            <w:tcBorders>
              <w:top w:val="single" w:sz="4" w:space="0" w:color="auto"/>
              <w:left w:val="nil"/>
              <w:bottom w:val="single" w:sz="4" w:space="0" w:color="auto"/>
              <w:right w:val="single" w:sz="4" w:space="0" w:color="auto"/>
            </w:tcBorders>
            <w:shd w:val="clear" w:color="auto" w:fill="auto"/>
            <w:vAlign w:val="center"/>
          </w:tcPr>
          <w:p w14:paraId="00EC099D" w14:textId="77777777" w:rsidR="005D608C" w:rsidRPr="009A318D" w:rsidRDefault="005D608C" w:rsidP="009A318D">
            <w:pPr>
              <w:rPr>
                <w:rFonts w:ascii="仿宋_GB2312" w:eastAsia="仿宋_GB2312" w:hint="eastAsia"/>
              </w:rPr>
            </w:pPr>
            <w:r w:rsidRPr="009A318D">
              <w:rPr>
                <w:rFonts w:ascii="仿宋_GB2312" w:eastAsia="仿宋_GB2312" w:hint="eastAsia"/>
              </w:rPr>
              <w:t>会计师事务所关于永续票据会计处理的说明性文件</w:t>
            </w:r>
          </w:p>
        </w:tc>
        <w:tc>
          <w:tcPr>
            <w:tcW w:w="848" w:type="dxa"/>
            <w:tcBorders>
              <w:top w:val="single" w:sz="4" w:space="0" w:color="auto"/>
              <w:left w:val="nil"/>
              <w:bottom w:val="single" w:sz="4" w:space="0" w:color="auto"/>
              <w:right w:val="single" w:sz="4" w:space="0" w:color="auto"/>
            </w:tcBorders>
            <w:shd w:val="clear" w:color="auto" w:fill="auto"/>
            <w:vAlign w:val="center"/>
          </w:tcPr>
          <w:p w14:paraId="7A3972EB" w14:textId="77777777" w:rsidR="005D608C" w:rsidRPr="009A318D" w:rsidRDefault="005D608C" w:rsidP="009A318D">
            <w:pPr>
              <w:jc w:val="center"/>
              <w:rPr>
                <w:rFonts w:ascii="仿宋_GB2312" w:eastAsia="仿宋_GB2312" w:hint="eastAsia"/>
                <w:b/>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08FAABFE" w14:textId="77777777" w:rsidR="005D608C" w:rsidRPr="009A318D" w:rsidRDefault="005D608C" w:rsidP="009A318D">
            <w:pPr>
              <w:jc w:val="center"/>
              <w:rPr>
                <w:rFonts w:ascii="仿宋_GB2312" w:eastAsia="仿宋_GB2312" w:hint="eastAsia"/>
                <w:b/>
              </w:rPr>
            </w:pPr>
          </w:p>
        </w:tc>
      </w:tr>
      <w:tr w:rsidR="005D608C" w:rsidRPr="009A318D" w14:paraId="26BBEBAB" w14:textId="77777777" w:rsidTr="009A318D">
        <w:trPr>
          <w:trHeight w:val="137"/>
          <w:jc w:val="center"/>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98A1B2E" w14:textId="77777777" w:rsidR="005D608C" w:rsidRPr="009A318D" w:rsidRDefault="005D608C" w:rsidP="009A318D">
            <w:pPr>
              <w:jc w:val="center"/>
              <w:rPr>
                <w:rFonts w:ascii="仿宋_GB2312" w:eastAsia="仿宋_GB2312" w:hint="eastAsia"/>
                <w:b/>
              </w:rPr>
            </w:pPr>
            <w:r w:rsidRPr="009A318D">
              <w:rPr>
                <w:rFonts w:ascii="仿宋_GB2312" w:eastAsia="仿宋_GB2312" w:hint="eastAsia"/>
                <w:b/>
                <w:bCs/>
              </w:rPr>
              <w:t>2</w:t>
            </w:r>
          </w:p>
        </w:tc>
        <w:tc>
          <w:tcPr>
            <w:tcW w:w="5854" w:type="dxa"/>
            <w:tcBorders>
              <w:top w:val="single" w:sz="4" w:space="0" w:color="auto"/>
              <w:left w:val="nil"/>
              <w:bottom w:val="single" w:sz="4" w:space="0" w:color="auto"/>
              <w:right w:val="single" w:sz="4" w:space="0" w:color="auto"/>
            </w:tcBorders>
            <w:shd w:val="clear" w:color="auto" w:fill="auto"/>
            <w:vAlign w:val="center"/>
          </w:tcPr>
          <w:p w14:paraId="02417AD2" w14:textId="77777777" w:rsidR="005D608C" w:rsidRPr="009A318D" w:rsidRDefault="005D608C" w:rsidP="009A318D">
            <w:pPr>
              <w:rPr>
                <w:rFonts w:ascii="仿宋_GB2312" w:eastAsia="仿宋_GB2312" w:hint="eastAsia"/>
              </w:rPr>
            </w:pPr>
            <w:r w:rsidRPr="005A0394">
              <w:rPr>
                <w:rFonts w:ascii="仿宋_GB2312" w:eastAsia="仿宋_GB2312" w:hint="eastAsia"/>
              </w:rPr>
              <w:t>资金监管协议（募集资金用于项目资本金）</w:t>
            </w:r>
          </w:p>
        </w:tc>
        <w:tc>
          <w:tcPr>
            <w:tcW w:w="848" w:type="dxa"/>
            <w:tcBorders>
              <w:top w:val="single" w:sz="4" w:space="0" w:color="auto"/>
              <w:left w:val="nil"/>
              <w:bottom w:val="single" w:sz="4" w:space="0" w:color="auto"/>
              <w:right w:val="single" w:sz="4" w:space="0" w:color="auto"/>
            </w:tcBorders>
            <w:shd w:val="clear" w:color="auto" w:fill="auto"/>
            <w:vAlign w:val="center"/>
          </w:tcPr>
          <w:p w14:paraId="25118C3A" w14:textId="77777777" w:rsidR="005D608C" w:rsidRPr="009A318D" w:rsidRDefault="005D608C" w:rsidP="009A318D">
            <w:pPr>
              <w:jc w:val="center"/>
              <w:rPr>
                <w:rFonts w:ascii="仿宋_GB2312" w:eastAsia="仿宋_GB2312" w:hint="eastAsia"/>
                <w:b/>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2D3D60EB" w14:textId="77777777" w:rsidR="005D608C" w:rsidRPr="009A318D" w:rsidRDefault="005D608C" w:rsidP="009A318D">
            <w:pPr>
              <w:jc w:val="center"/>
              <w:rPr>
                <w:rFonts w:ascii="仿宋_GB2312" w:eastAsia="仿宋_GB2312" w:hint="eastAsia"/>
                <w:b/>
              </w:rPr>
            </w:pPr>
          </w:p>
        </w:tc>
      </w:tr>
      <w:tr w:rsidR="005D608C" w:rsidRPr="009A318D" w14:paraId="79A294EB" w14:textId="77777777" w:rsidTr="009A318D">
        <w:trPr>
          <w:trHeight w:val="369"/>
          <w:jc w:val="center"/>
        </w:trPr>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24CBFDD" w14:textId="77777777" w:rsidR="005D608C" w:rsidRPr="009A318D" w:rsidRDefault="005D608C" w:rsidP="009A318D">
            <w:pPr>
              <w:jc w:val="center"/>
              <w:rPr>
                <w:rFonts w:ascii="仿宋_GB2312" w:eastAsia="仿宋_GB2312" w:hint="eastAsia"/>
                <w:b/>
                <w:bCs/>
              </w:rPr>
            </w:pPr>
            <w:r w:rsidRPr="009A318D">
              <w:rPr>
                <w:rFonts w:ascii="仿宋_GB2312" w:eastAsia="仿宋_GB2312" w:hint="eastAsia"/>
                <w:b/>
                <w:bCs/>
              </w:rPr>
              <w:t>3</w:t>
            </w:r>
          </w:p>
        </w:tc>
        <w:tc>
          <w:tcPr>
            <w:tcW w:w="5854" w:type="dxa"/>
            <w:tcBorders>
              <w:top w:val="single" w:sz="4" w:space="0" w:color="auto"/>
              <w:left w:val="nil"/>
              <w:bottom w:val="single" w:sz="4" w:space="0" w:color="auto"/>
              <w:right w:val="single" w:sz="4" w:space="0" w:color="auto"/>
            </w:tcBorders>
            <w:shd w:val="clear" w:color="auto" w:fill="auto"/>
            <w:vAlign w:val="center"/>
          </w:tcPr>
          <w:p w14:paraId="2569325D" w14:textId="77777777" w:rsidR="005D608C" w:rsidRPr="009A318D" w:rsidRDefault="005D608C" w:rsidP="009A318D">
            <w:pPr>
              <w:rPr>
                <w:rFonts w:ascii="仿宋_GB2312" w:eastAsia="仿宋_GB2312" w:hint="eastAsia"/>
              </w:rPr>
            </w:pPr>
            <w:r w:rsidRPr="005A0394">
              <w:rPr>
                <w:rFonts w:ascii="仿宋_GB2312" w:eastAsia="仿宋_GB2312" w:hint="eastAsia"/>
              </w:rPr>
              <w:t>项目批复文件复印件加盖公章（募集资金用于项目资本金）</w:t>
            </w:r>
          </w:p>
        </w:tc>
        <w:tc>
          <w:tcPr>
            <w:tcW w:w="848" w:type="dxa"/>
            <w:tcBorders>
              <w:top w:val="single" w:sz="4" w:space="0" w:color="auto"/>
              <w:left w:val="nil"/>
              <w:bottom w:val="single" w:sz="4" w:space="0" w:color="auto"/>
              <w:right w:val="single" w:sz="4" w:space="0" w:color="auto"/>
            </w:tcBorders>
            <w:shd w:val="clear" w:color="auto" w:fill="auto"/>
            <w:vAlign w:val="center"/>
          </w:tcPr>
          <w:p w14:paraId="4FBDF2A6" w14:textId="77777777" w:rsidR="005D608C" w:rsidRPr="009A318D" w:rsidRDefault="005D608C" w:rsidP="009A318D">
            <w:pPr>
              <w:jc w:val="center"/>
              <w:rPr>
                <w:rFonts w:ascii="仿宋_GB2312" w:eastAsia="仿宋_GB2312" w:hint="eastAsia"/>
                <w:b/>
              </w:rPr>
            </w:pPr>
          </w:p>
        </w:tc>
        <w:tc>
          <w:tcPr>
            <w:tcW w:w="756" w:type="dxa"/>
            <w:tcBorders>
              <w:top w:val="single" w:sz="4" w:space="0" w:color="auto"/>
              <w:left w:val="nil"/>
              <w:bottom w:val="single" w:sz="4" w:space="0" w:color="auto"/>
              <w:right w:val="single" w:sz="4" w:space="0" w:color="auto"/>
            </w:tcBorders>
            <w:shd w:val="clear" w:color="auto" w:fill="auto"/>
            <w:vAlign w:val="center"/>
          </w:tcPr>
          <w:p w14:paraId="4512B47A" w14:textId="77777777" w:rsidR="005D608C" w:rsidRPr="009A318D" w:rsidRDefault="005D608C" w:rsidP="009A318D">
            <w:pPr>
              <w:jc w:val="center"/>
              <w:rPr>
                <w:rFonts w:ascii="仿宋_GB2312" w:eastAsia="仿宋_GB2312" w:hint="eastAsia"/>
                <w:b/>
              </w:rPr>
            </w:pPr>
          </w:p>
        </w:tc>
      </w:tr>
    </w:tbl>
    <w:p w14:paraId="6D37EB16" w14:textId="77777777" w:rsidR="005D608C" w:rsidRPr="009A318D" w:rsidRDefault="005D608C" w:rsidP="005D608C">
      <w:pPr>
        <w:pStyle w:val="3"/>
        <w:rPr>
          <w:rFonts w:ascii="仿宋_GB2312" w:eastAsia="仿宋_GB2312" w:hint="eastAsia"/>
          <w:sz w:val="30"/>
          <w:szCs w:val="30"/>
        </w:rPr>
      </w:pPr>
      <w:r w:rsidRPr="005A0394">
        <w:rPr>
          <w:rFonts w:ascii="仿宋_GB2312" w:eastAsia="仿宋_GB2312" w:hint="eastAsia"/>
          <w:sz w:val="30"/>
          <w:szCs w:val="30"/>
        </w:rPr>
        <w:t>MC.2表（永续票据信息披露</w:t>
      </w:r>
      <w:r w:rsidRPr="009A318D">
        <w:rPr>
          <w:rFonts w:ascii="仿宋_GB2312" w:eastAsia="仿宋_GB2312" w:hint="eastAsia"/>
          <w:sz w:val="30"/>
          <w:szCs w:val="30"/>
        </w:rPr>
        <w:t>表</w:t>
      </w:r>
      <w:r w:rsidRPr="009A318D">
        <w:rPr>
          <w:rStyle w:val="a9"/>
          <w:rFonts w:ascii="仿宋_GB2312" w:eastAsia="仿宋_GB2312" w:hint="eastAsia"/>
          <w:sz w:val="30"/>
          <w:szCs w:val="30"/>
        </w:rPr>
        <w:footnoteReference w:id="1"/>
      </w:r>
      <w:r w:rsidRPr="009A318D">
        <w:rPr>
          <w:rFonts w:ascii="仿宋_GB2312" w:eastAsia="仿宋_GB2312" w:hint="eastAsia"/>
          <w:sz w:val="30"/>
          <w:szCs w:val="30"/>
        </w:rPr>
        <w:t>）</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5521"/>
        <w:gridCol w:w="851"/>
        <w:gridCol w:w="709"/>
      </w:tblGrid>
      <w:tr w:rsidR="005D608C" w:rsidRPr="009A318D" w14:paraId="39E57840" w14:textId="77777777" w:rsidTr="009A318D">
        <w:trPr>
          <w:trHeight w:val="270"/>
          <w:tblHeader/>
          <w:jc w:val="center"/>
        </w:trPr>
        <w:tc>
          <w:tcPr>
            <w:tcW w:w="1529" w:type="dxa"/>
            <w:shd w:val="clear" w:color="auto" w:fill="auto"/>
            <w:vAlign w:val="center"/>
            <w:hideMark/>
          </w:tcPr>
          <w:p w14:paraId="1542A49B" w14:textId="77777777" w:rsidR="005D608C" w:rsidRPr="005A0394" w:rsidRDefault="005D608C" w:rsidP="009A318D">
            <w:pPr>
              <w:jc w:val="center"/>
              <w:rPr>
                <w:rFonts w:ascii="仿宋_GB2312" w:eastAsia="仿宋_GB2312" w:hint="eastAsia"/>
                <w:b/>
              </w:rPr>
            </w:pPr>
            <w:r w:rsidRPr="005A0394">
              <w:rPr>
                <w:rFonts w:ascii="仿宋_GB2312" w:eastAsia="仿宋_GB2312" w:hint="eastAsia"/>
                <w:b/>
              </w:rPr>
              <w:t>序号</w:t>
            </w:r>
          </w:p>
        </w:tc>
        <w:tc>
          <w:tcPr>
            <w:tcW w:w="5521" w:type="dxa"/>
            <w:shd w:val="clear" w:color="auto" w:fill="auto"/>
            <w:vAlign w:val="center"/>
            <w:hideMark/>
          </w:tcPr>
          <w:p w14:paraId="38B17A4B" w14:textId="77777777" w:rsidR="005D608C" w:rsidRPr="005A0394" w:rsidRDefault="005D608C" w:rsidP="009A318D">
            <w:pPr>
              <w:jc w:val="center"/>
              <w:rPr>
                <w:rFonts w:ascii="仿宋_GB2312" w:eastAsia="仿宋_GB2312" w:hint="eastAsia"/>
                <w:b/>
              </w:rPr>
            </w:pPr>
            <w:r w:rsidRPr="005A0394">
              <w:rPr>
                <w:rFonts w:ascii="仿宋_GB2312" w:eastAsia="仿宋_GB2312" w:hint="eastAsia"/>
                <w:b/>
              </w:rPr>
              <w:t>信息披露要点</w:t>
            </w:r>
          </w:p>
        </w:tc>
        <w:tc>
          <w:tcPr>
            <w:tcW w:w="851" w:type="dxa"/>
            <w:shd w:val="clear" w:color="auto" w:fill="auto"/>
            <w:vAlign w:val="center"/>
            <w:hideMark/>
          </w:tcPr>
          <w:p w14:paraId="0BAD5AA1" w14:textId="77777777" w:rsidR="005D608C" w:rsidRPr="005A0394" w:rsidRDefault="005D608C" w:rsidP="009A318D">
            <w:pPr>
              <w:jc w:val="center"/>
              <w:rPr>
                <w:rFonts w:ascii="仿宋_GB2312" w:eastAsia="仿宋_GB2312" w:hint="eastAsia"/>
                <w:b/>
              </w:rPr>
            </w:pPr>
            <w:r w:rsidRPr="005A0394">
              <w:rPr>
                <w:rFonts w:ascii="仿宋_GB2312" w:eastAsia="仿宋_GB2312" w:hint="eastAsia"/>
                <w:b/>
              </w:rPr>
              <w:t>页码</w:t>
            </w:r>
          </w:p>
        </w:tc>
        <w:tc>
          <w:tcPr>
            <w:tcW w:w="709" w:type="dxa"/>
            <w:shd w:val="clear" w:color="auto" w:fill="auto"/>
            <w:vAlign w:val="center"/>
            <w:hideMark/>
          </w:tcPr>
          <w:p w14:paraId="147A7BA0" w14:textId="77777777" w:rsidR="005D608C" w:rsidRPr="005A0394" w:rsidRDefault="005D608C" w:rsidP="009A318D">
            <w:pPr>
              <w:jc w:val="center"/>
              <w:rPr>
                <w:rFonts w:ascii="仿宋_GB2312" w:eastAsia="仿宋_GB2312" w:hint="eastAsia"/>
                <w:b/>
              </w:rPr>
            </w:pPr>
            <w:r w:rsidRPr="005A0394">
              <w:rPr>
                <w:rFonts w:ascii="仿宋_GB2312" w:eastAsia="仿宋_GB2312" w:hint="eastAsia"/>
                <w:b/>
              </w:rPr>
              <w:t>备注</w:t>
            </w:r>
          </w:p>
        </w:tc>
      </w:tr>
      <w:tr w:rsidR="005D608C" w:rsidRPr="009A318D" w14:paraId="4CC6380D" w14:textId="77777777" w:rsidTr="009A318D">
        <w:trPr>
          <w:trHeight w:val="270"/>
          <w:jc w:val="center"/>
        </w:trPr>
        <w:tc>
          <w:tcPr>
            <w:tcW w:w="1529" w:type="dxa"/>
            <w:vMerge w:val="restart"/>
            <w:shd w:val="clear" w:color="auto" w:fill="auto"/>
            <w:vAlign w:val="center"/>
          </w:tcPr>
          <w:p w14:paraId="334301E6" w14:textId="77777777" w:rsidR="005D608C" w:rsidRPr="009A318D" w:rsidRDefault="005D608C" w:rsidP="009A318D">
            <w:pPr>
              <w:jc w:val="center"/>
              <w:rPr>
                <w:rFonts w:ascii="仿宋_GB2312" w:eastAsia="仿宋_GB2312" w:hint="eastAsia"/>
                <w:b/>
              </w:rPr>
            </w:pPr>
            <w:r w:rsidRPr="009A318D">
              <w:rPr>
                <w:rFonts w:ascii="仿宋_GB2312" w:eastAsia="仿宋_GB2312" w:hint="eastAsia"/>
                <w:b/>
                <w:bCs/>
                <w:szCs w:val="18"/>
              </w:rPr>
              <w:t>MC</w:t>
            </w:r>
            <w:r w:rsidRPr="009A318D">
              <w:rPr>
                <w:rFonts w:ascii="仿宋_GB2312" w:eastAsia="仿宋_GB2312" w:hint="eastAsia"/>
                <w:b/>
                <w:bCs/>
              </w:rPr>
              <w:t>.2-1</w:t>
            </w:r>
          </w:p>
        </w:tc>
        <w:tc>
          <w:tcPr>
            <w:tcW w:w="5521" w:type="dxa"/>
            <w:shd w:val="clear" w:color="auto" w:fill="auto"/>
            <w:vAlign w:val="center"/>
          </w:tcPr>
          <w:p w14:paraId="2CAC9572" w14:textId="77777777" w:rsidR="005D608C" w:rsidRPr="009A318D" w:rsidRDefault="005D608C" w:rsidP="009A318D">
            <w:pPr>
              <w:rPr>
                <w:rFonts w:ascii="仿宋_GB2312" w:eastAsia="仿宋_GB2312" w:hint="eastAsia"/>
                <w:b/>
              </w:rPr>
            </w:pPr>
            <w:r w:rsidRPr="005A0394">
              <w:rPr>
                <w:rFonts w:ascii="仿宋_GB2312" w:eastAsia="仿宋_GB2312" w:hint="eastAsia"/>
                <w:b/>
              </w:rPr>
              <w:t>封面</w:t>
            </w:r>
          </w:p>
        </w:tc>
        <w:tc>
          <w:tcPr>
            <w:tcW w:w="851" w:type="dxa"/>
            <w:shd w:val="clear" w:color="auto" w:fill="auto"/>
            <w:vAlign w:val="center"/>
          </w:tcPr>
          <w:p w14:paraId="73EDF56D" w14:textId="77777777" w:rsidR="005D608C" w:rsidRPr="009A318D" w:rsidRDefault="005D608C" w:rsidP="009A318D">
            <w:pPr>
              <w:jc w:val="center"/>
              <w:rPr>
                <w:rFonts w:ascii="仿宋_GB2312" w:eastAsia="仿宋_GB2312" w:hint="eastAsia"/>
                <w:b/>
              </w:rPr>
            </w:pPr>
          </w:p>
        </w:tc>
        <w:tc>
          <w:tcPr>
            <w:tcW w:w="709" w:type="dxa"/>
            <w:shd w:val="clear" w:color="auto" w:fill="auto"/>
            <w:vAlign w:val="center"/>
          </w:tcPr>
          <w:p w14:paraId="0AED4D96" w14:textId="77777777" w:rsidR="005D608C" w:rsidRPr="009A318D" w:rsidRDefault="005D608C" w:rsidP="009A318D">
            <w:pPr>
              <w:jc w:val="center"/>
              <w:rPr>
                <w:rFonts w:ascii="仿宋_GB2312" w:eastAsia="仿宋_GB2312" w:hint="eastAsia"/>
                <w:b/>
              </w:rPr>
            </w:pPr>
          </w:p>
        </w:tc>
      </w:tr>
      <w:tr w:rsidR="005D608C" w:rsidRPr="009A318D" w14:paraId="53562928" w14:textId="77777777" w:rsidTr="009A318D">
        <w:trPr>
          <w:trHeight w:val="270"/>
          <w:jc w:val="center"/>
        </w:trPr>
        <w:tc>
          <w:tcPr>
            <w:tcW w:w="1529" w:type="dxa"/>
            <w:vMerge/>
            <w:shd w:val="clear" w:color="auto" w:fill="auto"/>
            <w:vAlign w:val="center"/>
          </w:tcPr>
          <w:p w14:paraId="6B612C47" w14:textId="77777777" w:rsidR="005D608C" w:rsidRPr="009A318D" w:rsidRDefault="005D608C" w:rsidP="009A318D">
            <w:pPr>
              <w:jc w:val="center"/>
              <w:rPr>
                <w:rFonts w:ascii="仿宋_GB2312" w:eastAsia="仿宋_GB2312" w:hint="eastAsia"/>
                <w:b/>
              </w:rPr>
            </w:pPr>
          </w:p>
        </w:tc>
        <w:tc>
          <w:tcPr>
            <w:tcW w:w="5521" w:type="dxa"/>
            <w:shd w:val="clear" w:color="auto" w:fill="auto"/>
            <w:vAlign w:val="center"/>
          </w:tcPr>
          <w:p w14:paraId="09EC8CAB" w14:textId="77777777" w:rsidR="005D608C" w:rsidRPr="009A318D" w:rsidRDefault="005D608C" w:rsidP="009A318D">
            <w:pPr>
              <w:rPr>
                <w:rFonts w:ascii="仿宋_GB2312" w:eastAsia="仿宋_GB2312" w:hint="eastAsia"/>
              </w:rPr>
            </w:pPr>
            <w:r w:rsidRPr="005A0394">
              <w:rPr>
                <w:rFonts w:ascii="仿宋_GB2312" w:eastAsia="仿宋_GB2312" w:hint="eastAsia"/>
              </w:rPr>
              <w:t>发行期限：X（X</w:t>
            </w:r>
            <w:r w:rsidRPr="009A318D">
              <w:rPr>
                <w:rFonts w:ascii="仿宋_GB2312" w:eastAsia="仿宋_GB2312" w:hint="eastAsia"/>
                <w:vertAlign w:val="subscript"/>
              </w:rPr>
              <w:t>1</w:t>
            </w:r>
            <w:r w:rsidRPr="009A318D">
              <w:rPr>
                <w:rFonts w:ascii="仿宋_GB2312" w:eastAsia="仿宋_GB2312" w:hint="eastAsia"/>
              </w:rPr>
              <w:t>+X</w:t>
            </w:r>
            <w:r w:rsidRPr="009A318D">
              <w:rPr>
                <w:rFonts w:ascii="仿宋_GB2312" w:eastAsia="仿宋_GB2312" w:hint="eastAsia"/>
                <w:vertAlign w:val="subscript"/>
              </w:rPr>
              <w:t>2</w:t>
            </w:r>
            <w:r w:rsidRPr="009A318D">
              <w:rPr>
                <w:rFonts w:ascii="仿宋_GB2312" w:eastAsia="仿宋_GB2312" w:hint="eastAsia"/>
              </w:rPr>
              <w:t>……</w:t>
            </w:r>
            <w:r w:rsidRPr="005A0394">
              <w:rPr>
                <w:rFonts w:ascii="仿宋_GB2312" w:eastAsia="仿宋_GB2312" w:hint="eastAsia"/>
              </w:rPr>
              <w:t>）+N（N</w:t>
            </w:r>
            <w:r w:rsidRPr="009A318D">
              <w:rPr>
                <w:rFonts w:ascii="仿宋_GB2312" w:eastAsia="仿宋_GB2312" w:hint="eastAsia"/>
                <w:vertAlign w:val="subscript"/>
              </w:rPr>
              <w:t>1</w:t>
            </w:r>
            <w:r w:rsidRPr="005A0394">
              <w:rPr>
                <w:rFonts w:ascii="仿宋_GB2312" w:eastAsia="仿宋_GB2312" w:hint="eastAsia"/>
              </w:rPr>
              <w:t>）,</w:t>
            </w:r>
            <w:r w:rsidRPr="009A318D">
              <w:rPr>
                <w:rStyle w:val="a9"/>
                <w:rFonts w:ascii="仿宋_GB2312" w:eastAsia="仿宋_GB2312" w:hint="eastAsia"/>
              </w:rPr>
              <w:footnoteReference w:customMarkFollows="1" w:id="2"/>
              <w:t>2</w:t>
            </w:r>
            <w:r w:rsidRPr="005A0394">
              <w:rPr>
                <w:rFonts w:ascii="仿宋_GB2312" w:eastAsia="仿宋_GB2312" w:hint="eastAsia"/>
              </w:rPr>
              <w:t>在发行人依据发行条款的约定赎回时到期。有赎回日利率</w:t>
            </w:r>
            <w:proofErr w:type="gramStart"/>
            <w:r w:rsidRPr="005A0394">
              <w:rPr>
                <w:rFonts w:ascii="仿宋_GB2312" w:eastAsia="仿宋_GB2312" w:hint="eastAsia"/>
              </w:rPr>
              <w:t>不</w:t>
            </w:r>
            <w:proofErr w:type="gramEnd"/>
            <w:r w:rsidRPr="005A0394">
              <w:rPr>
                <w:rFonts w:ascii="仿宋_GB2312" w:eastAsia="仿宋_GB2312" w:hint="eastAsia"/>
              </w:rPr>
              <w:t>跃升（如有）、赎回日利率跃升幅度不同（如有）、赎回日间隔不同（如有）等情形。</w:t>
            </w:r>
          </w:p>
        </w:tc>
        <w:tc>
          <w:tcPr>
            <w:tcW w:w="851" w:type="dxa"/>
            <w:shd w:val="clear" w:color="auto" w:fill="auto"/>
            <w:vAlign w:val="center"/>
          </w:tcPr>
          <w:p w14:paraId="52DD2CC0" w14:textId="77777777" w:rsidR="005D608C" w:rsidRPr="009A318D" w:rsidRDefault="005D608C" w:rsidP="009A318D">
            <w:pPr>
              <w:jc w:val="center"/>
              <w:rPr>
                <w:rFonts w:ascii="仿宋_GB2312" w:eastAsia="仿宋_GB2312" w:hint="eastAsia"/>
                <w:b/>
              </w:rPr>
            </w:pPr>
          </w:p>
        </w:tc>
        <w:tc>
          <w:tcPr>
            <w:tcW w:w="709" w:type="dxa"/>
            <w:shd w:val="clear" w:color="auto" w:fill="auto"/>
            <w:vAlign w:val="center"/>
          </w:tcPr>
          <w:p w14:paraId="0A0A972C" w14:textId="77777777" w:rsidR="005D608C" w:rsidRPr="009A318D" w:rsidRDefault="005D608C" w:rsidP="009A318D">
            <w:pPr>
              <w:jc w:val="center"/>
              <w:rPr>
                <w:rFonts w:ascii="仿宋_GB2312" w:eastAsia="仿宋_GB2312" w:hint="eastAsia"/>
                <w:b/>
              </w:rPr>
            </w:pPr>
          </w:p>
        </w:tc>
      </w:tr>
      <w:tr w:rsidR="005D608C" w:rsidRPr="009A318D" w14:paraId="10F1A0F5" w14:textId="77777777" w:rsidTr="009A318D">
        <w:trPr>
          <w:trHeight w:val="270"/>
          <w:jc w:val="center"/>
        </w:trPr>
        <w:tc>
          <w:tcPr>
            <w:tcW w:w="1529" w:type="dxa"/>
            <w:vMerge/>
            <w:shd w:val="clear" w:color="auto" w:fill="auto"/>
            <w:vAlign w:val="center"/>
          </w:tcPr>
          <w:p w14:paraId="2B75C9E3" w14:textId="77777777" w:rsidR="005D608C" w:rsidRPr="009A318D" w:rsidRDefault="005D608C" w:rsidP="009A318D">
            <w:pPr>
              <w:jc w:val="center"/>
              <w:rPr>
                <w:rFonts w:ascii="仿宋_GB2312" w:eastAsia="仿宋_GB2312" w:hint="eastAsia"/>
                <w:b/>
              </w:rPr>
            </w:pPr>
          </w:p>
        </w:tc>
        <w:tc>
          <w:tcPr>
            <w:tcW w:w="5521" w:type="dxa"/>
            <w:shd w:val="clear" w:color="auto" w:fill="auto"/>
            <w:vAlign w:val="center"/>
          </w:tcPr>
          <w:p w14:paraId="60CEC196" w14:textId="77777777" w:rsidR="005D608C" w:rsidRPr="009A318D" w:rsidRDefault="005D608C" w:rsidP="009A318D">
            <w:pPr>
              <w:rPr>
                <w:rFonts w:ascii="仿宋_GB2312" w:eastAsia="仿宋_GB2312" w:hint="eastAsia"/>
              </w:rPr>
            </w:pPr>
            <w:r w:rsidRPr="005A0394">
              <w:rPr>
                <w:rFonts w:ascii="仿宋_GB2312" w:eastAsia="仿宋_GB2312" w:hint="eastAsia"/>
                <w:b/>
              </w:rPr>
              <w:t>扉页</w:t>
            </w:r>
          </w:p>
        </w:tc>
        <w:tc>
          <w:tcPr>
            <w:tcW w:w="851" w:type="dxa"/>
            <w:shd w:val="clear" w:color="auto" w:fill="auto"/>
            <w:vAlign w:val="center"/>
          </w:tcPr>
          <w:p w14:paraId="76E57334" w14:textId="77777777" w:rsidR="005D608C" w:rsidRPr="009A318D" w:rsidRDefault="005D608C" w:rsidP="009A318D">
            <w:pPr>
              <w:jc w:val="center"/>
              <w:rPr>
                <w:rFonts w:ascii="仿宋_GB2312" w:eastAsia="仿宋_GB2312" w:hint="eastAsia"/>
                <w:b/>
              </w:rPr>
            </w:pPr>
          </w:p>
        </w:tc>
        <w:tc>
          <w:tcPr>
            <w:tcW w:w="709" w:type="dxa"/>
            <w:shd w:val="clear" w:color="auto" w:fill="auto"/>
            <w:vAlign w:val="center"/>
          </w:tcPr>
          <w:p w14:paraId="5B817851" w14:textId="77777777" w:rsidR="005D608C" w:rsidRPr="009A318D" w:rsidRDefault="005D608C" w:rsidP="009A318D">
            <w:pPr>
              <w:jc w:val="center"/>
              <w:rPr>
                <w:rFonts w:ascii="仿宋_GB2312" w:eastAsia="仿宋_GB2312" w:hint="eastAsia"/>
                <w:b/>
              </w:rPr>
            </w:pPr>
          </w:p>
        </w:tc>
      </w:tr>
      <w:tr w:rsidR="005D608C" w:rsidRPr="009A318D" w14:paraId="4D29DA5D" w14:textId="77777777" w:rsidTr="009A318D">
        <w:trPr>
          <w:trHeight w:val="270"/>
          <w:jc w:val="center"/>
        </w:trPr>
        <w:tc>
          <w:tcPr>
            <w:tcW w:w="1529" w:type="dxa"/>
            <w:vMerge/>
            <w:shd w:val="clear" w:color="auto" w:fill="auto"/>
            <w:vAlign w:val="center"/>
          </w:tcPr>
          <w:p w14:paraId="20B88F34" w14:textId="77777777" w:rsidR="005D608C" w:rsidRPr="009A318D" w:rsidRDefault="005D608C" w:rsidP="009A318D">
            <w:pPr>
              <w:jc w:val="center"/>
              <w:rPr>
                <w:rFonts w:ascii="仿宋_GB2312" w:eastAsia="仿宋_GB2312" w:hint="eastAsia"/>
                <w:b/>
              </w:rPr>
            </w:pPr>
          </w:p>
        </w:tc>
        <w:tc>
          <w:tcPr>
            <w:tcW w:w="5521" w:type="dxa"/>
            <w:shd w:val="clear" w:color="auto" w:fill="auto"/>
            <w:vAlign w:val="center"/>
          </w:tcPr>
          <w:p w14:paraId="635A7A35" w14:textId="77777777" w:rsidR="005D608C" w:rsidRPr="009A318D" w:rsidRDefault="005D608C" w:rsidP="009A318D">
            <w:pPr>
              <w:rPr>
                <w:rFonts w:ascii="仿宋_GB2312" w:eastAsia="仿宋_GB2312" w:hint="eastAsia"/>
              </w:rPr>
            </w:pPr>
            <w:r w:rsidRPr="005A0394">
              <w:rPr>
                <w:rFonts w:ascii="仿宋_GB2312" w:eastAsia="仿宋_GB2312" w:hint="eastAsia"/>
              </w:rPr>
              <w:t>披露发行人在会计初始确认时是/</w:t>
            </w:r>
            <w:proofErr w:type="gramStart"/>
            <w:r w:rsidRPr="005A0394">
              <w:rPr>
                <w:rFonts w:ascii="仿宋_GB2312" w:eastAsia="仿宋_GB2312" w:hint="eastAsia"/>
              </w:rPr>
              <w:t>否拟将</w:t>
            </w:r>
            <w:proofErr w:type="gramEnd"/>
            <w:r w:rsidRPr="005A0394">
              <w:rPr>
                <w:rFonts w:ascii="仿宋_GB2312" w:eastAsia="仿宋_GB2312" w:hint="eastAsia"/>
              </w:rPr>
              <w:t>本期永续票据计入所有者权益。</w:t>
            </w:r>
          </w:p>
        </w:tc>
        <w:tc>
          <w:tcPr>
            <w:tcW w:w="851" w:type="dxa"/>
            <w:shd w:val="clear" w:color="auto" w:fill="auto"/>
            <w:vAlign w:val="center"/>
          </w:tcPr>
          <w:p w14:paraId="210F2590" w14:textId="77777777" w:rsidR="005D608C" w:rsidRPr="009A318D" w:rsidRDefault="005D608C" w:rsidP="009A318D">
            <w:pPr>
              <w:jc w:val="center"/>
              <w:rPr>
                <w:rFonts w:ascii="仿宋_GB2312" w:eastAsia="仿宋_GB2312" w:hint="eastAsia"/>
                <w:b/>
              </w:rPr>
            </w:pPr>
          </w:p>
        </w:tc>
        <w:tc>
          <w:tcPr>
            <w:tcW w:w="709" w:type="dxa"/>
            <w:shd w:val="clear" w:color="auto" w:fill="auto"/>
            <w:vAlign w:val="center"/>
          </w:tcPr>
          <w:p w14:paraId="5D20C4C6" w14:textId="77777777" w:rsidR="005D608C" w:rsidRPr="009A318D" w:rsidRDefault="005D608C" w:rsidP="009A318D">
            <w:pPr>
              <w:jc w:val="center"/>
              <w:rPr>
                <w:rFonts w:ascii="仿宋_GB2312" w:eastAsia="仿宋_GB2312" w:hint="eastAsia"/>
                <w:b/>
              </w:rPr>
            </w:pPr>
          </w:p>
        </w:tc>
      </w:tr>
      <w:tr w:rsidR="005D608C" w:rsidRPr="009A318D" w14:paraId="40134CB0" w14:textId="77777777" w:rsidTr="009A318D">
        <w:trPr>
          <w:trHeight w:val="313"/>
          <w:jc w:val="center"/>
        </w:trPr>
        <w:tc>
          <w:tcPr>
            <w:tcW w:w="1529" w:type="dxa"/>
            <w:vMerge w:val="restart"/>
            <w:shd w:val="clear" w:color="auto" w:fill="auto"/>
            <w:vAlign w:val="center"/>
            <w:hideMark/>
          </w:tcPr>
          <w:p w14:paraId="59AAF3FB" w14:textId="77777777" w:rsidR="005D608C" w:rsidRPr="009A318D" w:rsidRDefault="005D608C" w:rsidP="009A318D">
            <w:pPr>
              <w:jc w:val="center"/>
              <w:rPr>
                <w:rFonts w:ascii="仿宋_GB2312" w:eastAsia="仿宋_GB2312" w:hint="eastAsia"/>
                <w:b/>
                <w:bCs/>
              </w:rPr>
            </w:pPr>
            <w:r w:rsidRPr="009A318D">
              <w:rPr>
                <w:rFonts w:ascii="仿宋_GB2312" w:eastAsia="仿宋_GB2312" w:hint="eastAsia"/>
                <w:b/>
                <w:bCs/>
                <w:szCs w:val="18"/>
              </w:rPr>
              <w:t>MC</w:t>
            </w:r>
            <w:r w:rsidRPr="009A318D">
              <w:rPr>
                <w:rFonts w:ascii="仿宋_GB2312" w:eastAsia="仿宋_GB2312" w:hint="eastAsia"/>
                <w:b/>
                <w:bCs/>
              </w:rPr>
              <w:t>.2-2</w:t>
            </w:r>
          </w:p>
        </w:tc>
        <w:tc>
          <w:tcPr>
            <w:tcW w:w="5521" w:type="dxa"/>
            <w:shd w:val="clear" w:color="auto" w:fill="auto"/>
            <w:vAlign w:val="center"/>
            <w:hideMark/>
          </w:tcPr>
          <w:p w14:paraId="0E5EC7FE" w14:textId="77777777" w:rsidR="005D608C" w:rsidRPr="009A318D" w:rsidRDefault="005D608C" w:rsidP="009A318D">
            <w:pPr>
              <w:rPr>
                <w:rFonts w:ascii="仿宋_GB2312" w:eastAsia="仿宋_GB2312" w:hint="eastAsia"/>
                <w:b/>
                <w:bCs/>
              </w:rPr>
            </w:pPr>
            <w:r w:rsidRPr="009A318D">
              <w:rPr>
                <w:rFonts w:ascii="仿宋_GB2312" w:eastAsia="仿宋_GB2312" w:hint="eastAsia"/>
                <w:b/>
                <w:bCs/>
              </w:rPr>
              <w:t>第二章 风险提示及说明</w:t>
            </w:r>
          </w:p>
        </w:tc>
        <w:tc>
          <w:tcPr>
            <w:tcW w:w="851" w:type="dxa"/>
            <w:shd w:val="clear" w:color="auto" w:fill="auto"/>
            <w:vAlign w:val="center"/>
            <w:hideMark/>
          </w:tcPr>
          <w:p w14:paraId="652B0CA6"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3F91310B" w14:textId="77777777" w:rsidR="005D608C" w:rsidRPr="009A318D" w:rsidRDefault="005D608C" w:rsidP="009A318D">
            <w:pPr>
              <w:rPr>
                <w:rFonts w:ascii="仿宋_GB2312" w:eastAsia="仿宋_GB2312" w:hint="eastAsia"/>
              </w:rPr>
            </w:pPr>
          </w:p>
        </w:tc>
      </w:tr>
      <w:tr w:rsidR="005D608C" w:rsidRPr="009A318D" w14:paraId="2D441249" w14:textId="77777777" w:rsidTr="009A318D">
        <w:trPr>
          <w:trHeight w:val="2496"/>
          <w:jc w:val="center"/>
        </w:trPr>
        <w:tc>
          <w:tcPr>
            <w:tcW w:w="1529" w:type="dxa"/>
            <w:vMerge/>
            <w:shd w:val="clear" w:color="auto" w:fill="auto"/>
            <w:vAlign w:val="center"/>
            <w:hideMark/>
          </w:tcPr>
          <w:p w14:paraId="3F71BFAC" w14:textId="77777777" w:rsidR="005D608C" w:rsidRPr="009A318D" w:rsidRDefault="005D608C" w:rsidP="009A318D">
            <w:pPr>
              <w:jc w:val="center"/>
              <w:rPr>
                <w:rFonts w:ascii="仿宋_GB2312" w:eastAsia="仿宋_GB2312" w:hint="eastAsia"/>
              </w:rPr>
            </w:pPr>
          </w:p>
        </w:tc>
        <w:tc>
          <w:tcPr>
            <w:tcW w:w="5521" w:type="dxa"/>
            <w:shd w:val="clear" w:color="auto" w:fill="auto"/>
            <w:vAlign w:val="center"/>
            <w:hideMark/>
          </w:tcPr>
          <w:p w14:paraId="09D30B1F" w14:textId="77777777" w:rsidR="005D608C" w:rsidRPr="009A318D"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M-2-3</w:t>
            </w:r>
            <w:r w:rsidRPr="005A0394">
              <w:rPr>
                <w:rFonts w:ascii="仿宋_GB2312" w:eastAsia="仿宋_GB2312" w:hint="eastAsia"/>
              </w:rPr>
              <w:t>中披露特有风险</w:t>
            </w:r>
          </w:p>
          <w:p w14:paraId="005E4B61" w14:textId="77777777" w:rsidR="005D608C" w:rsidRPr="009A318D" w:rsidRDefault="005D608C" w:rsidP="009A318D">
            <w:pPr>
              <w:rPr>
                <w:rFonts w:ascii="仿宋_GB2312" w:eastAsia="仿宋_GB2312" w:hint="eastAsia"/>
              </w:rPr>
            </w:pPr>
            <w:r w:rsidRPr="005A0394">
              <w:rPr>
                <w:rFonts w:ascii="仿宋_GB2312" w:eastAsia="仿宋_GB2312" w:hint="eastAsia"/>
              </w:rPr>
              <w:t>（一）发行条款相关的风险。包括但不限于不行使赎回权的风险、利息递</w:t>
            </w:r>
            <w:proofErr w:type="gramStart"/>
            <w:r w:rsidRPr="005A0394">
              <w:rPr>
                <w:rFonts w:ascii="仿宋_GB2312" w:eastAsia="仿宋_GB2312" w:hint="eastAsia"/>
              </w:rPr>
              <w:t>延支付</w:t>
            </w:r>
            <w:proofErr w:type="gramEnd"/>
            <w:r w:rsidRPr="005A0394">
              <w:rPr>
                <w:rFonts w:ascii="仿宋_GB2312" w:eastAsia="仿宋_GB2312" w:hint="eastAsia"/>
              </w:rPr>
              <w:t>的风险、清偿顺序列于普通债务之后的风险（如有）等。</w:t>
            </w:r>
          </w:p>
          <w:p w14:paraId="3C7E74AC" w14:textId="77777777" w:rsidR="005D608C" w:rsidRPr="009A318D" w:rsidRDefault="005D608C" w:rsidP="009A318D">
            <w:pPr>
              <w:rPr>
                <w:rFonts w:ascii="仿宋_GB2312" w:eastAsia="仿宋_GB2312" w:hint="eastAsia"/>
              </w:rPr>
            </w:pPr>
            <w:r w:rsidRPr="005A0394">
              <w:rPr>
                <w:rFonts w:ascii="仿宋_GB2312" w:eastAsia="仿宋_GB2312" w:hint="eastAsia"/>
              </w:rPr>
              <w:t>（二）其它风险。包括但不限于资产负债率波动的风险、可分配利润不足以覆盖永续票据票面利息的风险、净资产收益率波动的风险、会计税务政策变动的风险等。</w:t>
            </w:r>
          </w:p>
        </w:tc>
        <w:tc>
          <w:tcPr>
            <w:tcW w:w="851" w:type="dxa"/>
            <w:shd w:val="clear" w:color="auto" w:fill="auto"/>
            <w:vAlign w:val="center"/>
            <w:hideMark/>
          </w:tcPr>
          <w:p w14:paraId="5A4EB94F"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1927F739" w14:textId="77777777" w:rsidR="005D608C" w:rsidRPr="009A318D" w:rsidRDefault="005D608C" w:rsidP="009A318D">
            <w:pPr>
              <w:rPr>
                <w:rFonts w:ascii="仿宋_GB2312" w:eastAsia="仿宋_GB2312" w:hint="eastAsia"/>
              </w:rPr>
            </w:pPr>
          </w:p>
        </w:tc>
      </w:tr>
      <w:tr w:rsidR="005D608C" w:rsidRPr="009A318D" w14:paraId="4B7F0194" w14:textId="77777777" w:rsidTr="009A318D">
        <w:trPr>
          <w:trHeight w:val="270"/>
          <w:jc w:val="center"/>
        </w:trPr>
        <w:tc>
          <w:tcPr>
            <w:tcW w:w="1529" w:type="dxa"/>
            <w:vMerge w:val="restart"/>
            <w:shd w:val="clear" w:color="auto" w:fill="auto"/>
            <w:vAlign w:val="center"/>
            <w:hideMark/>
          </w:tcPr>
          <w:p w14:paraId="277E466C" w14:textId="77777777" w:rsidR="005D608C" w:rsidRPr="009A318D" w:rsidRDefault="005D608C" w:rsidP="009A318D">
            <w:pPr>
              <w:jc w:val="center"/>
              <w:rPr>
                <w:rFonts w:ascii="仿宋_GB2312" w:eastAsia="仿宋_GB2312" w:hint="eastAsia"/>
                <w:b/>
                <w:bCs/>
              </w:rPr>
            </w:pPr>
            <w:r w:rsidRPr="009A318D">
              <w:rPr>
                <w:rFonts w:ascii="仿宋_GB2312" w:eastAsia="仿宋_GB2312" w:hint="eastAsia"/>
                <w:b/>
                <w:bCs/>
                <w:szCs w:val="18"/>
              </w:rPr>
              <w:t>MC</w:t>
            </w:r>
            <w:r w:rsidRPr="009A318D">
              <w:rPr>
                <w:rFonts w:ascii="仿宋_GB2312" w:eastAsia="仿宋_GB2312" w:hint="eastAsia"/>
                <w:b/>
                <w:bCs/>
              </w:rPr>
              <w:t>.2-3</w:t>
            </w:r>
          </w:p>
          <w:p w14:paraId="32607726" w14:textId="77777777" w:rsidR="005D608C" w:rsidRPr="009A318D" w:rsidRDefault="005D608C" w:rsidP="009A318D">
            <w:pPr>
              <w:jc w:val="center"/>
              <w:rPr>
                <w:rFonts w:ascii="仿宋_GB2312" w:eastAsia="仿宋_GB2312" w:hint="eastAsia"/>
                <w:b/>
                <w:bCs/>
              </w:rPr>
            </w:pPr>
          </w:p>
        </w:tc>
        <w:tc>
          <w:tcPr>
            <w:tcW w:w="5521" w:type="dxa"/>
            <w:shd w:val="clear" w:color="auto" w:fill="auto"/>
            <w:vAlign w:val="center"/>
            <w:hideMark/>
          </w:tcPr>
          <w:p w14:paraId="39C7C572" w14:textId="77777777" w:rsidR="005D608C" w:rsidRPr="009A318D" w:rsidRDefault="005D608C" w:rsidP="009A318D">
            <w:pPr>
              <w:rPr>
                <w:rFonts w:ascii="仿宋_GB2312" w:eastAsia="仿宋_GB2312" w:hint="eastAsia"/>
                <w:b/>
                <w:bCs/>
              </w:rPr>
            </w:pPr>
            <w:r w:rsidRPr="009A318D">
              <w:rPr>
                <w:rFonts w:ascii="仿宋_GB2312" w:eastAsia="仿宋_GB2312" w:hint="eastAsia"/>
                <w:b/>
                <w:bCs/>
              </w:rPr>
              <w:t>第三章 发行条款</w:t>
            </w:r>
          </w:p>
        </w:tc>
        <w:tc>
          <w:tcPr>
            <w:tcW w:w="851" w:type="dxa"/>
            <w:shd w:val="clear" w:color="auto" w:fill="auto"/>
            <w:vAlign w:val="center"/>
            <w:hideMark/>
          </w:tcPr>
          <w:p w14:paraId="3FEE7BAF"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3B0BB72D" w14:textId="77777777" w:rsidR="005D608C" w:rsidRPr="009A318D" w:rsidRDefault="005D608C" w:rsidP="009A318D">
            <w:pPr>
              <w:rPr>
                <w:rFonts w:ascii="仿宋_GB2312" w:eastAsia="仿宋_GB2312" w:hint="eastAsia"/>
              </w:rPr>
            </w:pPr>
          </w:p>
        </w:tc>
      </w:tr>
      <w:tr w:rsidR="005D608C" w:rsidRPr="009A318D" w14:paraId="7D03EAF8" w14:textId="77777777" w:rsidTr="009A318D">
        <w:trPr>
          <w:trHeight w:val="274"/>
          <w:jc w:val="center"/>
        </w:trPr>
        <w:tc>
          <w:tcPr>
            <w:tcW w:w="1529" w:type="dxa"/>
            <w:vMerge/>
            <w:shd w:val="clear" w:color="auto" w:fill="auto"/>
            <w:vAlign w:val="center"/>
            <w:hideMark/>
          </w:tcPr>
          <w:p w14:paraId="626C6880" w14:textId="77777777" w:rsidR="005D608C" w:rsidRPr="009A318D" w:rsidRDefault="005D608C" w:rsidP="009A318D">
            <w:pPr>
              <w:jc w:val="center"/>
              <w:rPr>
                <w:rFonts w:ascii="仿宋_GB2312" w:eastAsia="仿宋_GB2312" w:hint="eastAsia"/>
                <w:b/>
                <w:bCs/>
              </w:rPr>
            </w:pPr>
          </w:p>
        </w:tc>
        <w:tc>
          <w:tcPr>
            <w:tcW w:w="5521" w:type="dxa"/>
            <w:shd w:val="clear" w:color="auto" w:fill="auto"/>
            <w:vAlign w:val="center"/>
            <w:hideMark/>
          </w:tcPr>
          <w:p w14:paraId="73F1D941" w14:textId="77777777" w:rsidR="005D608C" w:rsidRPr="009A318D"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M-3-1</w:t>
            </w:r>
            <w:r w:rsidRPr="005A0394">
              <w:rPr>
                <w:rFonts w:ascii="仿宋_GB2312" w:eastAsia="仿宋_GB2312" w:hint="eastAsia"/>
              </w:rPr>
              <w:t>中披露利率确定方式</w:t>
            </w:r>
          </w:p>
          <w:p w14:paraId="20287BE4" w14:textId="77777777" w:rsidR="005D608C" w:rsidRPr="009A318D" w:rsidRDefault="005D608C" w:rsidP="009A318D">
            <w:pPr>
              <w:rPr>
                <w:rFonts w:ascii="仿宋_GB2312" w:eastAsia="仿宋_GB2312" w:hint="eastAsia"/>
              </w:rPr>
            </w:pPr>
            <w:r w:rsidRPr="005A0394">
              <w:rPr>
                <w:rFonts w:ascii="仿宋_GB2312" w:eastAsia="仿宋_GB2312" w:hint="eastAsia"/>
              </w:rPr>
              <w:t>（一）初始票面利率确定方式</w:t>
            </w:r>
          </w:p>
          <w:p w14:paraId="4C25953F" w14:textId="77777777" w:rsidR="005D608C" w:rsidRPr="009A318D" w:rsidRDefault="005D608C" w:rsidP="009A318D">
            <w:pPr>
              <w:rPr>
                <w:rFonts w:ascii="仿宋_GB2312" w:eastAsia="仿宋_GB2312" w:hint="eastAsia"/>
              </w:rPr>
            </w:pPr>
            <w:r w:rsidRPr="005A0394">
              <w:rPr>
                <w:rFonts w:ascii="仿宋_GB2312" w:eastAsia="仿宋_GB2312" w:hint="eastAsia"/>
              </w:rPr>
              <w:t>本期永续票据前X</w:t>
            </w:r>
            <w:r w:rsidRPr="009A318D">
              <w:rPr>
                <w:rFonts w:ascii="仿宋_GB2312" w:eastAsia="仿宋_GB2312" w:hint="eastAsia"/>
                <w:vertAlign w:val="subscript"/>
              </w:rPr>
              <w:t>1</w:t>
            </w:r>
            <w:r w:rsidRPr="005A0394">
              <w:rPr>
                <w:rFonts w:ascii="仿宋_GB2312" w:eastAsia="仿宋_GB2312" w:hint="eastAsia"/>
              </w:rPr>
              <w:t>个计息年度的票面利率将通过集中簿记建档/招标方式确定，在前X</w:t>
            </w:r>
            <w:r w:rsidRPr="009A318D">
              <w:rPr>
                <w:rFonts w:ascii="仿宋_GB2312" w:eastAsia="仿宋_GB2312" w:hint="eastAsia"/>
                <w:vertAlign w:val="subscript"/>
              </w:rPr>
              <w:t>1</w:t>
            </w:r>
            <w:r w:rsidRPr="005A0394">
              <w:rPr>
                <w:rFonts w:ascii="仿宋_GB2312" w:eastAsia="仿宋_GB2312" w:hint="eastAsia"/>
              </w:rPr>
              <w:t>个计息年度内保持不变。前X</w:t>
            </w:r>
            <w:r w:rsidRPr="009A318D">
              <w:rPr>
                <w:rFonts w:ascii="仿宋_GB2312" w:eastAsia="仿宋_GB2312" w:hint="eastAsia"/>
                <w:vertAlign w:val="subscript"/>
              </w:rPr>
              <w:t>1</w:t>
            </w:r>
            <w:r w:rsidRPr="005A0394">
              <w:rPr>
                <w:rFonts w:ascii="仿宋_GB2312" w:eastAsia="仿宋_GB2312" w:hint="eastAsia"/>
              </w:rPr>
              <w:t>个计息年度的票面利率为初始基准利率加上初始利差。</w:t>
            </w:r>
          </w:p>
          <w:p w14:paraId="58DB6D4C" w14:textId="77777777" w:rsidR="005D608C" w:rsidRPr="009A318D" w:rsidRDefault="005D608C" w:rsidP="009A318D">
            <w:pPr>
              <w:rPr>
                <w:rFonts w:ascii="仿宋_GB2312" w:eastAsia="仿宋_GB2312" w:hint="eastAsia"/>
              </w:rPr>
            </w:pPr>
            <w:r w:rsidRPr="005A0394">
              <w:rPr>
                <w:rFonts w:ascii="仿宋_GB2312" w:eastAsia="仿宋_GB2312" w:hint="eastAsia"/>
              </w:rPr>
              <w:lastRenderedPageBreak/>
              <w:t>（二）票面利率重置日</w:t>
            </w:r>
          </w:p>
          <w:p w14:paraId="74FCED86" w14:textId="77777777" w:rsidR="005D608C" w:rsidRPr="009A318D" w:rsidRDefault="005D608C" w:rsidP="009A318D">
            <w:pPr>
              <w:rPr>
                <w:rFonts w:ascii="仿宋_GB2312" w:eastAsia="仿宋_GB2312" w:hint="eastAsia"/>
              </w:rPr>
            </w:pPr>
            <w:r w:rsidRPr="005A0394">
              <w:rPr>
                <w:rFonts w:ascii="仿宋_GB2312" w:eastAsia="仿宋_GB2312" w:hint="eastAsia"/>
              </w:rPr>
              <w:t>第X</w:t>
            </w:r>
            <w:r w:rsidRPr="009A318D">
              <w:rPr>
                <w:rFonts w:ascii="仿宋_GB2312" w:eastAsia="仿宋_GB2312" w:hint="eastAsia"/>
                <w:vertAlign w:val="subscript"/>
              </w:rPr>
              <w:t>1</w:t>
            </w:r>
            <w:r w:rsidRPr="005A0394">
              <w:rPr>
                <w:rFonts w:ascii="仿宋_GB2312" w:eastAsia="仿宋_GB2312" w:hint="eastAsia"/>
              </w:rPr>
              <w:t>个计息年度末为首个票面利率重置日，自第X</w:t>
            </w:r>
            <w:r w:rsidRPr="009A318D">
              <w:rPr>
                <w:rFonts w:ascii="仿宋_GB2312" w:eastAsia="仿宋_GB2312" w:hint="eastAsia"/>
                <w:vertAlign w:val="subscript"/>
              </w:rPr>
              <w:t>1</w:t>
            </w:r>
            <w:r w:rsidRPr="005A0394">
              <w:rPr>
                <w:rFonts w:ascii="仿宋_GB2312" w:eastAsia="仿宋_GB2312" w:hint="eastAsia"/>
              </w:rPr>
              <w:t>+1个计息年度起，每*年重置一次票面利率。票面利率</w:t>
            </w:r>
            <w:proofErr w:type="gramStart"/>
            <w:r w:rsidRPr="005A0394">
              <w:rPr>
                <w:rFonts w:ascii="仿宋_GB2312" w:eastAsia="仿宋_GB2312" w:hint="eastAsia"/>
              </w:rPr>
              <w:t>重置日</w:t>
            </w:r>
            <w:proofErr w:type="gramEnd"/>
            <w:r w:rsidRPr="005A0394">
              <w:rPr>
                <w:rFonts w:ascii="仿宋_GB2312" w:eastAsia="仿宋_GB2312" w:hint="eastAsia"/>
              </w:rPr>
              <w:t>为首个票面利率</w:t>
            </w:r>
            <w:proofErr w:type="gramStart"/>
            <w:r w:rsidRPr="005A0394">
              <w:rPr>
                <w:rFonts w:ascii="仿宋_GB2312" w:eastAsia="仿宋_GB2312" w:hint="eastAsia"/>
              </w:rPr>
              <w:t>重置日</w:t>
            </w:r>
            <w:proofErr w:type="gramEnd"/>
            <w:r w:rsidRPr="005A0394">
              <w:rPr>
                <w:rFonts w:ascii="仿宋_GB2312" w:eastAsia="仿宋_GB2312" w:hint="eastAsia"/>
              </w:rPr>
              <w:t>起每满*年的对应日（如遇法定节假日，则顺延至其后的1个工作日，顺延期间不另计息）。</w:t>
            </w:r>
          </w:p>
          <w:p w14:paraId="2631239E" w14:textId="77777777" w:rsidR="005D608C" w:rsidRPr="009A318D" w:rsidRDefault="005D608C" w:rsidP="009A318D">
            <w:pPr>
              <w:rPr>
                <w:rFonts w:ascii="仿宋_GB2312" w:eastAsia="仿宋_GB2312" w:hint="eastAsia"/>
              </w:rPr>
            </w:pPr>
            <w:r w:rsidRPr="005A0394">
              <w:rPr>
                <w:rFonts w:ascii="仿宋_GB2312" w:eastAsia="仿宋_GB2312" w:hint="eastAsia"/>
              </w:rPr>
              <w:t>（三）基准利率确定方式</w:t>
            </w:r>
          </w:p>
          <w:p w14:paraId="46303AA4" w14:textId="77777777" w:rsidR="005D608C" w:rsidRPr="009A318D" w:rsidRDefault="005D608C" w:rsidP="009A318D">
            <w:pPr>
              <w:rPr>
                <w:rFonts w:ascii="仿宋_GB2312" w:eastAsia="仿宋_GB2312" w:hint="eastAsia"/>
              </w:rPr>
            </w:pPr>
            <w:r w:rsidRPr="005A0394">
              <w:rPr>
                <w:rFonts w:ascii="仿宋_GB2312" w:eastAsia="仿宋_GB2312" w:hint="eastAsia"/>
              </w:rPr>
              <w:t>（四）票面利率跃升方式</w:t>
            </w:r>
          </w:p>
          <w:p w14:paraId="4346820A" w14:textId="77777777" w:rsidR="005D608C" w:rsidRPr="009A318D" w:rsidRDefault="005D608C" w:rsidP="009A318D">
            <w:pPr>
              <w:rPr>
                <w:rFonts w:ascii="仿宋_GB2312" w:eastAsia="仿宋_GB2312" w:hint="eastAsia"/>
              </w:rPr>
            </w:pPr>
            <w:r w:rsidRPr="005A0394">
              <w:rPr>
                <w:rFonts w:ascii="仿宋_GB2312" w:eastAsia="仿宋_GB2312" w:hint="eastAsia"/>
              </w:rPr>
              <w:t>如发行人选择</w:t>
            </w:r>
            <w:proofErr w:type="gramStart"/>
            <w:r w:rsidRPr="005A0394">
              <w:rPr>
                <w:rFonts w:ascii="仿宋_GB2312" w:eastAsia="仿宋_GB2312" w:hint="eastAsia"/>
              </w:rPr>
              <w:t>不</w:t>
            </w:r>
            <w:proofErr w:type="gramEnd"/>
            <w:r w:rsidRPr="005A0394">
              <w:rPr>
                <w:rFonts w:ascii="仿宋_GB2312" w:eastAsia="仿宋_GB2312" w:hint="eastAsia"/>
              </w:rPr>
              <w:t>赎回本期永续票据，则从第</w:t>
            </w:r>
            <w:r w:rsidRPr="009A318D">
              <w:rPr>
                <w:rFonts w:ascii="仿宋_GB2312" w:eastAsia="仿宋_GB2312" w:hint="eastAsia"/>
              </w:rPr>
              <w:t>X</w:t>
            </w:r>
            <w:r w:rsidRPr="009A318D">
              <w:rPr>
                <w:rFonts w:ascii="仿宋_GB2312" w:eastAsia="仿宋_GB2312" w:hint="eastAsia"/>
                <w:vertAlign w:val="subscript"/>
              </w:rPr>
              <w:t>1</w:t>
            </w:r>
            <w:r w:rsidRPr="005A0394">
              <w:rPr>
                <w:rFonts w:ascii="仿宋_GB2312" w:eastAsia="仿宋_GB2312" w:hint="eastAsia"/>
              </w:rPr>
              <w:t>+1个计息年度开始，</w:t>
            </w:r>
            <w:r w:rsidRPr="009A318D">
              <w:rPr>
                <w:rFonts w:ascii="仿宋_GB2312" w:eastAsia="仿宋_GB2312" w:hint="eastAsia"/>
              </w:rPr>
              <w:t>每*年票面利率可调整为当期基准利率加上初始利差再加上M</w:t>
            </w:r>
            <w:proofErr w:type="gramStart"/>
            <w:r w:rsidRPr="009A318D">
              <w:rPr>
                <w:rFonts w:ascii="仿宋_GB2312" w:eastAsia="仿宋_GB2312" w:hint="eastAsia"/>
              </w:rPr>
              <w:t>个</w:t>
            </w:r>
            <w:proofErr w:type="gramEnd"/>
            <w:r w:rsidRPr="009A318D">
              <w:rPr>
                <w:rFonts w:ascii="仿宋_GB2312" w:eastAsia="仿宋_GB2312" w:hint="eastAsia"/>
              </w:rPr>
              <w:t>基点，票面</w:t>
            </w:r>
            <w:r w:rsidRPr="005A0394">
              <w:rPr>
                <w:rFonts w:ascii="仿宋_GB2312" w:eastAsia="仿宋_GB2312" w:hint="eastAsia"/>
              </w:rPr>
              <w:t>利率公式为：当期票面利率=当期基准利率+初始利差+跃升利率，在之后的*</w:t>
            </w:r>
            <w:proofErr w:type="gramStart"/>
            <w:r w:rsidRPr="005A0394">
              <w:rPr>
                <w:rFonts w:ascii="仿宋_GB2312" w:eastAsia="仿宋_GB2312" w:hint="eastAsia"/>
              </w:rPr>
              <w:t>个</w:t>
            </w:r>
            <w:proofErr w:type="gramEnd"/>
            <w:r w:rsidRPr="005A0394">
              <w:rPr>
                <w:rFonts w:ascii="仿宋_GB2312" w:eastAsia="仿宋_GB2312" w:hint="eastAsia"/>
              </w:rPr>
              <w:t>计息年度内保持不变。</w:t>
            </w:r>
          </w:p>
          <w:p w14:paraId="02F79905" w14:textId="77777777" w:rsidR="005D608C" w:rsidRPr="009A318D" w:rsidRDefault="005D608C" w:rsidP="009A318D">
            <w:pPr>
              <w:rPr>
                <w:rFonts w:ascii="仿宋_GB2312" w:eastAsia="仿宋_GB2312" w:hint="eastAsia"/>
              </w:rPr>
            </w:pPr>
            <w:r w:rsidRPr="009A318D">
              <w:rPr>
                <w:rFonts w:ascii="仿宋_GB2312" w:eastAsia="仿宋_GB2312" w:hint="eastAsia"/>
              </w:rPr>
              <w:t>如第</w:t>
            </w:r>
            <w:r w:rsidRPr="005A0394">
              <w:rPr>
                <w:rFonts w:ascii="仿宋_GB2312" w:eastAsia="仿宋_GB2312" w:hint="eastAsia"/>
              </w:rPr>
              <w:t>X</w:t>
            </w:r>
            <w:r w:rsidRPr="009A318D">
              <w:rPr>
                <w:rFonts w:ascii="仿宋_GB2312" w:eastAsia="仿宋_GB2312" w:hint="eastAsia"/>
                <w:vertAlign w:val="subscript"/>
              </w:rPr>
              <w:t>1</w:t>
            </w:r>
            <w:r w:rsidRPr="009A318D">
              <w:rPr>
                <w:rFonts w:ascii="仿宋_GB2312" w:eastAsia="仿宋_GB2312" w:hint="eastAsia"/>
              </w:rPr>
              <w:t>+X</w:t>
            </w:r>
            <w:r w:rsidRPr="009A318D">
              <w:rPr>
                <w:rFonts w:ascii="仿宋_GB2312" w:eastAsia="仿宋_GB2312" w:hint="eastAsia"/>
                <w:vertAlign w:val="subscript"/>
              </w:rPr>
              <w:t>2</w:t>
            </w:r>
            <w:r w:rsidRPr="009A318D">
              <w:rPr>
                <w:rFonts w:ascii="仿宋_GB2312" w:eastAsia="仿宋_GB2312" w:hint="eastAsia"/>
              </w:rPr>
              <w:t>+1个计息年度与第</w:t>
            </w:r>
            <w:r w:rsidRPr="005A0394">
              <w:rPr>
                <w:rFonts w:ascii="仿宋_GB2312" w:eastAsia="仿宋_GB2312" w:hint="eastAsia"/>
              </w:rPr>
              <w:t>X</w:t>
            </w:r>
            <w:r w:rsidRPr="009A318D">
              <w:rPr>
                <w:rFonts w:ascii="仿宋_GB2312" w:eastAsia="仿宋_GB2312" w:hint="eastAsia"/>
                <w:vertAlign w:val="subscript"/>
              </w:rPr>
              <w:t>1</w:t>
            </w:r>
            <w:r w:rsidRPr="009A318D">
              <w:rPr>
                <w:rFonts w:ascii="仿宋_GB2312" w:eastAsia="仿宋_GB2312" w:hint="eastAsia"/>
              </w:rPr>
              <w:t>+1个计息年度利率跃升幅度不同，继续按上述描述方式进行披露。</w:t>
            </w:r>
          </w:p>
        </w:tc>
        <w:tc>
          <w:tcPr>
            <w:tcW w:w="851" w:type="dxa"/>
            <w:shd w:val="clear" w:color="auto" w:fill="auto"/>
            <w:vAlign w:val="center"/>
            <w:hideMark/>
          </w:tcPr>
          <w:p w14:paraId="6FB6110E"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36B947CA" w14:textId="77777777" w:rsidR="005D608C" w:rsidRPr="009A318D" w:rsidRDefault="005D608C" w:rsidP="009A318D">
            <w:pPr>
              <w:rPr>
                <w:rFonts w:ascii="仿宋_GB2312" w:eastAsia="仿宋_GB2312" w:hint="eastAsia"/>
              </w:rPr>
            </w:pPr>
          </w:p>
        </w:tc>
      </w:tr>
      <w:tr w:rsidR="005D608C" w:rsidRPr="009A318D" w14:paraId="79BA44D6" w14:textId="77777777" w:rsidTr="009A318D">
        <w:trPr>
          <w:trHeight w:val="274"/>
          <w:jc w:val="center"/>
        </w:trPr>
        <w:tc>
          <w:tcPr>
            <w:tcW w:w="1529" w:type="dxa"/>
            <w:vMerge/>
            <w:shd w:val="clear" w:color="auto" w:fill="auto"/>
            <w:vAlign w:val="center"/>
          </w:tcPr>
          <w:p w14:paraId="1A5A1D17" w14:textId="77777777" w:rsidR="005D608C" w:rsidRPr="009A318D" w:rsidRDefault="005D608C" w:rsidP="009A318D">
            <w:pPr>
              <w:jc w:val="center"/>
              <w:rPr>
                <w:rFonts w:ascii="仿宋_GB2312" w:eastAsia="仿宋_GB2312" w:hint="eastAsia"/>
                <w:b/>
                <w:bCs/>
              </w:rPr>
            </w:pPr>
          </w:p>
        </w:tc>
        <w:tc>
          <w:tcPr>
            <w:tcW w:w="5521" w:type="dxa"/>
            <w:shd w:val="clear" w:color="auto" w:fill="auto"/>
            <w:vAlign w:val="center"/>
          </w:tcPr>
          <w:p w14:paraId="0E1AAB8A" w14:textId="77777777" w:rsidR="005D608C" w:rsidRPr="009A318D"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M-3-1</w:t>
            </w:r>
            <w:r w:rsidRPr="005A0394">
              <w:rPr>
                <w:rFonts w:ascii="仿宋_GB2312" w:eastAsia="仿宋_GB2312" w:hint="eastAsia"/>
              </w:rPr>
              <w:t>中披露清偿顺序</w:t>
            </w:r>
          </w:p>
        </w:tc>
        <w:tc>
          <w:tcPr>
            <w:tcW w:w="851" w:type="dxa"/>
            <w:shd w:val="clear" w:color="auto" w:fill="auto"/>
            <w:vAlign w:val="center"/>
          </w:tcPr>
          <w:p w14:paraId="303378BE" w14:textId="77777777" w:rsidR="005D608C" w:rsidRPr="009A318D" w:rsidRDefault="005D608C" w:rsidP="009A318D">
            <w:pPr>
              <w:rPr>
                <w:rFonts w:ascii="仿宋_GB2312" w:eastAsia="仿宋_GB2312" w:hint="eastAsia"/>
              </w:rPr>
            </w:pPr>
          </w:p>
        </w:tc>
        <w:tc>
          <w:tcPr>
            <w:tcW w:w="709" w:type="dxa"/>
            <w:shd w:val="clear" w:color="auto" w:fill="auto"/>
            <w:vAlign w:val="center"/>
          </w:tcPr>
          <w:p w14:paraId="41ABDFEC" w14:textId="77777777" w:rsidR="005D608C" w:rsidRPr="009A318D" w:rsidRDefault="005D608C" w:rsidP="009A318D">
            <w:pPr>
              <w:rPr>
                <w:rFonts w:ascii="仿宋_GB2312" w:eastAsia="仿宋_GB2312" w:hint="eastAsia"/>
              </w:rPr>
            </w:pPr>
          </w:p>
        </w:tc>
      </w:tr>
      <w:tr w:rsidR="005D608C" w:rsidRPr="009A318D" w14:paraId="4C262742" w14:textId="77777777" w:rsidTr="009A318D">
        <w:trPr>
          <w:trHeight w:val="4592"/>
          <w:jc w:val="center"/>
        </w:trPr>
        <w:tc>
          <w:tcPr>
            <w:tcW w:w="1529" w:type="dxa"/>
            <w:vMerge/>
            <w:shd w:val="clear" w:color="auto" w:fill="auto"/>
            <w:vAlign w:val="center"/>
            <w:hideMark/>
          </w:tcPr>
          <w:p w14:paraId="79EFB95A" w14:textId="77777777" w:rsidR="005D608C" w:rsidRPr="009A318D" w:rsidRDefault="005D608C" w:rsidP="009A318D">
            <w:pPr>
              <w:jc w:val="center"/>
              <w:rPr>
                <w:rFonts w:ascii="仿宋_GB2312" w:eastAsia="仿宋_GB2312" w:hint="eastAsia"/>
                <w:b/>
                <w:bCs/>
              </w:rPr>
            </w:pPr>
          </w:p>
        </w:tc>
        <w:tc>
          <w:tcPr>
            <w:tcW w:w="5521" w:type="dxa"/>
            <w:shd w:val="clear" w:color="auto" w:fill="auto"/>
            <w:vAlign w:val="center"/>
            <w:hideMark/>
          </w:tcPr>
          <w:p w14:paraId="7CA6BC62" w14:textId="77777777" w:rsidR="005D608C" w:rsidRPr="009A318D"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M-3-1</w:t>
            </w:r>
            <w:r w:rsidRPr="005A0394">
              <w:rPr>
                <w:rFonts w:ascii="仿宋_GB2312" w:eastAsia="仿宋_GB2312" w:hint="eastAsia"/>
              </w:rPr>
              <w:t>中披露发行人赎回权</w:t>
            </w:r>
          </w:p>
          <w:p w14:paraId="23960433" w14:textId="77777777" w:rsidR="005D608C" w:rsidRPr="009A318D" w:rsidRDefault="005D608C" w:rsidP="009A318D">
            <w:pPr>
              <w:rPr>
                <w:rFonts w:ascii="仿宋_GB2312" w:eastAsia="仿宋_GB2312" w:hint="eastAsia"/>
              </w:rPr>
            </w:pPr>
            <w:r w:rsidRPr="005A0394">
              <w:rPr>
                <w:rFonts w:ascii="仿宋_GB2312" w:eastAsia="仿宋_GB2312" w:hint="eastAsia"/>
              </w:rPr>
              <w:t>（一）赎回日</w:t>
            </w:r>
          </w:p>
          <w:p w14:paraId="4D2BD119" w14:textId="77777777" w:rsidR="005D608C" w:rsidRPr="009A318D" w:rsidRDefault="005D608C" w:rsidP="009A318D">
            <w:pPr>
              <w:rPr>
                <w:rFonts w:ascii="仿宋_GB2312" w:eastAsia="仿宋_GB2312" w:hint="eastAsia"/>
              </w:rPr>
            </w:pPr>
            <w:r w:rsidRPr="005A0394">
              <w:rPr>
                <w:rFonts w:ascii="仿宋_GB2312" w:eastAsia="仿宋_GB2312" w:hint="eastAsia"/>
              </w:rPr>
              <w:t>每个票面利率</w:t>
            </w:r>
            <w:proofErr w:type="gramStart"/>
            <w:r w:rsidRPr="005A0394">
              <w:rPr>
                <w:rFonts w:ascii="仿宋_GB2312" w:eastAsia="仿宋_GB2312" w:hint="eastAsia"/>
              </w:rPr>
              <w:t>重置日</w:t>
            </w:r>
            <w:proofErr w:type="gramEnd"/>
            <w:r w:rsidRPr="005A0394">
              <w:rPr>
                <w:rFonts w:ascii="仿宋_GB2312" w:eastAsia="仿宋_GB2312" w:hint="eastAsia"/>
              </w:rPr>
              <w:t>为赎回日（如遇法定节假日或休息日，则顺延至其后的第1个工作日，顺延期间不另计息）。</w:t>
            </w:r>
          </w:p>
          <w:p w14:paraId="25018B3E" w14:textId="77777777" w:rsidR="005D608C" w:rsidRPr="009A318D" w:rsidRDefault="005D608C" w:rsidP="009A318D">
            <w:pPr>
              <w:rPr>
                <w:rFonts w:ascii="仿宋_GB2312" w:eastAsia="仿宋_GB2312" w:hint="eastAsia"/>
              </w:rPr>
            </w:pPr>
            <w:r w:rsidRPr="005A0394">
              <w:rPr>
                <w:rFonts w:ascii="仿宋_GB2312" w:eastAsia="仿宋_GB2312" w:hint="eastAsia"/>
              </w:rPr>
              <w:t>（二）赎回选择权</w:t>
            </w:r>
          </w:p>
          <w:p w14:paraId="47479739" w14:textId="77777777" w:rsidR="005D608C" w:rsidRPr="009A318D" w:rsidRDefault="005D608C" w:rsidP="009A318D">
            <w:pPr>
              <w:rPr>
                <w:rFonts w:ascii="仿宋_GB2312" w:eastAsia="仿宋_GB2312" w:hint="eastAsia"/>
              </w:rPr>
            </w:pPr>
            <w:r w:rsidRPr="005A0394">
              <w:rPr>
                <w:rFonts w:ascii="仿宋_GB2312" w:eastAsia="仿宋_GB2312" w:hint="eastAsia"/>
              </w:rPr>
              <w:t>每个赎回日，发行人有权按面值加应付利息（包括所有递</w:t>
            </w:r>
            <w:proofErr w:type="gramStart"/>
            <w:r w:rsidRPr="005A0394">
              <w:rPr>
                <w:rFonts w:ascii="仿宋_GB2312" w:eastAsia="仿宋_GB2312" w:hint="eastAsia"/>
              </w:rPr>
              <w:t>延支付</w:t>
            </w:r>
            <w:proofErr w:type="gramEnd"/>
            <w:r w:rsidRPr="005A0394">
              <w:rPr>
                <w:rFonts w:ascii="仿宋_GB2312" w:eastAsia="仿宋_GB2312" w:hint="eastAsia"/>
              </w:rPr>
              <w:t>的利息及其</w:t>
            </w:r>
            <w:proofErr w:type="gramStart"/>
            <w:r w:rsidRPr="005A0394">
              <w:rPr>
                <w:rFonts w:ascii="仿宋_GB2312" w:eastAsia="仿宋_GB2312" w:hint="eastAsia"/>
              </w:rPr>
              <w:t>孳</w:t>
            </w:r>
            <w:proofErr w:type="gramEnd"/>
            <w:r w:rsidRPr="005A0394">
              <w:rPr>
                <w:rFonts w:ascii="仿宋_GB2312" w:eastAsia="仿宋_GB2312" w:hint="eastAsia"/>
              </w:rPr>
              <w:t>息）赎回本期永续票据。</w:t>
            </w:r>
          </w:p>
          <w:p w14:paraId="20814D69" w14:textId="77777777" w:rsidR="005D608C" w:rsidRPr="009A318D" w:rsidRDefault="005D608C" w:rsidP="009A318D">
            <w:pPr>
              <w:rPr>
                <w:rFonts w:ascii="仿宋_GB2312" w:eastAsia="仿宋_GB2312" w:hint="eastAsia"/>
              </w:rPr>
            </w:pPr>
            <w:r w:rsidRPr="005A0394">
              <w:rPr>
                <w:rFonts w:ascii="仿宋_GB2312" w:eastAsia="仿宋_GB2312" w:hint="eastAsia"/>
              </w:rPr>
              <w:t>（三）赎回方式</w:t>
            </w:r>
          </w:p>
          <w:p w14:paraId="1B83779C" w14:textId="77777777" w:rsidR="005D608C" w:rsidRPr="009A318D" w:rsidRDefault="005D608C" w:rsidP="009A318D">
            <w:pPr>
              <w:rPr>
                <w:rFonts w:ascii="仿宋_GB2312" w:eastAsia="仿宋_GB2312" w:hint="eastAsia"/>
              </w:rPr>
            </w:pPr>
            <w:r w:rsidRPr="005A0394">
              <w:rPr>
                <w:rFonts w:ascii="仿宋_GB2312" w:eastAsia="仿宋_GB2312" w:hint="eastAsia"/>
              </w:rPr>
              <w:t>如发行人选择赎回，则于赎回日前20个工作日，由发行人通过交易商协会认可的网站披露《提前赎回公告》；如发行人选择</w:t>
            </w:r>
            <w:proofErr w:type="gramStart"/>
            <w:r w:rsidRPr="005A0394">
              <w:rPr>
                <w:rFonts w:ascii="仿宋_GB2312" w:eastAsia="仿宋_GB2312" w:hint="eastAsia"/>
              </w:rPr>
              <w:t>不</w:t>
            </w:r>
            <w:proofErr w:type="gramEnd"/>
            <w:r w:rsidRPr="005A0394">
              <w:rPr>
                <w:rFonts w:ascii="仿宋_GB2312" w:eastAsia="仿宋_GB2312" w:hint="eastAsia"/>
              </w:rPr>
              <w:t>赎回，则于付息日前20个工作日，由发行人通过交易商协会认可的网站披露《债券票面利率以及幅度调整的公告》。</w:t>
            </w:r>
          </w:p>
        </w:tc>
        <w:tc>
          <w:tcPr>
            <w:tcW w:w="851" w:type="dxa"/>
            <w:shd w:val="clear" w:color="auto" w:fill="auto"/>
            <w:vAlign w:val="center"/>
            <w:hideMark/>
          </w:tcPr>
          <w:p w14:paraId="1D905392" w14:textId="77777777" w:rsidR="005D608C" w:rsidRPr="009A318D" w:rsidRDefault="005D608C" w:rsidP="009A318D">
            <w:pPr>
              <w:rPr>
                <w:rFonts w:ascii="仿宋_GB2312" w:eastAsia="仿宋_GB2312" w:hint="eastAsia"/>
              </w:rPr>
            </w:pPr>
          </w:p>
        </w:tc>
        <w:tc>
          <w:tcPr>
            <w:tcW w:w="709" w:type="dxa"/>
            <w:shd w:val="clear" w:color="auto" w:fill="auto"/>
            <w:vAlign w:val="center"/>
          </w:tcPr>
          <w:p w14:paraId="44E2CED9" w14:textId="77777777" w:rsidR="005D608C" w:rsidRPr="009A318D" w:rsidRDefault="005D608C" w:rsidP="009A318D">
            <w:pPr>
              <w:rPr>
                <w:rFonts w:ascii="仿宋_GB2312" w:eastAsia="仿宋_GB2312" w:hint="eastAsia"/>
              </w:rPr>
            </w:pPr>
          </w:p>
        </w:tc>
      </w:tr>
      <w:tr w:rsidR="005D608C" w:rsidRPr="009A318D" w14:paraId="00954A16" w14:textId="77777777" w:rsidTr="009A318D">
        <w:trPr>
          <w:trHeight w:val="132"/>
          <w:jc w:val="center"/>
        </w:trPr>
        <w:tc>
          <w:tcPr>
            <w:tcW w:w="1529" w:type="dxa"/>
            <w:vMerge/>
            <w:shd w:val="clear" w:color="auto" w:fill="auto"/>
            <w:vAlign w:val="center"/>
            <w:hideMark/>
          </w:tcPr>
          <w:p w14:paraId="6EBCF34E" w14:textId="77777777" w:rsidR="005D608C" w:rsidRPr="009A318D" w:rsidRDefault="005D608C" w:rsidP="009A318D">
            <w:pPr>
              <w:jc w:val="center"/>
              <w:rPr>
                <w:rFonts w:ascii="仿宋_GB2312" w:eastAsia="仿宋_GB2312" w:hint="eastAsia"/>
                <w:b/>
                <w:bCs/>
              </w:rPr>
            </w:pPr>
          </w:p>
        </w:tc>
        <w:tc>
          <w:tcPr>
            <w:tcW w:w="5521" w:type="dxa"/>
            <w:shd w:val="clear" w:color="auto" w:fill="auto"/>
            <w:vAlign w:val="center"/>
            <w:hideMark/>
          </w:tcPr>
          <w:p w14:paraId="61CED97E" w14:textId="77777777" w:rsidR="005D608C" w:rsidRPr="009A318D"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M-3-1</w:t>
            </w:r>
            <w:r w:rsidRPr="005A0394">
              <w:rPr>
                <w:rFonts w:ascii="仿宋_GB2312" w:eastAsia="仿宋_GB2312" w:hint="eastAsia"/>
              </w:rPr>
              <w:t>中披露利息递</w:t>
            </w:r>
            <w:proofErr w:type="gramStart"/>
            <w:r w:rsidRPr="005A0394">
              <w:rPr>
                <w:rFonts w:ascii="仿宋_GB2312" w:eastAsia="仿宋_GB2312" w:hint="eastAsia"/>
              </w:rPr>
              <w:t>延支付权</w:t>
            </w:r>
            <w:proofErr w:type="gramEnd"/>
          </w:p>
          <w:p w14:paraId="577A8ED0" w14:textId="77777777" w:rsidR="005D608C" w:rsidRPr="009A318D" w:rsidRDefault="005D608C" w:rsidP="009A318D">
            <w:pPr>
              <w:rPr>
                <w:rFonts w:ascii="仿宋_GB2312" w:eastAsia="仿宋_GB2312" w:hint="eastAsia"/>
              </w:rPr>
            </w:pPr>
            <w:r w:rsidRPr="005A0394">
              <w:rPr>
                <w:rFonts w:ascii="仿宋_GB2312" w:eastAsia="仿宋_GB2312" w:hint="eastAsia"/>
              </w:rPr>
              <w:t>（一）利息递</w:t>
            </w:r>
            <w:proofErr w:type="gramStart"/>
            <w:r w:rsidRPr="005A0394">
              <w:rPr>
                <w:rFonts w:ascii="仿宋_GB2312" w:eastAsia="仿宋_GB2312" w:hint="eastAsia"/>
              </w:rPr>
              <w:t>延支付</w:t>
            </w:r>
            <w:proofErr w:type="gramEnd"/>
            <w:r w:rsidRPr="005A0394">
              <w:rPr>
                <w:rFonts w:ascii="仿宋_GB2312" w:eastAsia="仿宋_GB2312" w:hint="eastAsia"/>
              </w:rPr>
              <w:t>选择权</w:t>
            </w:r>
          </w:p>
          <w:p w14:paraId="13C5ABD0" w14:textId="77777777" w:rsidR="005D608C" w:rsidRPr="009A318D" w:rsidRDefault="005D608C" w:rsidP="009A318D">
            <w:pPr>
              <w:rPr>
                <w:rFonts w:ascii="仿宋_GB2312" w:eastAsia="仿宋_GB2312" w:hint="eastAsia"/>
              </w:rPr>
            </w:pPr>
            <w:r w:rsidRPr="005A0394">
              <w:rPr>
                <w:rFonts w:ascii="仿宋_GB2312" w:eastAsia="仿宋_GB2312" w:hint="eastAsia"/>
              </w:rPr>
              <w:t>除非发生强制付息事件，本期永续票据的每个付息日，发行人可自行选择将当期利息以及按照本条款已经递延的所有利息及其</w:t>
            </w:r>
            <w:proofErr w:type="gramStart"/>
            <w:r w:rsidRPr="005A0394">
              <w:rPr>
                <w:rFonts w:ascii="仿宋_GB2312" w:eastAsia="仿宋_GB2312" w:hint="eastAsia"/>
              </w:rPr>
              <w:t>孳</w:t>
            </w:r>
            <w:proofErr w:type="gramEnd"/>
            <w:r w:rsidRPr="005A0394">
              <w:rPr>
                <w:rFonts w:ascii="仿宋_GB2312" w:eastAsia="仿宋_GB2312" w:hint="eastAsia"/>
              </w:rPr>
              <w:t>息推迟至下一个付息日支付，且不受到任何利息递</w:t>
            </w:r>
            <w:proofErr w:type="gramStart"/>
            <w:r w:rsidRPr="005A0394">
              <w:rPr>
                <w:rFonts w:ascii="仿宋_GB2312" w:eastAsia="仿宋_GB2312" w:hint="eastAsia"/>
              </w:rPr>
              <w:t>延支付</w:t>
            </w:r>
            <w:proofErr w:type="gramEnd"/>
            <w:r w:rsidRPr="005A0394">
              <w:rPr>
                <w:rFonts w:ascii="仿宋_GB2312" w:eastAsia="仿宋_GB2312" w:hint="eastAsia"/>
              </w:rPr>
              <w:t>次数的限制；前述利息</w:t>
            </w:r>
            <w:proofErr w:type="gramStart"/>
            <w:r w:rsidRPr="005A0394">
              <w:rPr>
                <w:rFonts w:ascii="仿宋_GB2312" w:eastAsia="仿宋_GB2312" w:hint="eastAsia"/>
              </w:rPr>
              <w:t>递延不构成</w:t>
            </w:r>
            <w:proofErr w:type="gramEnd"/>
            <w:r w:rsidRPr="005A0394">
              <w:rPr>
                <w:rFonts w:ascii="仿宋_GB2312" w:eastAsia="仿宋_GB2312" w:hint="eastAsia"/>
              </w:rPr>
              <w:t>发行人未能按照约定足额支付利息的行为。每笔递延利息在递延期间应按当期票面利率累计/非累计计息。</w:t>
            </w:r>
          </w:p>
          <w:p w14:paraId="215D13C5" w14:textId="77777777" w:rsidR="005D608C" w:rsidRPr="009A318D" w:rsidRDefault="005D608C" w:rsidP="009A318D">
            <w:pPr>
              <w:rPr>
                <w:rFonts w:ascii="仿宋_GB2312" w:eastAsia="仿宋_GB2312" w:hint="eastAsia"/>
              </w:rPr>
            </w:pPr>
            <w:r w:rsidRPr="005A0394">
              <w:rPr>
                <w:rFonts w:ascii="仿宋_GB2312" w:eastAsia="仿宋_GB2312" w:hint="eastAsia"/>
              </w:rPr>
              <w:lastRenderedPageBreak/>
              <w:t>如发行人选择利息递延支付，则于付息日前10个工作日，由发行人通过交易商协会认可的网站披露《利息递延支付公告》。</w:t>
            </w:r>
          </w:p>
          <w:p w14:paraId="0ACC31CE" w14:textId="77777777" w:rsidR="005D608C" w:rsidRPr="009A318D" w:rsidRDefault="005D608C" w:rsidP="009A318D">
            <w:pPr>
              <w:rPr>
                <w:rFonts w:ascii="仿宋_GB2312" w:eastAsia="仿宋_GB2312" w:hint="eastAsia"/>
              </w:rPr>
            </w:pPr>
            <w:r w:rsidRPr="005A0394">
              <w:rPr>
                <w:rFonts w:ascii="仿宋_GB2312" w:eastAsia="仿宋_GB2312" w:hint="eastAsia"/>
              </w:rPr>
              <w:t>（二）利息递</w:t>
            </w:r>
            <w:proofErr w:type="gramStart"/>
            <w:r w:rsidRPr="005A0394">
              <w:rPr>
                <w:rFonts w:ascii="仿宋_GB2312" w:eastAsia="仿宋_GB2312" w:hint="eastAsia"/>
              </w:rPr>
              <w:t>延支付下</w:t>
            </w:r>
            <w:proofErr w:type="gramEnd"/>
            <w:r w:rsidRPr="005A0394">
              <w:rPr>
                <w:rFonts w:ascii="仿宋_GB2312" w:eastAsia="仿宋_GB2312" w:hint="eastAsia"/>
              </w:rPr>
              <w:t>的限制事项</w:t>
            </w:r>
          </w:p>
          <w:p w14:paraId="569F5904" w14:textId="77777777" w:rsidR="005D608C" w:rsidRPr="009A318D" w:rsidRDefault="005D608C" w:rsidP="009A318D">
            <w:pPr>
              <w:rPr>
                <w:rFonts w:ascii="仿宋_GB2312" w:eastAsia="仿宋_GB2312" w:hint="eastAsia"/>
              </w:rPr>
            </w:pPr>
            <w:r w:rsidRPr="005A0394">
              <w:rPr>
                <w:rFonts w:ascii="仿宋_GB2312" w:eastAsia="仿宋_GB2312" w:hint="eastAsia"/>
              </w:rPr>
              <w:t>发行人（母公司）有利息递</w:t>
            </w:r>
            <w:proofErr w:type="gramStart"/>
            <w:r w:rsidRPr="005A0394">
              <w:rPr>
                <w:rFonts w:ascii="仿宋_GB2312" w:eastAsia="仿宋_GB2312" w:hint="eastAsia"/>
              </w:rPr>
              <w:t>延支付</w:t>
            </w:r>
            <w:proofErr w:type="gramEnd"/>
            <w:r w:rsidRPr="005A0394">
              <w:rPr>
                <w:rFonts w:ascii="仿宋_GB2312" w:eastAsia="仿宋_GB2312" w:hint="eastAsia"/>
              </w:rPr>
              <w:t>的情形时，在已递延利息及其</w:t>
            </w:r>
            <w:proofErr w:type="gramStart"/>
            <w:r w:rsidRPr="005A0394">
              <w:rPr>
                <w:rFonts w:ascii="仿宋_GB2312" w:eastAsia="仿宋_GB2312" w:hint="eastAsia"/>
              </w:rPr>
              <w:t>孳</w:t>
            </w:r>
            <w:proofErr w:type="gramEnd"/>
            <w:r w:rsidRPr="005A0394">
              <w:rPr>
                <w:rFonts w:ascii="仿宋_GB2312" w:eastAsia="仿宋_GB2312" w:hint="eastAsia"/>
              </w:rPr>
              <w:t>息全部清偿完毕之前，不得从事下列行为：1、向普通股股东分红</w:t>
            </w:r>
            <w:r>
              <w:rPr>
                <w:rStyle w:val="a9"/>
                <w:rFonts w:ascii="仿宋_GB2312" w:eastAsia="仿宋_GB2312"/>
              </w:rPr>
              <w:footnoteReference w:id="3"/>
            </w:r>
            <w:r w:rsidRPr="005A0394">
              <w:rPr>
                <w:rFonts w:ascii="仿宋_GB2312" w:eastAsia="仿宋_GB2312" w:hint="eastAsia"/>
              </w:rPr>
              <w:t xml:space="preserve">；2、减少注册资本。                                                          </w:t>
            </w:r>
          </w:p>
          <w:p w14:paraId="3A26DC99" w14:textId="77777777" w:rsidR="005D608C" w:rsidRPr="005A0394" w:rsidRDefault="005D608C" w:rsidP="009A318D">
            <w:pPr>
              <w:pStyle w:val="Default"/>
              <w:jc w:val="both"/>
              <w:rPr>
                <w:rFonts w:hAnsi="Times New Roman" w:cs="Times New Roman" w:hint="eastAsia"/>
                <w:color w:val="auto"/>
              </w:rPr>
            </w:pPr>
            <w:r w:rsidRPr="009A318D">
              <w:rPr>
                <w:rFonts w:hint="eastAsia"/>
                <w:color w:val="auto"/>
              </w:rPr>
              <w:t>（三）</w:t>
            </w:r>
            <w:r w:rsidRPr="005A0394">
              <w:rPr>
                <w:rFonts w:hAnsi="Times New Roman" w:cs="Times New Roman" w:hint="eastAsia"/>
                <w:color w:val="auto"/>
              </w:rPr>
              <w:t>强制付息事件</w:t>
            </w:r>
          </w:p>
          <w:p w14:paraId="7FE9B3DE" w14:textId="77777777" w:rsidR="005D608C" w:rsidRPr="005A0394" w:rsidRDefault="005D608C" w:rsidP="009A318D">
            <w:pPr>
              <w:pStyle w:val="Default"/>
              <w:jc w:val="both"/>
              <w:rPr>
                <w:rFonts w:cs="Times New Roman" w:hint="eastAsia"/>
                <w:color w:val="auto"/>
                <w:kern w:val="2"/>
              </w:rPr>
            </w:pPr>
            <w:r w:rsidRPr="005A0394">
              <w:rPr>
                <w:rFonts w:cs="Times New Roman" w:hint="eastAsia"/>
                <w:color w:val="auto"/>
                <w:kern w:val="2"/>
              </w:rPr>
              <w:t>在本期永续票据付息日前12个月内，发生以下事件的，应当在事项发生之日起2个工作日内，通过交易商协会认可的网站及时披露，明确该事件已触发强制付息条件，且发行人（母公司）不得递</w:t>
            </w:r>
            <w:proofErr w:type="gramStart"/>
            <w:r w:rsidRPr="005A0394">
              <w:rPr>
                <w:rFonts w:cs="Times New Roman" w:hint="eastAsia"/>
                <w:color w:val="auto"/>
                <w:kern w:val="2"/>
              </w:rPr>
              <w:t>延支付</w:t>
            </w:r>
            <w:proofErr w:type="gramEnd"/>
            <w:r w:rsidRPr="005A0394">
              <w:rPr>
                <w:rFonts w:cs="Times New Roman" w:hint="eastAsia"/>
                <w:color w:val="auto"/>
                <w:kern w:val="2"/>
              </w:rPr>
              <w:t>当期利息以及按照本条款已经递延的所有利息及其</w:t>
            </w:r>
            <w:proofErr w:type="gramStart"/>
            <w:r w:rsidRPr="005A0394">
              <w:rPr>
                <w:rFonts w:cs="Times New Roman" w:hint="eastAsia"/>
                <w:color w:val="auto"/>
                <w:kern w:val="2"/>
              </w:rPr>
              <w:t>孳</w:t>
            </w:r>
            <w:proofErr w:type="gramEnd"/>
            <w:r w:rsidRPr="005A0394">
              <w:rPr>
                <w:rFonts w:cs="Times New Roman" w:hint="eastAsia"/>
                <w:color w:val="auto"/>
                <w:kern w:val="2"/>
              </w:rPr>
              <w:t>息：1、向普通股股东分红</w:t>
            </w:r>
            <w:r>
              <w:rPr>
                <w:rStyle w:val="a9"/>
                <w:rFonts w:cs="Times New Roman"/>
                <w:color w:val="auto"/>
                <w:kern w:val="2"/>
              </w:rPr>
              <w:footnoteReference w:id="4"/>
            </w:r>
            <w:r w:rsidRPr="005A0394">
              <w:rPr>
                <w:rFonts w:cs="Times New Roman" w:hint="eastAsia"/>
                <w:color w:val="auto"/>
                <w:kern w:val="2"/>
              </w:rPr>
              <w:t>；2、减少注册资本。</w:t>
            </w:r>
          </w:p>
          <w:p w14:paraId="43A64721" w14:textId="77777777" w:rsidR="005D608C" w:rsidRPr="009A318D" w:rsidRDefault="005D608C" w:rsidP="009A318D">
            <w:pPr>
              <w:pStyle w:val="Default"/>
              <w:jc w:val="both"/>
              <w:rPr>
                <w:rFonts w:hint="eastAsia"/>
                <w:color w:val="auto"/>
              </w:rPr>
            </w:pPr>
            <w:r w:rsidRPr="009A318D">
              <w:rPr>
                <w:rFonts w:hint="eastAsia"/>
                <w:color w:val="auto"/>
              </w:rPr>
              <w:t>发行人承诺不存在隐性强制分红情况。</w:t>
            </w:r>
          </w:p>
        </w:tc>
        <w:tc>
          <w:tcPr>
            <w:tcW w:w="851" w:type="dxa"/>
            <w:shd w:val="clear" w:color="auto" w:fill="auto"/>
            <w:vAlign w:val="center"/>
            <w:hideMark/>
          </w:tcPr>
          <w:p w14:paraId="5D03A403"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6FB7FDEC" w14:textId="77777777" w:rsidR="005D608C" w:rsidRPr="009A318D" w:rsidRDefault="005D608C" w:rsidP="009A318D">
            <w:pPr>
              <w:rPr>
                <w:rFonts w:ascii="仿宋_GB2312" w:eastAsia="仿宋_GB2312" w:hint="eastAsia"/>
              </w:rPr>
            </w:pPr>
          </w:p>
        </w:tc>
      </w:tr>
      <w:tr w:rsidR="005D608C" w:rsidRPr="009A318D" w14:paraId="6C8A65CB" w14:textId="77777777" w:rsidTr="009A318D">
        <w:trPr>
          <w:trHeight w:val="270"/>
          <w:jc w:val="center"/>
        </w:trPr>
        <w:tc>
          <w:tcPr>
            <w:tcW w:w="1529" w:type="dxa"/>
            <w:vMerge/>
            <w:shd w:val="clear" w:color="auto" w:fill="auto"/>
            <w:vAlign w:val="center"/>
            <w:hideMark/>
          </w:tcPr>
          <w:p w14:paraId="7A47F180" w14:textId="77777777" w:rsidR="005D608C" w:rsidRPr="009A318D" w:rsidRDefault="005D608C" w:rsidP="009A318D">
            <w:pPr>
              <w:jc w:val="center"/>
              <w:rPr>
                <w:rFonts w:ascii="仿宋_GB2312" w:eastAsia="仿宋_GB2312" w:hint="eastAsia"/>
                <w:b/>
                <w:bCs/>
              </w:rPr>
            </w:pPr>
          </w:p>
        </w:tc>
        <w:tc>
          <w:tcPr>
            <w:tcW w:w="5521" w:type="dxa"/>
            <w:shd w:val="clear" w:color="auto" w:fill="auto"/>
            <w:vAlign w:val="center"/>
            <w:hideMark/>
          </w:tcPr>
          <w:p w14:paraId="3508AE98" w14:textId="77777777" w:rsidR="005D608C" w:rsidRPr="005A0394" w:rsidRDefault="005D608C" w:rsidP="009A318D">
            <w:pPr>
              <w:pStyle w:val="Default"/>
              <w:jc w:val="both"/>
              <w:rPr>
                <w:rFonts w:hAnsi="Times New Roman" w:cs="Times New Roman" w:hint="eastAsia"/>
                <w:color w:val="auto"/>
              </w:rPr>
            </w:pPr>
            <w:r w:rsidRPr="009A318D">
              <w:rPr>
                <w:rFonts w:hint="eastAsia"/>
                <w:color w:val="auto"/>
              </w:rPr>
              <w:t>在</w:t>
            </w:r>
            <w:r w:rsidRPr="009A318D">
              <w:rPr>
                <w:rFonts w:hAnsi="Times New Roman" w:cs="Times New Roman" w:hint="eastAsia"/>
                <w:color w:val="auto"/>
              </w:rPr>
              <w:t>M-3-1</w:t>
            </w:r>
            <w:r w:rsidRPr="009A318D">
              <w:rPr>
                <w:rFonts w:hint="eastAsia"/>
                <w:color w:val="auto"/>
              </w:rPr>
              <w:t>中披露</w:t>
            </w:r>
            <w:r w:rsidRPr="005A0394">
              <w:rPr>
                <w:rFonts w:hAnsi="Times New Roman" w:cs="Times New Roman" w:hint="eastAsia"/>
                <w:color w:val="auto"/>
              </w:rPr>
              <w:t>持有人救济条款：如发生强制付息事件时发行人仍未付息，或发行人违反利息递延下的限制事项，本期永续票据的主承销商、</w:t>
            </w:r>
            <w:proofErr w:type="gramStart"/>
            <w:r w:rsidRPr="005A0394">
              <w:rPr>
                <w:rFonts w:hAnsi="Times New Roman" w:cs="Times New Roman" w:hint="eastAsia"/>
                <w:color w:val="auto"/>
              </w:rPr>
              <w:t>联席主</w:t>
            </w:r>
            <w:proofErr w:type="gramEnd"/>
            <w:r w:rsidRPr="005A0394">
              <w:rPr>
                <w:rFonts w:hAnsi="Times New Roman" w:cs="Times New Roman" w:hint="eastAsia"/>
                <w:color w:val="auto"/>
              </w:rPr>
              <w:t>承销商（如有）自知悉该情形之日起按勤勉尽责的要求召集持有人会议，由持有人会议达成相关决议。</w:t>
            </w:r>
          </w:p>
        </w:tc>
        <w:tc>
          <w:tcPr>
            <w:tcW w:w="851" w:type="dxa"/>
            <w:shd w:val="clear" w:color="auto" w:fill="auto"/>
            <w:vAlign w:val="center"/>
            <w:hideMark/>
          </w:tcPr>
          <w:p w14:paraId="291EBC3C"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1B281A6C" w14:textId="77777777" w:rsidR="005D608C" w:rsidRPr="009A318D" w:rsidRDefault="005D608C" w:rsidP="009A318D">
            <w:pPr>
              <w:rPr>
                <w:rFonts w:ascii="仿宋_GB2312" w:eastAsia="仿宋_GB2312" w:hint="eastAsia"/>
              </w:rPr>
            </w:pPr>
          </w:p>
        </w:tc>
      </w:tr>
      <w:tr w:rsidR="005D608C" w:rsidRPr="009A318D" w14:paraId="3B024092" w14:textId="77777777" w:rsidTr="009A318D">
        <w:trPr>
          <w:trHeight w:val="1011"/>
          <w:jc w:val="center"/>
        </w:trPr>
        <w:tc>
          <w:tcPr>
            <w:tcW w:w="1529" w:type="dxa"/>
            <w:vMerge/>
            <w:shd w:val="clear" w:color="auto" w:fill="auto"/>
            <w:vAlign w:val="center"/>
          </w:tcPr>
          <w:p w14:paraId="146FFE4E" w14:textId="77777777" w:rsidR="005D608C" w:rsidRPr="009A318D" w:rsidRDefault="005D608C" w:rsidP="009A318D">
            <w:pPr>
              <w:jc w:val="center"/>
              <w:rPr>
                <w:rFonts w:ascii="仿宋_GB2312" w:eastAsia="仿宋_GB2312" w:hint="eastAsia"/>
                <w:b/>
                <w:bCs/>
              </w:rPr>
            </w:pPr>
          </w:p>
        </w:tc>
        <w:tc>
          <w:tcPr>
            <w:tcW w:w="5521" w:type="dxa"/>
            <w:shd w:val="clear" w:color="auto" w:fill="auto"/>
            <w:vAlign w:val="center"/>
          </w:tcPr>
          <w:p w14:paraId="277BBCFF" w14:textId="77777777" w:rsidR="005D608C" w:rsidRPr="009A318D" w:rsidRDefault="005D608C" w:rsidP="009A318D">
            <w:pPr>
              <w:pStyle w:val="Default"/>
              <w:jc w:val="both"/>
              <w:rPr>
                <w:rFonts w:hAnsi="Times New Roman" w:cs="Times New Roman" w:hint="eastAsia"/>
                <w:b/>
                <w:color w:val="auto"/>
              </w:rPr>
            </w:pPr>
            <w:r w:rsidRPr="009A318D">
              <w:rPr>
                <w:rFonts w:hint="eastAsia"/>
                <w:color w:val="auto"/>
              </w:rPr>
              <w:t>在</w:t>
            </w:r>
            <w:r w:rsidRPr="009A318D">
              <w:rPr>
                <w:rFonts w:hAnsi="Times New Roman" w:cs="Times New Roman" w:hint="eastAsia"/>
                <w:color w:val="auto"/>
              </w:rPr>
              <w:t>M-3-1</w:t>
            </w:r>
            <w:r w:rsidRPr="009A318D">
              <w:rPr>
                <w:rFonts w:hint="eastAsia"/>
                <w:color w:val="auto"/>
              </w:rPr>
              <w:t>中披露</w:t>
            </w:r>
            <w:r w:rsidRPr="005A0394">
              <w:rPr>
                <w:rFonts w:hAnsi="Times New Roman" w:cs="Times New Roman" w:hint="eastAsia"/>
                <w:color w:val="auto"/>
              </w:rPr>
              <w:t>会计处理：发行人根据企业会计准则和相关规定，经对发行条款和相关信息全面分析判断，</w:t>
            </w:r>
            <w:r w:rsidRPr="005A0394">
              <w:rPr>
                <w:rFonts w:hAnsi="Times New Roman" w:cs="Times New Roman" w:hint="eastAsia"/>
                <w:b/>
                <w:color w:val="auto"/>
              </w:rPr>
              <w:t>在会计初始确认时是/</w:t>
            </w:r>
            <w:proofErr w:type="gramStart"/>
            <w:r w:rsidRPr="005A0394">
              <w:rPr>
                <w:rFonts w:hAnsi="Times New Roman" w:cs="Times New Roman" w:hint="eastAsia"/>
                <w:b/>
                <w:color w:val="auto"/>
              </w:rPr>
              <w:t>否拟将</w:t>
            </w:r>
            <w:proofErr w:type="gramEnd"/>
            <w:r w:rsidRPr="005A0394">
              <w:rPr>
                <w:rFonts w:hAnsi="Times New Roman" w:cs="Times New Roman" w:hint="eastAsia"/>
                <w:b/>
                <w:color w:val="auto"/>
              </w:rPr>
              <w:t>本期永续票据计入所有者权益。</w:t>
            </w:r>
          </w:p>
        </w:tc>
        <w:tc>
          <w:tcPr>
            <w:tcW w:w="851" w:type="dxa"/>
            <w:shd w:val="clear" w:color="auto" w:fill="auto"/>
            <w:vAlign w:val="center"/>
          </w:tcPr>
          <w:p w14:paraId="510E4120" w14:textId="77777777" w:rsidR="005D608C" w:rsidRPr="009A318D" w:rsidRDefault="005D608C" w:rsidP="009A318D">
            <w:pPr>
              <w:rPr>
                <w:rFonts w:ascii="仿宋_GB2312" w:eastAsia="仿宋_GB2312" w:hint="eastAsia"/>
              </w:rPr>
            </w:pPr>
          </w:p>
        </w:tc>
        <w:tc>
          <w:tcPr>
            <w:tcW w:w="709" w:type="dxa"/>
            <w:shd w:val="clear" w:color="auto" w:fill="auto"/>
            <w:vAlign w:val="center"/>
          </w:tcPr>
          <w:p w14:paraId="2AE55533" w14:textId="77777777" w:rsidR="005D608C" w:rsidRPr="009A318D" w:rsidRDefault="005D608C" w:rsidP="009A318D">
            <w:pPr>
              <w:rPr>
                <w:rFonts w:ascii="仿宋_GB2312" w:eastAsia="仿宋_GB2312" w:hint="eastAsia"/>
              </w:rPr>
            </w:pPr>
          </w:p>
        </w:tc>
      </w:tr>
      <w:tr w:rsidR="005D608C" w:rsidRPr="009A318D" w14:paraId="304DDC7B" w14:textId="77777777" w:rsidTr="009A318D">
        <w:trPr>
          <w:trHeight w:val="409"/>
          <w:jc w:val="center"/>
        </w:trPr>
        <w:tc>
          <w:tcPr>
            <w:tcW w:w="1529" w:type="dxa"/>
            <w:vMerge w:val="restart"/>
            <w:shd w:val="clear" w:color="auto" w:fill="auto"/>
            <w:vAlign w:val="center"/>
            <w:hideMark/>
          </w:tcPr>
          <w:p w14:paraId="6073FFF9" w14:textId="77777777" w:rsidR="005D608C" w:rsidRPr="009A318D" w:rsidRDefault="005D608C" w:rsidP="009A318D">
            <w:pPr>
              <w:jc w:val="center"/>
              <w:rPr>
                <w:rFonts w:ascii="仿宋_GB2312" w:eastAsia="仿宋_GB2312" w:hint="eastAsia"/>
                <w:b/>
                <w:bCs/>
              </w:rPr>
            </w:pPr>
            <w:r w:rsidRPr="009A318D">
              <w:rPr>
                <w:rFonts w:ascii="仿宋_GB2312" w:eastAsia="仿宋_GB2312" w:hint="eastAsia"/>
                <w:b/>
                <w:bCs/>
                <w:szCs w:val="18"/>
              </w:rPr>
              <w:t>MC</w:t>
            </w:r>
            <w:r w:rsidRPr="009A318D">
              <w:rPr>
                <w:rFonts w:ascii="仿宋_GB2312" w:eastAsia="仿宋_GB2312" w:hint="eastAsia"/>
                <w:b/>
                <w:bCs/>
              </w:rPr>
              <w:t>.2-4</w:t>
            </w:r>
          </w:p>
        </w:tc>
        <w:tc>
          <w:tcPr>
            <w:tcW w:w="5521" w:type="dxa"/>
            <w:shd w:val="clear" w:color="auto" w:fill="auto"/>
            <w:vAlign w:val="center"/>
            <w:hideMark/>
          </w:tcPr>
          <w:p w14:paraId="5D2FD29D" w14:textId="77777777" w:rsidR="005D608C" w:rsidRPr="009A318D" w:rsidRDefault="005D608C" w:rsidP="009A318D">
            <w:pPr>
              <w:rPr>
                <w:rFonts w:ascii="仿宋_GB2312" w:eastAsia="仿宋_GB2312" w:hint="eastAsia"/>
                <w:b/>
                <w:bCs/>
              </w:rPr>
            </w:pPr>
            <w:r w:rsidRPr="009A318D">
              <w:rPr>
                <w:rFonts w:ascii="仿宋_GB2312" w:eastAsia="仿宋_GB2312" w:hint="eastAsia"/>
                <w:b/>
                <w:bCs/>
              </w:rPr>
              <w:t>第四章 募集资金运用</w:t>
            </w:r>
          </w:p>
        </w:tc>
        <w:tc>
          <w:tcPr>
            <w:tcW w:w="851" w:type="dxa"/>
            <w:shd w:val="clear" w:color="auto" w:fill="auto"/>
            <w:vAlign w:val="center"/>
            <w:hideMark/>
          </w:tcPr>
          <w:p w14:paraId="0EAFC51A"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082937C9" w14:textId="77777777" w:rsidR="005D608C" w:rsidRPr="009A318D" w:rsidRDefault="005D608C" w:rsidP="009A318D">
            <w:pPr>
              <w:rPr>
                <w:rFonts w:ascii="仿宋_GB2312" w:eastAsia="仿宋_GB2312" w:hint="eastAsia"/>
              </w:rPr>
            </w:pPr>
          </w:p>
        </w:tc>
      </w:tr>
      <w:tr w:rsidR="005D608C" w:rsidRPr="009A318D" w14:paraId="3B87ED10" w14:textId="77777777" w:rsidTr="009A318D">
        <w:trPr>
          <w:trHeight w:val="132"/>
          <w:jc w:val="center"/>
        </w:trPr>
        <w:tc>
          <w:tcPr>
            <w:tcW w:w="1529" w:type="dxa"/>
            <w:vMerge/>
            <w:shd w:val="clear" w:color="auto" w:fill="auto"/>
            <w:vAlign w:val="center"/>
            <w:hideMark/>
          </w:tcPr>
          <w:p w14:paraId="361038F2" w14:textId="77777777" w:rsidR="005D608C" w:rsidRPr="009A318D" w:rsidRDefault="005D608C" w:rsidP="009A318D">
            <w:pPr>
              <w:jc w:val="center"/>
              <w:rPr>
                <w:rFonts w:ascii="仿宋_GB2312" w:eastAsia="仿宋_GB2312" w:hint="eastAsia"/>
              </w:rPr>
            </w:pPr>
          </w:p>
        </w:tc>
        <w:tc>
          <w:tcPr>
            <w:tcW w:w="5521" w:type="dxa"/>
            <w:shd w:val="clear" w:color="auto" w:fill="auto"/>
            <w:vAlign w:val="center"/>
            <w:hideMark/>
          </w:tcPr>
          <w:p w14:paraId="276562B9" w14:textId="77777777" w:rsidR="005D608C" w:rsidRPr="009A318D" w:rsidRDefault="005D608C" w:rsidP="009A318D">
            <w:pPr>
              <w:rPr>
                <w:rFonts w:ascii="仿宋_GB2312" w:eastAsia="仿宋_GB2312" w:hint="eastAsia"/>
              </w:rPr>
            </w:pPr>
            <w:r w:rsidRPr="005A0394">
              <w:rPr>
                <w:rFonts w:ascii="仿宋_GB2312" w:eastAsia="仿宋_GB2312" w:hint="eastAsia"/>
              </w:rPr>
              <w:t>如用于项目资本金，在</w:t>
            </w:r>
            <w:r w:rsidRPr="009A318D">
              <w:rPr>
                <w:rFonts w:ascii="仿宋_GB2312" w:eastAsia="仿宋_GB2312" w:hint="eastAsia"/>
              </w:rPr>
              <w:t>M-4-1</w:t>
            </w:r>
            <w:r w:rsidRPr="005A0394">
              <w:rPr>
                <w:rFonts w:ascii="仿宋_GB2312" w:eastAsia="仿宋_GB2312" w:hint="eastAsia"/>
              </w:rPr>
              <w:t>中披露：</w:t>
            </w:r>
          </w:p>
          <w:p w14:paraId="77891FA1" w14:textId="77777777" w:rsidR="005D608C" w:rsidRPr="009A318D" w:rsidRDefault="005D608C" w:rsidP="009A318D">
            <w:pPr>
              <w:rPr>
                <w:rFonts w:ascii="仿宋_GB2312" w:eastAsia="仿宋_GB2312" w:hint="eastAsia"/>
              </w:rPr>
            </w:pPr>
            <w:r w:rsidRPr="005A0394">
              <w:rPr>
                <w:rFonts w:ascii="仿宋_GB2312" w:eastAsia="仿宋_GB2312" w:hint="eastAsia"/>
              </w:rPr>
              <w:t>（一）项目基本内容，包括但不限于项目投资金额、投资期限、投资计划、投资资金安排、资本金已到位情况、已取得批文情况等情况。</w:t>
            </w:r>
          </w:p>
          <w:p w14:paraId="628F6E2E" w14:textId="77777777" w:rsidR="005D608C" w:rsidRPr="009A318D" w:rsidRDefault="005D608C" w:rsidP="009A318D">
            <w:pPr>
              <w:rPr>
                <w:rFonts w:ascii="仿宋_GB2312" w:eastAsia="仿宋_GB2312" w:hint="eastAsia"/>
              </w:rPr>
            </w:pPr>
            <w:r w:rsidRPr="005A0394">
              <w:rPr>
                <w:rFonts w:ascii="仿宋_GB2312" w:eastAsia="仿宋_GB2312" w:hint="eastAsia"/>
              </w:rPr>
              <w:t>（二）承诺项目合法合</w:t>
            </w:r>
            <w:proofErr w:type="gramStart"/>
            <w:r w:rsidRPr="005A0394">
              <w:rPr>
                <w:rFonts w:ascii="仿宋_GB2312" w:eastAsia="仿宋_GB2312" w:hint="eastAsia"/>
              </w:rPr>
              <w:t>规</w:t>
            </w:r>
            <w:proofErr w:type="gramEnd"/>
            <w:r w:rsidRPr="005A0394">
              <w:rPr>
                <w:rFonts w:ascii="仿宋_GB2312" w:eastAsia="仿宋_GB2312" w:hint="eastAsia"/>
              </w:rPr>
              <w:t>、符合国家相关产业政策、不存在未批先建等不合</w:t>
            </w:r>
            <w:proofErr w:type="gramStart"/>
            <w:r w:rsidRPr="005A0394">
              <w:rPr>
                <w:rFonts w:ascii="仿宋_GB2312" w:eastAsia="仿宋_GB2312" w:hint="eastAsia"/>
              </w:rPr>
              <w:t>规</w:t>
            </w:r>
            <w:proofErr w:type="gramEnd"/>
            <w:r w:rsidRPr="005A0394">
              <w:rPr>
                <w:rFonts w:ascii="仿宋_GB2312" w:eastAsia="仿宋_GB2312" w:hint="eastAsia"/>
              </w:rPr>
              <w:t>行为。</w:t>
            </w:r>
          </w:p>
          <w:p w14:paraId="3382BCF1" w14:textId="77777777" w:rsidR="005D608C" w:rsidRPr="009A318D" w:rsidRDefault="005D608C" w:rsidP="009A318D">
            <w:pPr>
              <w:rPr>
                <w:rFonts w:ascii="仿宋_GB2312" w:eastAsia="仿宋_GB2312" w:hint="eastAsia"/>
              </w:rPr>
            </w:pPr>
            <w:r w:rsidRPr="005A0394">
              <w:rPr>
                <w:rFonts w:ascii="仿宋_GB2312" w:eastAsia="仿宋_GB2312" w:hint="eastAsia"/>
              </w:rPr>
              <w:t>（三）采取专户资金监管模式，并附相应的资金监管协议。</w:t>
            </w:r>
          </w:p>
        </w:tc>
        <w:tc>
          <w:tcPr>
            <w:tcW w:w="851" w:type="dxa"/>
            <w:shd w:val="clear" w:color="auto" w:fill="auto"/>
            <w:vAlign w:val="center"/>
            <w:hideMark/>
          </w:tcPr>
          <w:p w14:paraId="39974869" w14:textId="77777777" w:rsidR="005D608C" w:rsidRPr="009A318D" w:rsidRDefault="005D608C" w:rsidP="009A318D">
            <w:pPr>
              <w:rPr>
                <w:rFonts w:ascii="仿宋_GB2312" w:eastAsia="仿宋_GB2312" w:hint="eastAsia"/>
              </w:rPr>
            </w:pPr>
          </w:p>
          <w:p w14:paraId="7BC1BC55"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52630110" w14:textId="77777777" w:rsidR="005D608C" w:rsidRPr="009A318D" w:rsidRDefault="005D608C" w:rsidP="009A318D">
            <w:pPr>
              <w:rPr>
                <w:rFonts w:ascii="仿宋_GB2312" w:eastAsia="仿宋_GB2312" w:hint="eastAsia"/>
              </w:rPr>
            </w:pPr>
          </w:p>
          <w:p w14:paraId="3B2CAA24" w14:textId="77777777" w:rsidR="005D608C" w:rsidRPr="009A318D" w:rsidRDefault="005D608C" w:rsidP="009A318D">
            <w:pPr>
              <w:rPr>
                <w:rFonts w:ascii="仿宋_GB2312" w:eastAsia="仿宋_GB2312" w:hint="eastAsia"/>
              </w:rPr>
            </w:pPr>
          </w:p>
        </w:tc>
      </w:tr>
      <w:tr w:rsidR="005D608C" w:rsidRPr="009A318D" w14:paraId="33D0205C" w14:textId="77777777" w:rsidTr="009A318D">
        <w:trPr>
          <w:trHeight w:val="270"/>
          <w:jc w:val="center"/>
        </w:trPr>
        <w:tc>
          <w:tcPr>
            <w:tcW w:w="1529" w:type="dxa"/>
            <w:vMerge w:val="restart"/>
            <w:shd w:val="clear" w:color="auto" w:fill="auto"/>
            <w:vAlign w:val="center"/>
            <w:hideMark/>
          </w:tcPr>
          <w:p w14:paraId="689E4B50" w14:textId="77777777" w:rsidR="005D608C" w:rsidRPr="009A318D" w:rsidRDefault="005D608C" w:rsidP="009A318D">
            <w:pPr>
              <w:jc w:val="center"/>
              <w:rPr>
                <w:rFonts w:ascii="仿宋_GB2312" w:eastAsia="仿宋_GB2312" w:hint="eastAsia"/>
                <w:b/>
                <w:bCs/>
              </w:rPr>
            </w:pPr>
            <w:r w:rsidRPr="009A318D">
              <w:rPr>
                <w:rFonts w:ascii="仿宋_GB2312" w:eastAsia="仿宋_GB2312" w:hint="eastAsia"/>
                <w:b/>
                <w:bCs/>
                <w:szCs w:val="18"/>
              </w:rPr>
              <w:t>MC</w:t>
            </w:r>
            <w:r w:rsidRPr="009A318D">
              <w:rPr>
                <w:rFonts w:ascii="仿宋_GB2312" w:eastAsia="仿宋_GB2312" w:hint="eastAsia"/>
                <w:b/>
                <w:bCs/>
              </w:rPr>
              <w:t>.2-5</w:t>
            </w:r>
          </w:p>
        </w:tc>
        <w:tc>
          <w:tcPr>
            <w:tcW w:w="5521" w:type="dxa"/>
            <w:shd w:val="clear" w:color="auto" w:fill="auto"/>
            <w:vAlign w:val="center"/>
            <w:hideMark/>
          </w:tcPr>
          <w:p w14:paraId="1BBC275D" w14:textId="77777777" w:rsidR="005D608C" w:rsidRPr="009A318D" w:rsidRDefault="005D608C" w:rsidP="009A318D">
            <w:pPr>
              <w:rPr>
                <w:rFonts w:ascii="仿宋_GB2312" w:eastAsia="仿宋_GB2312" w:hint="eastAsia"/>
                <w:b/>
                <w:bCs/>
              </w:rPr>
            </w:pPr>
            <w:r w:rsidRPr="009A318D">
              <w:rPr>
                <w:rFonts w:ascii="仿宋_GB2312" w:eastAsia="仿宋_GB2312" w:hint="eastAsia"/>
                <w:b/>
                <w:bCs/>
              </w:rPr>
              <w:t>第六章 企业主要财务状况</w:t>
            </w:r>
          </w:p>
        </w:tc>
        <w:tc>
          <w:tcPr>
            <w:tcW w:w="851" w:type="dxa"/>
            <w:shd w:val="clear" w:color="auto" w:fill="auto"/>
            <w:vAlign w:val="center"/>
            <w:hideMark/>
          </w:tcPr>
          <w:p w14:paraId="1C3ED276"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311CAAC5" w14:textId="77777777" w:rsidR="005D608C" w:rsidRPr="009A318D" w:rsidRDefault="005D608C" w:rsidP="009A318D">
            <w:pPr>
              <w:rPr>
                <w:rFonts w:ascii="仿宋_GB2312" w:eastAsia="仿宋_GB2312" w:hint="eastAsia"/>
              </w:rPr>
            </w:pPr>
          </w:p>
        </w:tc>
      </w:tr>
      <w:tr w:rsidR="005D608C" w:rsidRPr="009A318D" w14:paraId="54AB9998" w14:textId="77777777" w:rsidTr="009A318D">
        <w:trPr>
          <w:trHeight w:val="540"/>
          <w:jc w:val="center"/>
        </w:trPr>
        <w:tc>
          <w:tcPr>
            <w:tcW w:w="1529" w:type="dxa"/>
            <w:vMerge/>
            <w:shd w:val="clear" w:color="auto" w:fill="auto"/>
            <w:vAlign w:val="center"/>
            <w:hideMark/>
          </w:tcPr>
          <w:p w14:paraId="52762643" w14:textId="77777777" w:rsidR="005D608C" w:rsidRPr="009A318D" w:rsidRDefault="005D608C" w:rsidP="009A318D">
            <w:pPr>
              <w:jc w:val="center"/>
              <w:rPr>
                <w:rFonts w:ascii="仿宋_GB2312" w:eastAsia="仿宋_GB2312" w:hint="eastAsia"/>
              </w:rPr>
            </w:pPr>
          </w:p>
        </w:tc>
        <w:tc>
          <w:tcPr>
            <w:tcW w:w="5521" w:type="dxa"/>
            <w:shd w:val="clear" w:color="auto" w:fill="auto"/>
            <w:vAlign w:val="center"/>
            <w:hideMark/>
          </w:tcPr>
          <w:p w14:paraId="19A6C510" w14:textId="77777777" w:rsidR="005D608C" w:rsidRPr="009A318D"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M-6-1</w:t>
            </w:r>
            <w:r w:rsidRPr="005A0394">
              <w:rPr>
                <w:rFonts w:ascii="仿宋_GB2312" w:eastAsia="仿宋_GB2312" w:hint="eastAsia"/>
              </w:rPr>
              <w:t>中</w:t>
            </w:r>
            <w:proofErr w:type="gramStart"/>
            <w:r w:rsidRPr="005A0394">
              <w:rPr>
                <w:rFonts w:ascii="仿宋_GB2312" w:eastAsia="仿宋_GB2312" w:hint="eastAsia"/>
              </w:rPr>
              <w:t>明确近</w:t>
            </w:r>
            <w:proofErr w:type="gramEnd"/>
            <w:r w:rsidRPr="005A0394">
              <w:rPr>
                <w:rFonts w:ascii="仿宋_GB2312" w:eastAsia="仿宋_GB2312" w:hint="eastAsia"/>
              </w:rPr>
              <w:t>一年经审计财务报告或近一期</w:t>
            </w:r>
            <w:r>
              <w:rPr>
                <w:rFonts w:ascii="仿宋_GB2312" w:eastAsia="仿宋_GB2312" w:hint="eastAsia"/>
              </w:rPr>
              <w:t>经审计</w:t>
            </w:r>
            <w:r w:rsidRPr="005A0394">
              <w:rPr>
                <w:rFonts w:ascii="仿宋_GB2312" w:eastAsia="仿宋_GB2312" w:hint="eastAsia"/>
              </w:rPr>
              <w:t>财务报表按照企业会计准则编制。</w:t>
            </w:r>
          </w:p>
        </w:tc>
        <w:tc>
          <w:tcPr>
            <w:tcW w:w="851" w:type="dxa"/>
            <w:shd w:val="clear" w:color="auto" w:fill="auto"/>
            <w:vAlign w:val="center"/>
            <w:hideMark/>
          </w:tcPr>
          <w:p w14:paraId="2DE2BFCB"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6EE4A570" w14:textId="77777777" w:rsidR="005D608C" w:rsidRPr="009A318D" w:rsidRDefault="005D608C" w:rsidP="009A318D">
            <w:pPr>
              <w:rPr>
                <w:rFonts w:ascii="仿宋_GB2312" w:eastAsia="仿宋_GB2312" w:hint="eastAsia"/>
              </w:rPr>
            </w:pPr>
          </w:p>
        </w:tc>
      </w:tr>
      <w:tr w:rsidR="005D608C" w:rsidRPr="009A318D" w14:paraId="35A7D869" w14:textId="77777777" w:rsidTr="009A318D">
        <w:trPr>
          <w:trHeight w:val="270"/>
          <w:jc w:val="center"/>
        </w:trPr>
        <w:tc>
          <w:tcPr>
            <w:tcW w:w="1529" w:type="dxa"/>
            <w:vMerge/>
            <w:shd w:val="clear" w:color="auto" w:fill="auto"/>
            <w:vAlign w:val="center"/>
            <w:hideMark/>
          </w:tcPr>
          <w:p w14:paraId="5630493D" w14:textId="77777777" w:rsidR="005D608C" w:rsidRPr="009A318D" w:rsidRDefault="005D608C" w:rsidP="009A318D">
            <w:pPr>
              <w:jc w:val="center"/>
              <w:rPr>
                <w:rFonts w:ascii="仿宋_GB2312" w:eastAsia="仿宋_GB2312" w:hint="eastAsia"/>
              </w:rPr>
            </w:pPr>
          </w:p>
        </w:tc>
        <w:tc>
          <w:tcPr>
            <w:tcW w:w="5521" w:type="dxa"/>
            <w:shd w:val="clear" w:color="auto" w:fill="auto"/>
            <w:vAlign w:val="center"/>
            <w:hideMark/>
          </w:tcPr>
          <w:p w14:paraId="15768E04" w14:textId="77777777" w:rsidR="005D608C" w:rsidRPr="005A0394"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M-6-2</w:t>
            </w:r>
            <w:r w:rsidRPr="005A0394">
              <w:rPr>
                <w:rFonts w:ascii="仿宋_GB2312" w:eastAsia="仿宋_GB2312" w:hint="eastAsia"/>
              </w:rPr>
              <w:t>中分析存续及该期永续票据对所有者权益和资产负债率的影响。</w:t>
            </w:r>
          </w:p>
        </w:tc>
        <w:tc>
          <w:tcPr>
            <w:tcW w:w="851" w:type="dxa"/>
            <w:shd w:val="clear" w:color="auto" w:fill="auto"/>
            <w:vAlign w:val="center"/>
            <w:hideMark/>
          </w:tcPr>
          <w:p w14:paraId="0032F5AA" w14:textId="77777777" w:rsidR="005D608C" w:rsidRPr="009A318D" w:rsidRDefault="005D608C" w:rsidP="009A318D">
            <w:pPr>
              <w:rPr>
                <w:rFonts w:ascii="仿宋_GB2312" w:eastAsia="仿宋_GB2312" w:hint="eastAsia"/>
              </w:rPr>
            </w:pPr>
          </w:p>
        </w:tc>
        <w:tc>
          <w:tcPr>
            <w:tcW w:w="709" w:type="dxa"/>
            <w:shd w:val="clear" w:color="auto" w:fill="auto"/>
            <w:vAlign w:val="center"/>
            <w:hideMark/>
          </w:tcPr>
          <w:p w14:paraId="3E0735CD" w14:textId="77777777" w:rsidR="005D608C" w:rsidRPr="009A318D" w:rsidRDefault="005D608C" w:rsidP="009A318D">
            <w:pPr>
              <w:rPr>
                <w:rFonts w:ascii="仿宋_GB2312" w:eastAsia="仿宋_GB2312" w:hint="eastAsia"/>
              </w:rPr>
            </w:pPr>
          </w:p>
        </w:tc>
      </w:tr>
      <w:tr w:rsidR="005D608C" w:rsidRPr="009A318D" w14:paraId="70871AFF" w14:textId="77777777" w:rsidTr="009A318D">
        <w:trPr>
          <w:trHeight w:val="270"/>
          <w:jc w:val="center"/>
        </w:trPr>
        <w:tc>
          <w:tcPr>
            <w:tcW w:w="1529" w:type="dxa"/>
            <w:vMerge/>
            <w:shd w:val="clear" w:color="auto" w:fill="auto"/>
            <w:vAlign w:val="center"/>
          </w:tcPr>
          <w:p w14:paraId="0325FB55" w14:textId="77777777" w:rsidR="005D608C" w:rsidRPr="009A318D" w:rsidRDefault="005D608C" w:rsidP="009A318D">
            <w:pPr>
              <w:jc w:val="center"/>
              <w:rPr>
                <w:rFonts w:ascii="仿宋_GB2312" w:eastAsia="仿宋_GB2312" w:hint="eastAsia"/>
              </w:rPr>
            </w:pPr>
          </w:p>
        </w:tc>
        <w:tc>
          <w:tcPr>
            <w:tcW w:w="5521" w:type="dxa"/>
            <w:shd w:val="clear" w:color="auto" w:fill="auto"/>
            <w:vAlign w:val="center"/>
          </w:tcPr>
          <w:p w14:paraId="63278E6B" w14:textId="77777777" w:rsidR="005D608C" w:rsidRPr="005A0394" w:rsidRDefault="005D608C" w:rsidP="009A318D">
            <w:pPr>
              <w:rPr>
                <w:rFonts w:ascii="仿宋_GB2312" w:eastAsia="仿宋_GB2312" w:hint="eastAsia"/>
              </w:rPr>
            </w:pPr>
            <w:r w:rsidRPr="005A0394">
              <w:rPr>
                <w:rFonts w:ascii="仿宋_GB2312" w:eastAsia="仿宋_GB2312" w:hint="eastAsia"/>
              </w:rPr>
              <w:t>在</w:t>
            </w:r>
            <w:r w:rsidRPr="009A318D">
              <w:rPr>
                <w:rFonts w:ascii="仿宋_GB2312" w:eastAsia="仿宋_GB2312" w:hint="eastAsia"/>
              </w:rPr>
              <w:t>M-6-3</w:t>
            </w:r>
            <w:r w:rsidRPr="005A0394">
              <w:rPr>
                <w:rFonts w:ascii="仿宋_GB2312" w:eastAsia="仿宋_GB2312" w:hint="eastAsia"/>
              </w:rPr>
              <w:t>中披露存续永续票据会计初始确认情况。</w:t>
            </w:r>
          </w:p>
        </w:tc>
        <w:tc>
          <w:tcPr>
            <w:tcW w:w="851" w:type="dxa"/>
            <w:shd w:val="clear" w:color="auto" w:fill="auto"/>
            <w:vAlign w:val="center"/>
          </w:tcPr>
          <w:p w14:paraId="7F8F94F5" w14:textId="77777777" w:rsidR="005D608C" w:rsidRPr="005A0394" w:rsidRDefault="005D608C" w:rsidP="009A318D">
            <w:pPr>
              <w:rPr>
                <w:rFonts w:ascii="仿宋_GB2312" w:eastAsia="仿宋_GB2312" w:hint="eastAsia"/>
              </w:rPr>
            </w:pPr>
          </w:p>
        </w:tc>
        <w:tc>
          <w:tcPr>
            <w:tcW w:w="709" w:type="dxa"/>
            <w:shd w:val="clear" w:color="auto" w:fill="auto"/>
            <w:vAlign w:val="center"/>
          </w:tcPr>
          <w:p w14:paraId="42527609" w14:textId="77777777" w:rsidR="005D608C" w:rsidRPr="005A0394" w:rsidRDefault="005D608C" w:rsidP="009A318D">
            <w:pPr>
              <w:rPr>
                <w:rFonts w:ascii="仿宋_GB2312" w:eastAsia="仿宋_GB2312" w:hint="eastAsia"/>
              </w:rPr>
            </w:pPr>
          </w:p>
        </w:tc>
      </w:tr>
      <w:tr w:rsidR="005D608C" w:rsidRPr="009A318D" w14:paraId="2BA18BA8" w14:textId="77777777" w:rsidTr="009A318D">
        <w:trPr>
          <w:trHeight w:val="375"/>
          <w:jc w:val="center"/>
        </w:trPr>
        <w:tc>
          <w:tcPr>
            <w:tcW w:w="1529" w:type="dxa"/>
            <w:shd w:val="clear" w:color="auto" w:fill="auto"/>
            <w:vAlign w:val="center"/>
            <w:hideMark/>
          </w:tcPr>
          <w:p w14:paraId="0A239FC7" w14:textId="77777777" w:rsidR="005D608C" w:rsidRPr="005A0394" w:rsidRDefault="005D608C" w:rsidP="009A318D">
            <w:pPr>
              <w:jc w:val="center"/>
              <w:rPr>
                <w:rFonts w:ascii="仿宋_GB2312" w:eastAsia="仿宋_GB2312" w:hint="eastAsia"/>
              </w:rPr>
            </w:pPr>
            <w:r w:rsidRPr="009A318D">
              <w:rPr>
                <w:rFonts w:ascii="仿宋_GB2312" w:eastAsia="仿宋_GB2312" w:hint="eastAsia"/>
                <w:b/>
                <w:bCs/>
              </w:rPr>
              <w:t>备注</w:t>
            </w:r>
          </w:p>
        </w:tc>
        <w:tc>
          <w:tcPr>
            <w:tcW w:w="7081" w:type="dxa"/>
            <w:gridSpan w:val="3"/>
            <w:shd w:val="clear" w:color="auto" w:fill="auto"/>
            <w:vAlign w:val="center"/>
            <w:hideMark/>
          </w:tcPr>
          <w:p w14:paraId="13B54194" w14:textId="77777777" w:rsidR="005D608C" w:rsidRPr="005A0394" w:rsidRDefault="005D608C" w:rsidP="009A318D">
            <w:pPr>
              <w:jc w:val="center"/>
              <w:rPr>
                <w:rFonts w:ascii="仿宋_GB2312" w:eastAsia="仿宋_GB2312" w:hint="eastAsia"/>
              </w:rPr>
            </w:pPr>
          </w:p>
        </w:tc>
      </w:tr>
    </w:tbl>
    <w:p w14:paraId="6F776B0B" w14:textId="77777777" w:rsidR="005D608C" w:rsidRPr="005A0394" w:rsidRDefault="005D608C" w:rsidP="005D608C">
      <w:pPr>
        <w:rPr>
          <w:rFonts w:ascii="仿宋_GB2312" w:eastAsia="仿宋_GB2312" w:hint="eastAsia"/>
          <w:b/>
        </w:rPr>
      </w:pPr>
    </w:p>
    <w:p w14:paraId="53527BFB" w14:textId="77777777" w:rsidR="005D608C" w:rsidRPr="005A0394" w:rsidRDefault="005D608C" w:rsidP="005D608C">
      <w:pPr>
        <w:rPr>
          <w:rFonts w:ascii="仿宋_GB2312" w:eastAsia="仿宋_GB2312" w:hint="eastAsia"/>
          <w:b/>
        </w:rPr>
      </w:pPr>
      <w:r w:rsidRPr="005A0394">
        <w:rPr>
          <w:rFonts w:ascii="仿宋_GB2312" w:eastAsia="仿宋_GB2312" w:hint="eastAsia"/>
          <w:b/>
        </w:rPr>
        <w:t>说明：</w:t>
      </w:r>
    </w:p>
    <w:p w14:paraId="1E6B371C" w14:textId="77777777" w:rsidR="005D608C" w:rsidRPr="005A0394" w:rsidRDefault="005D608C" w:rsidP="005D608C">
      <w:pPr>
        <w:ind w:firstLineChars="200" w:firstLine="480"/>
        <w:rPr>
          <w:rFonts w:ascii="仿宋_GB2312" w:eastAsia="仿宋_GB2312" w:hint="eastAsia"/>
        </w:rPr>
      </w:pPr>
      <w:r w:rsidRPr="005A0394">
        <w:rPr>
          <w:rFonts w:ascii="仿宋_GB2312" w:eastAsia="仿宋_GB2312" w:hint="eastAsia"/>
        </w:rPr>
        <w:t>1、发行拟计入</w:t>
      </w:r>
      <w:r>
        <w:rPr>
          <w:rFonts w:ascii="仿宋_GB2312" w:eastAsia="仿宋_GB2312" w:hint="eastAsia"/>
        </w:rPr>
        <w:t>所有者</w:t>
      </w:r>
      <w:r w:rsidRPr="005A0394">
        <w:rPr>
          <w:rFonts w:ascii="仿宋_GB2312" w:eastAsia="仿宋_GB2312" w:hint="eastAsia"/>
        </w:rPr>
        <w:t>权益的永续票据，依据MC.2表进行信息披露。发行拟计入负债的永续票据参考披露。</w:t>
      </w:r>
    </w:p>
    <w:p w14:paraId="122DE85E" w14:textId="77777777" w:rsidR="005D608C" w:rsidRPr="005A0394" w:rsidRDefault="005D608C" w:rsidP="005D608C">
      <w:pPr>
        <w:ind w:firstLineChars="200" w:firstLine="480"/>
        <w:rPr>
          <w:rFonts w:ascii="仿宋_GB2312" w:eastAsia="仿宋_GB2312" w:hint="eastAsia"/>
        </w:rPr>
      </w:pPr>
      <w:r w:rsidRPr="005A0394">
        <w:rPr>
          <w:rFonts w:ascii="仿宋_GB2312" w:eastAsia="仿宋_GB2312" w:hint="eastAsia"/>
        </w:rPr>
        <w:t>2、关于要件1：会计师事务所就企业对本期永续票据</w:t>
      </w:r>
      <w:r>
        <w:rPr>
          <w:rFonts w:ascii="仿宋_GB2312" w:eastAsia="仿宋_GB2312" w:hint="eastAsia"/>
        </w:rPr>
        <w:t>拟计入所有者权益</w:t>
      </w:r>
      <w:r w:rsidRPr="005A0394">
        <w:rPr>
          <w:rFonts w:ascii="仿宋_GB2312" w:eastAsia="仿宋_GB2312" w:hint="eastAsia"/>
        </w:rPr>
        <w:t>，是否符合企业会计准则和相关规定发表专业意见。</w:t>
      </w:r>
      <w:r>
        <w:rPr>
          <w:rFonts w:ascii="仿宋_GB2312" w:eastAsia="仿宋_GB2312" w:hint="eastAsia"/>
        </w:rPr>
        <w:t>此要件为发行时需要公告的注册文件。</w:t>
      </w:r>
    </w:p>
    <w:p w14:paraId="063824A9" w14:textId="77777777" w:rsidR="005D608C" w:rsidRPr="005A0394" w:rsidRDefault="005D608C" w:rsidP="005D608C">
      <w:pPr>
        <w:ind w:firstLineChars="200" w:firstLine="480"/>
        <w:rPr>
          <w:rFonts w:ascii="仿宋_GB2312" w:eastAsia="仿宋_GB2312" w:hint="eastAsia"/>
        </w:rPr>
      </w:pPr>
      <w:r w:rsidRPr="005A0394">
        <w:rPr>
          <w:rFonts w:ascii="仿宋_GB2312" w:eastAsia="仿宋_GB2312" w:hint="eastAsia"/>
        </w:rPr>
        <w:t>3、关于清偿顺序：如清偿顺序列于普通债务之后，</w:t>
      </w:r>
      <w:r>
        <w:rPr>
          <w:rFonts w:ascii="仿宋_GB2312" w:eastAsia="仿宋_GB2312" w:hint="eastAsia"/>
        </w:rPr>
        <w:t>由</w:t>
      </w:r>
      <w:r w:rsidRPr="005A0394">
        <w:rPr>
          <w:rFonts w:ascii="仿宋_GB2312" w:eastAsia="仿宋_GB2312" w:hint="eastAsia"/>
        </w:rPr>
        <w:t>律师在F-4-9就清偿顺序发表专业意见。</w:t>
      </w:r>
    </w:p>
    <w:p w14:paraId="32E317F3" w14:textId="77777777" w:rsidR="005D608C" w:rsidRPr="005A0394" w:rsidRDefault="005D608C" w:rsidP="005D608C">
      <w:pPr>
        <w:ind w:firstLineChars="200" w:firstLine="480"/>
        <w:rPr>
          <w:rFonts w:ascii="仿宋_GB2312" w:eastAsia="仿宋_GB2312" w:hint="eastAsia"/>
        </w:rPr>
      </w:pPr>
      <w:r w:rsidRPr="005A0394">
        <w:rPr>
          <w:rFonts w:ascii="仿宋_GB2312" w:eastAsia="仿宋_GB2312" w:hint="eastAsia"/>
        </w:rPr>
        <w:t>4、关于募集资金运用：如用于项目资本金，</w:t>
      </w:r>
      <w:r>
        <w:rPr>
          <w:rFonts w:ascii="仿宋_GB2312" w:eastAsia="仿宋_GB2312" w:hint="eastAsia"/>
        </w:rPr>
        <w:t>由</w:t>
      </w:r>
      <w:r w:rsidRPr="005A0394">
        <w:rPr>
          <w:rFonts w:ascii="仿宋_GB2312" w:eastAsia="仿宋_GB2312" w:hint="eastAsia"/>
        </w:rPr>
        <w:t>律师在F-4-2中就此是否符合法律法规及国家政策要求发表专业意见。</w:t>
      </w:r>
    </w:p>
    <w:p w14:paraId="4D1A93BA" w14:textId="77777777" w:rsidR="005D608C" w:rsidRPr="005A0394" w:rsidRDefault="005D608C" w:rsidP="005D608C">
      <w:pPr>
        <w:ind w:firstLine="480"/>
        <w:rPr>
          <w:rFonts w:ascii="仿宋_GB2312" w:eastAsia="仿宋_GB2312"/>
        </w:rPr>
      </w:pPr>
      <w:r w:rsidRPr="005A0394">
        <w:rPr>
          <w:rFonts w:ascii="仿宋_GB2312" w:eastAsia="仿宋_GB2312" w:hint="eastAsia"/>
        </w:rPr>
        <w:t>5、企业如有存续永续债（包括可续期公司债券、可续期企业债券、永续票据以及境外永续债券等），在注册发行债务融资工具时，需在募集说明书企业资信状况中（M-7-4、BM-7-4）披露截至最近</w:t>
      </w:r>
      <w:proofErr w:type="gramStart"/>
      <w:r w:rsidRPr="005A0394">
        <w:rPr>
          <w:rFonts w:ascii="仿宋_GB2312" w:eastAsia="仿宋_GB2312" w:hint="eastAsia"/>
        </w:rPr>
        <w:t>一</w:t>
      </w:r>
      <w:proofErr w:type="gramEnd"/>
      <w:r w:rsidRPr="005A0394">
        <w:rPr>
          <w:rFonts w:ascii="仿宋_GB2312" w:eastAsia="仿宋_GB2312" w:hint="eastAsia"/>
        </w:rPr>
        <w:t>期末存续永续债的余额、发行日、票面利率、期限设置、清偿顺序、利率调整机制和是否计入</w:t>
      </w:r>
      <w:r>
        <w:rPr>
          <w:rFonts w:ascii="仿宋_GB2312" w:eastAsia="仿宋_GB2312" w:hint="eastAsia"/>
        </w:rPr>
        <w:t>所有者</w:t>
      </w:r>
      <w:r w:rsidRPr="005A0394">
        <w:rPr>
          <w:rFonts w:ascii="仿宋_GB2312" w:eastAsia="仿宋_GB2312" w:hint="eastAsia"/>
        </w:rPr>
        <w:t>权益等。</w:t>
      </w:r>
    </w:p>
    <w:p w14:paraId="7628C5A2" w14:textId="40D4E587" w:rsidR="004F3F5F" w:rsidRDefault="004F3F5F" w:rsidP="005D608C"/>
    <w:sectPr w:rsidR="004F3F5F" w:rsidSect="005D608C">
      <w:footerReference w:type="default" r:id="rId6"/>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9D316" w14:textId="77777777" w:rsidR="004E0EC6" w:rsidRDefault="004E0EC6" w:rsidP="00DA60FB">
      <w:r>
        <w:separator/>
      </w:r>
    </w:p>
  </w:endnote>
  <w:endnote w:type="continuationSeparator" w:id="0">
    <w:p w14:paraId="0D212D07" w14:textId="77777777" w:rsidR="004E0EC6" w:rsidRDefault="004E0EC6" w:rsidP="00DA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875302"/>
      <w:docPartObj>
        <w:docPartGallery w:val="Page Numbers (Bottom of Page)"/>
        <w:docPartUnique/>
      </w:docPartObj>
    </w:sdtPr>
    <w:sdtContent>
      <w:p w14:paraId="758CCFA9" w14:textId="59BDAD96" w:rsidR="005D608C" w:rsidRDefault="005D608C">
        <w:pPr>
          <w:pStyle w:val="a5"/>
          <w:jc w:val="center"/>
        </w:pPr>
        <w:r>
          <w:fldChar w:fldCharType="begin"/>
        </w:r>
        <w:r>
          <w:instrText>PAGE   \* MERGEFORMAT</w:instrText>
        </w:r>
        <w:r>
          <w:fldChar w:fldCharType="separate"/>
        </w:r>
        <w:r>
          <w:rPr>
            <w:lang w:val="zh-CN"/>
          </w:rPr>
          <w:t>2</w:t>
        </w:r>
        <w:r>
          <w:fldChar w:fldCharType="end"/>
        </w:r>
      </w:p>
    </w:sdtContent>
  </w:sdt>
  <w:p w14:paraId="34169834" w14:textId="77777777" w:rsidR="005D608C" w:rsidRDefault="005D60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7708" w14:textId="77777777" w:rsidR="004E0EC6" w:rsidRDefault="004E0EC6" w:rsidP="00DA60FB">
      <w:r>
        <w:separator/>
      </w:r>
    </w:p>
  </w:footnote>
  <w:footnote w:type="continuationSeparator" w:id="0">
    <w:p w14:paraId="0FE50211" w14:textId="77777777" w:rsidR="004E0EC6" w:rsidRDefault="004E0EC6" w:rsidP="00DA60FB">
      <w:r>
        <w:continuationSeparator/>
      </w:r>
    </w:p>
  </w:footnote>
  <w:footnote w:id="1">
    <w:p w14:paraId="5AC7C20C" w14:textId="77777777" w:rsidR="005D608C" w:rsidRPr="007D5E97" w:rsidRDefault="005D608C" w:rsidP="005D608C">
      <w:pPr>
        <w:pStyle w:val="a7"/>
        <w:rPr>
          <w:rFonts w:ascii="宋体" w:hAnsi="宋体"/>
        </w:rPr>
      </w:pPr>
      <w:r w:rsidRPr="007D5E97">
        <w:rPr>
          <w:rStyle w:val="a9"/>
          <w:rFonts w:ascii="宋体" w:hAnsi="宋体"/>
        </w:rPr>
        <w:footnoteRef/>
      </w:r>
      <w:r w:rsidRPr="007D5E97">
        <w:rPr>
          <w:rFonts w:ascii="宋体" w:hAnsi="宋体"/>
        </w:rPr>
        <w:t xml:space="preserve"> </w:t>
      </w:r>
      <w:r w:rsidRPr="007D5E97">
        <w:rPr>
          <w:rFonts w:ascii="宋体" w:hAnsi="宋体" w:hint="eastAsia"/>
        </w:rPr>
        <w:t>如采用定向发行方式注册，应根据《非金融企业债务融资工具定向发行注册文件表格体系(2017版）》关于信息披露表格命名等要求，结合本表格内容予以披露。</w:t>
      </w:r>
    </w:p>
  </w:footnote>
  <w:footnote w:id="2">
    <w:p w14:paraId="3C6C285E" w14:textId="77777777" w:rsidR="005D608C" w:rsidRPr="001D14D3" w:rsidRDefault="005D608C" w:rsidP="005D608C">
      <w:pPr>
        <w:pStyle w:val="a7"/>
      </w:pPr>
      <w:r w:rsidRPr="007D5E97">
        <w:rPr>
          <w:rStyle w:val="a9"/>
          <w:rFonts w:ascii="宋体" w:hAnsi="宋体"/>
        </w:rPr>
        <w:t>2</w:t>
      </w:r>
      <w:r w:rsidRPr="007D5E97">
        <w:rPr>
          <w:rFonts w:ascii="宋体" w:hAnsi="宋体"/>
        </w:rPr>
        <w:t xml:space="preserve"> </w:t>
      </w:r>
      <w:r w:rsidRPr="007D5E97">
        <w:rPr>
          <w:rFonts w:ascii="宋体" w:hAnsi="宋体"/>
        </w:rPr>
        <w:t>X</w:t>
      </w:r>
      <w:r w:rsidRPr="007D5E97">
        <w:rPr>
          <w:rFonts w:ascii="宋体" w:hAnsi="宋体"/>
          <w:vertAlign w:val="subscript"/>
        </w:rPr>
        <w:t>1</w:t>
      </w:r>
      <w:r w:rsidRPr="007D5E97">
        <w:rPr>
          <w:rFonts w:ascii="宋体" w:hAnsi="宋体"/>
        </w:rPr>
        <w:t>,X</w:t>
      </w:r>
      <w:r w:rsidRPr="007D5E97">
        <w:rPr>
          <w:rFonts w:ascii="宋体" w:hAnsi="宋体"/>
          <w:vertAlign w:val="subscript"/>
        </w:rPr>
        <w:t>2</w:t>
      </w:r>
      <w:r w:rsidRPr="007D5E97">
        <w:rPr>
          <w:rFonts w:ascii="宋体" w:hAnsi="宋体" w:hint="eastAsia"/>
        </w:rPr>
        <w:t>为赎回日间隔，</w:t>
      </w:r>
      <w:r w:rsidRPr="007D5E97">
        <w:rPr>
          <w:rFonts w:ascii="宋体" w:hAnsi="宋体"/>
        </w:rPr>
        <w:t>N</w:t>
      </w:r>
      <w:r w:rsidRPr="007D5E97">
        <w:rPr>
          <w:rFonts w:ascii="宋体" w:hAnsi="宋体"/>
          <w:vertAlign w:val="subscript"/>
        </w:rPr>
        <w:t>1</w:t>
      </w:r>
      <w:r w:rsidRPr="007D5E97">
        <w:rPr>
          <w:rFonts w:ascii="宋体" w:hAnsi="宋体" w:hint="eastAsia"/>
        </w:rPr>
        <w:t>为赎回日间隔。</w:t>
      </w:r>
    </w:p>
  </w:footnote>
  <w:footnote w:id="3">
    <w:p w14:paraId="1C55681B" w14:textId="77777777" w:rsidR="005D608C" w:rsidRPr="00A277C8" w:rsidRDefault="005D608C" w:rsidP="005D608C">
      <w:pPr>
        <w:pStyle w:val="a7"/>
        <w:rPr>
          <w:rFonts w:hint="eastAsia"/>
          <w:lang w:eastAsia="zh-CN"/>
        </w:rPr>
      </w:pPr>
      <w:r>
        <w:rPr>
          <w:rStyle w:val="a9"/>
        </w:rPr>
        <w:footnoteRef/>
      </w:r>
      <w:r>
        <w:rPr>
          <w:rFonts w:hint="eastAsia"/>
          <w:lang w:eastAsia="zh-CN"/>
        </w:rPr>
        <w:t xml:space="preserve"> </w:t>
      </w:r>
      <w:proofErr w:type="spellStart"/>
      <w:r w:rsidRPr="00A277C8">
        <w:rPr>
          <w:rFonts w:hint="eastAsia"/>
        </w:rPr>
        <w:t>国有独资企业上缴利润除外</w:t>
      </w:r>
      <w:proofErr w:type="spellEnd"/>
      <w:r w:rsidRPr="00A277C8">
        <w:rPr>
          <w:rFonts w:hint="eastAsia"/>
        </w:rPr>
        <w:t>。</w:t>
      </w:r>
    </w:p>
  </w:footnote>
  <w:footnote w:id="4">
    <w:p w14:paraId="13879201" w14:textId="77777777" w:rsidR="005D608C" w:rsidRPr="00A277C8" w:rsidRDefault="005D608C" w:rsidP="005D608C">
      <w:pPr>
        <w:pStyle w:val="a7"/>
        <w:rPr>
          <w:rFonts w:hint="eastAsia"/>
          <w:lang w:eastAsia="zh-CN"/>
        </w:rPr>
      </w:pPr>
      <w:r>
        <w:rPr>
          <w:rStyle w:val="a9"/>
        </w:rPr>
        <w:footnoteRef/>
      </w:r>
      <w:r>
        <w:t xml:space="preserve"> </w:t>
      </w:r>
      <w:r>
        <w:rPr>
          <w:rFonts w:hint="eastAsia"/>
          <w:lang w:eastAsia="zh-CN"/>
        </w:rPr>
        <w:t>国有独资企业上缴利润除外。</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2F"/>
    <w:rsid w:val="00000919"/>
    <w:rsid w:val="0032582F"/>
    <w:rsid w:val="004E0EC6"/>
    <w:rsid w:val="004F3F5F"/>
    <w:rsid w:val="005D608C"/>
    <w:rsid w:val="00DA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A6B39"/>
  <w15:chartTrackingRefBased/>
  <w15:docId w15:val="{3EE490FE-EF1E-4986-948D-994FC422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08C"/>
    <w:rPr>
      <w:rFonts w:ascii="Times New Roman" w:eastAsia="宋体" w:hAnsi="Times New Roman" w:cs="Times New Roman"/>
      <w:kern w:val="0"/>
      <w:sz w:val="24"/>
      <w:szCs w:val="24"/>
    </w:rPr>
  </w:style>
  <w:style w:type="paragraph" w:styleId="2">
    <w:name w:val="heading 2"/>
    <w:basedOn w:val="a"/>
    <w:next w:val="a"/>
    <w:link w:val="2Char"/>
    <w:uiPriority w:val="9"/>
    <w:unhideWhenUsed/>
    <w:qFormat/>
    <w:rsid w:val="005D608C"/>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uiPriority w:val="9"/>
    <w:unhideWhenUsed/>
    <w:qFormat/>
    <w:rsid w:val="005D608C"/>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0F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A60FB"/>
    <w:rPr>
      <w:sz w:val="18"/>
      <w:szCs w:val="18"/>
    </w:rPr>
  </w:style>
  <w:style w:type="paragraph" w:styleId="a5">
    <w:name w:val="footer"/>
    <w:basedOn w:val="a"/>
    <w:link w:val="a6"/>
    <w:uiPriority w:val="99"/>
    <w:unhideWhenUsed/>
    <w:rsid w:val="00DA60F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A60FB"/>
    <w:rPr>
      <w:sz w:val="18"/>
      <w:szCs w:val="18"/>
    </w:rPr>
  </w:style>
  <w:style w:type="character" w:customStyle="1" w:styleId="20">
    <w:name w:val="标题 2 字符"/>
    <w:basedOn w:val="a0"/>
    <w:uiPriority w:val="9"/>
    <w:semiHidden/>
    <w:rsid w:val="005D608C"/>
    <w:rPr>
      <w:rFonts w:asciiTheme="majorHAnsi" w:eastAsiaTheme="majorEastAsia" w:hAnsiTheme="majorHAnsi" w:cstheme="majorBidi"/>
      <w:b/>
      <w:bCs/>
      <w:kern w:val="0"/>
      <w:sz w:val="32"/>
      <w:szCs w:val="32"/>
    </w:rPr>
  </w:style>
  <w:style w:type="character" w:customStyle="1" w:styleId="30">
    <w:name w:val="标题 3 字符"/>
    <w:basedOn w:val="a0"/>
    <w:uiPriority w:val="9"/>
    <w:semiHidden/>
    <w:rsid w:val="005D608C"/>
    <w:rPr>
      <w:rFonts w:ascii="Times New Roman" w:eastAsia="宋体" w:hAnsi="Times New Roman" w:cs="Times New Roman"/>
      <w:b/>
      <w:bCs/>
      <w:kern w:val="0"/>
      <w:sz w:val="32"/>
      <w:szCs w:val="32"/>
    </w:rPr>
  </w:style>
  <w:style w:type="paragraph" w:customStyle="1" w:styleId="Default">
    <w:name w:val="Default"/>
    <w:rsid w:val="005D608C"/>
    <w:pPr>
      <w:widowControl w:val="0"/>
      <w:autoSpaceDE w:val="0"/>
      <w:autoSpaceDN w:val="0"/>
      <w:adjustRightInd w:val="0"/>
    </w:pPr>
    <w:rPr>
      <w:rFonts w:ascii="仿宋_GB2312" w:eastAsia="仿宋_GB2312" w:hAnsi="Calibri" w:cs="仿宋_GB2312"/>
      <w:color w:val="000000"/>
      <w:kern w:val="0"/>
      <w:sz w:val="24"/>
      <w:szCs w:val="24"/>
    </w:rPr>
  </w:style>
  <w:style w:type="paragraph" w:styleId="a7">
    <w:name w:val="footnote text"/>
    <w:basedOn w:val="a"/>
    <w:link w:val="Char"/>
    <w:uiPriority w:val="99"/>
    <w:unhideWhenUsed/>
    <w:rsid w:val="005D608C"/>
    <w:pPr>
      <w:snapToGrid w:val="0"/>
    </w:pPr>
    <w:rPr>
      <w:sz w:val="18"/>
      <w:szCs w:val="18"/>
      <w:lang w:val="x-none" w:eastAsia="x-none"/>
    </w:rPr>
  </w:style>
  <w:style w:type="character" w:customStyle="1" w:styleId="a8">
    <w:name w:val="脚注文本 字符"/>
    <w:basedOn w:val="a0"/>
    <w:uiPriority w:val="99"/>
    <w:semiHidden/>
    <w:rsid w:val="005D608C"/>
    <w:rPr>
      <w:rFonts w:ascii="Times New Roman" w:eastAsia="宋体" w:hAnsi="Times New Roman" w:cs="Times New Roman"/>
      <w:kern w:val="0"/>
      <w:sz w:val="18"/>
      <w:szCs w:val="18"/>
    </w:rPr>
  </w:style>
  <w:style w:type="character" w:customStyle="1" w:styleId="Char">
    <w:name w:val="脚注文本 Char"/>
    <w:link w:val="a7"/>
    <w:uiPriority w:val="99"/>
    <w:rsid w:val="005D608C"/>
    <w:rPr>
      <w:rFonts w:ascii="Times New Roman" w:eastAsia="宋体" w:hAnsi="Times New Roman" w:cs="Times New Roman"/>
      <w:kern w:val="0"/>
      <w:sz w:val="18"/>
      <w:szCs w:val="18"/>
      <w:lang w:val="x-none" w:eastAsia="x-none"/>
    </w:rPr>
  </w:style>
  <w:style w:type="character" w:styleId="a9">
    <w:name w:val="footnote reference"/>
    <w:uiPriority w:val="99"/>
    <w:unhideWhenUsed/>
    <w:rsid w:val="005D608C"/>
    <w:rPr>
      <w:vertAlign w:val="superscript"/>
    </w:rPr>
  </w:style>
  <w:style w:type="character" w:customStyle="1" w:styleId="2Char">
    <w:name w:val="标题 2 Char"/>
    <w:link w:val="2"/>
    <w:uiPriority w:val="9"/>
    <w:rsid w:val="005D608C"/>
    <w:rPr>
      <w:rFonts w:ascii="Cambria" w:eastAsia="宋体" w:hAnsi="Cambria" w:cs="Times New Roman"/>
      <w:b/>
      <w:bCs/>
      <w:kern w:val="0"/>
      <w:sz w:val="32"/>
      <w:szCs w:val="32"/>
      <w:lang w:val="x-none" w:eastAsia="x-none"/>
    </w:rPr>
  </w:style>
  <w:style w:type="character" w:customStyle="1" w:styleId="3Char">
    <w:name w:val="标题 3 Char"/>
    <w:link w:val="3"/>
    <w:uiPriority w:val="9"/>
    <w:rsid w:val="005D608C"/>
    <w:rPr>
      <w:rFonts w:ascii="Times New Roman" w:eastAsia="宋体" w:hAnsi="Times New Roman"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shane</dc:creator>
  <cp:keywords/>
  <dc:description/>
  <cp:lastModifiedBy>wang shane</cp:lastModifiedBy>
  <cp:revision>3</cp:revision>
  <dcterms:created xsi:type="dcterms:W3CDTF">2019-04-12T11:12:00Z</dcterms:created>
  <dcterms:modified xsi:type="dcterms:W3CDTF">2019-04-12T11:16:00Z</dcterms:modified>
</cp:coreProperties>
</file>