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28907" w14:textId="77777777" w:rsidR="001E74D1" w:rsidRPr="001E74D1" w:rsidRDefault="001E74D1" w:rsidP="001E74D1">
      <w:pPr>
        <w:widowControl/>
        <w:jc w:val="left"/>
        <w:rPr>
          <w:rFonts w:ascii="仿宋_GB2312" w:eastAsia="仿宋_GB2312" w:hAnsi="Times New Roman" w:cs="Times New Roman" w:hint="eastAsia"/>
          <w:kern w:val="0"/>
          <w:sz w:val="30"/>
          <w:szCs w:val="30"/>
        </w:rPr>
      </w:pPr>
      <w:r w:rsidRPr="001E74D1">
        <w:rPr>
          <w:rFonts w:ascii="仿宋_GB2312" w:eastAsia="仿宋_GB2312" w:hAnsi="Times New Roman" w:cs="Times New Roman" w:hint="eastAsia"/>
          <w:kern w:val="0"/>
          <w:sz w:val="30"/>
          <w:szCs w:val="30"/>
        </w:rPr>
        <w:t>附件4：</w:t>
      </w:r>
    </w:p>
    <w:p w14:paraId="496FC502" w14:textId="77777777" w:rsidR="001E74D1" w:rsidRPr="001E74D1" w:rsidRDefault="001E74D1" w:rsidP="001E74D1">
      <w:pPr>
        <w:widowControl/>
        <w:spacing w:line="360" w:lineRule="auto"/>
        <w:jc w:val="left"/>
        <w:outlineLvl w:val="0"/>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8"/>
          <w:szCs w:val="28"/>
        </w:rPr>
        <w:t>MH.2（城市基础设施建设企业信息披露表</w:t>
      </w:r>
      <w:r w:rsidRPr="001E74D1">
        <w:rPr>
          <w:rFonts w:ascii="仿宋_GB2312" w:eastAsia="仿宋_GB2312" w:hAnsi="Times New Roman" w:cs="Times New Roman" w:hint="eastAsia"/>
          <w:b/>
          <w:kern w:val="0"/>
          <w:sz w:val="28"/>
          <w:szCs w:val="28"/>
          <w:vertAlign w:val="superscript"/>
        </w:rPr>
        <w:footnoteReference w:id="1"/>
      </w:r>
      <w:r w:rsidRPr="001E74D1">
        <w:rPr>
          <w:rFonts w:ascii="仿宋_GB2312" w:eastAsia="仿宋_GB2312" w:hAnsi="Times New Roman" w:cs="Times New Roman" w:hint="eastAsia"/>
          <w:b/>
          <w:kern w:val="0"/>
          <w:sz w:val="28"/>
          <w:szCs w:val="28"/>
        </w:rPr>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378"/>
        <w:gridCol w:w="709"/>
        <w:gridCol w:w="709"/>
      </w:tblGrid>
      <w:tr w:rsidR="001E74D1" w:rsidRPr="001E74D1" w14:paraId="7973D01A" w14:textId="77777777" w:rsidTr="009A318D">
        <w:trPr>
          <w:trHeight w:val="270"/>
          <w:tblHeader/>
          <w:jc w:val="center"/>
        </w:trPr>
        <w:tc>
          <w:tcPr>
            <w:tcW w:w="1277" w:type="dxa"/>
            <w:shd w:val="clear" w:color="auto" w:fill="auto"/>
          </w:tcPr>
          <w:p w14:paraId="5FE5B41E"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序号</w:t>
            </w:r>
          </w:p>
        </w:tc>
        <w:tc>
          <w:tcPr>
            <w:tcW w:w="6378" w:type="dxa"/>
            <w:shd w:val="clear" w:color="auto" w:fill="auto"/>
          </w:tcPr>
          <w:p w14:paraId="0A3BCD4D"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信息披露内容</w:t>
            </w:r>
          </w:p>
        </w:tc>
        <w:tc>
          <w:tcPr>
            <w:tcW w:w="709" w:type="dxa"/>
            <w:shd w:val="clear" w:color="auto" w:fill="auto"/>
          </w:tcPr>
          <w:p w14:paraId="333FB3C1"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页码</w:t>
            </w:r>
          </w:p>
        </w:tc>
        <w:tc>
          <w:tcPr>
            <w:tcW w:w="709" w:type="dxa"/>
          </w:tcPr>
          <w:p w14:paraId="2DDFB01B"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备注</w:t>
            </w:r>
          </w:p>
        </w:tc>
      </w:tr>
      <w:tr w:rsidR="001E74D1" w:rsidRPr="001E74D1" w14:paraId="3C0C9A5F" w14:textId="77777777" w:rsidTr="009A318D">
        <w:trPr>
          <w:trHeight w:val="270"/>
          <w:jc w:val="center"/>
        </w:trPr>
        <w:tc>
          <w:tcPr>
            <w:tcW w:w="1277" w:type="dxa"/>
            <w:vMerge w:val="restart"/>
            <w:shd w:val="clear" w:color="auto" w:fill="auto"/>
            <w:vAlign w:val="center"/>
          </w:tcPr>
          <w:p w14:paraId="6B035C8B"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MH.2-1</w:t>
            </w:r>
          </w:p>
        </w:tc>
        <w:tc>
          <w:tcPr>
            <w:tcW w:w="6378" w:type="dxa"/>
            <w:shd w:val="clear" w:color="auto" w:fill="auto"/>
          </w:tcPr>
          <w:p w14:paraId="7B023E4C"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第二章 风险提示及说明</w:t>
            </w:r>
          </w:p>
        </w:tc>
        <w:tc>
          <w:tcPr>
            <w:tcW w:w="709" w:type="dxa"/>
            <w:shd w:val="clear" w:color="auto" w:fill="auto"/>
          </w:tcPr>
          <w:p w14:paraId="201CE8EA"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102023DD"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39D6979D" w14:textId="77777777" w:rsidTr="009A318D">
        <w:trPr>
          <w:trHeight w:val="480"/>
          <w:jc w:val="center"/>
        </w:trPr>
        <w:tc>
          <w:tcPr>
            <w:tcW w:w="1277" w:type="dxa"/>
            <w:vMerge/>
            <w:shd w:val="clear" w:color="auto" w:fill="auto"/>
          </w:tcPr>
          <w:p w14:paraId="4A8AF41F"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p>
        </w:tc>
        <w:tc>
          <w:tcPr>
            <w:tcW w:w="6378" w:type="dxa"/>
            <w:shd w:val="clear" w:color="auto" w:fill="auto"/>
          </w:tcPr>
          <w:p w14:paraId="4FC41949"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在M-2-2中进一步披露财务、管理、经营和政策风险。</w:t>
            </w:r>
          </w:p>
          <w:p w14:paraId="310ADF0F"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财务风险：应收款项回收风险、无经营背景的往来</w:t>
            </w:r>
            <w:proofErr w:type="gramStart"/>
            <w:r w:rsidRPr="001E74D1">
              <w:rPr>
                <w:rFonts w:ascii="仿宋_GB2312" w:eastAsia="仿宋_GB2312" w:hAnsi="Times New Roman" w:cs="Times New Roman" w:hint="eastAsia"/>
                <w:kern w:val="0"/>
                <w:sz w:val="24"/>
                <w:szCs w:val="24"/>
              </w:rPr>
              <w:t>款较大</w:t>
            </w:r>
            <w:proofErr w:type="gramEnd"/>
            <w:r w:rsidRPr="001E74D1">
              <w:rPr>
                <w:rFonts w:ascii="仿宋_GB2312" w:eastAsia="仿宋_GB2312" w:hAnsi="Times New Roman" w:cs="Times New Roman" w:hint="eastAsia"/>
                <w:kern w:val="0"/>
                <w:sz w:val="24"/>
                <w:szCs w:val="24"/>
              </w:rPr>
              <w:t>风险、短期偿债压力较大风险、有息债务较高风险、受限资产较大风险、对外担保较大风险、盈利能力波动风险、未来资本支出较大风险、经营性现金流波动风险、经营性现金流对债务的保障能力较弱风险、来自政府支付的资金流入</w:t>
            </w:r>
            <w:proofErr w:type="gramStart"/>
            <w:r w:rsidRPr="001E74D1">
              <w:rPr>
                <w:rFonts w:ascii="仿宋_GB2312" w:eastAsia="仿宋_GB2312" w:hAnsi="Times New Roman" w:cs="Times New Roman" w:hint="eastAsia"/>
                <w:kern w:val="0"/>
                <w:sz w:val="24"/>
                <w:szCs w:val="24"/>
              </w:rPr>
              <w:t>占比较</w:t>
            </w:r>
            <w:proofErr w:type="gramEnd"/>
            <w:r w:rsidRPr="001E74D1">
              <w:rPr>
                <w:rFonts w:ascii="仿宋_GB2312" w:eastAsia="仿宋_GB2312" w:hAnsi="Times New Roman" w:cs="Times New Roman" w:hint="eastAsia"/>
                <w:kern w:val="0"/>
                <w:sz w:val="24"/>
                <w:szCs w:val="24"/>
              </w:rPr>
              <w:t>大风险、政府补贴收入不确定风险；</w:t>
            </w:r>
          </w:p>
          <w:p w14:paraId="091C1E9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管理风险：下属子公司管理风险（如对下属子公司实际控制力较弱的风险）、董事会（监事会）人员缺位风险、公务员兼职风险；</w:t>
            </w:r>
          </w:p>
          <w:p w14:paraId="16CF308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经营风险：经济周期风险、建设施工和工程管理风险、资产划转风险、业务结构单一风险、土地资产价格波动风险、合同定价风险、合同履约风险、工程委托方支付能力较弱风险、工程委托方债务负担较重风险；</w:t>
            </w:r>
          </w:p>
          <w:p w14:paraId="25863796"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政策风险：地方政府性债务政策变化风险、土地政策变化风险、基础设施建设政策变化风险。</w:t>
            </w:r>
          </w:p>
        </w:tc>
        <w:tc>
          <w:tcPr>
            <w:tcW w:w="709" w:type="dxa"/>
            <w:shd w:val="clear" w:color="auto" w:fill="auto"/>
          </w:tcPr>
          <w:p w14:paraId="290F4F55"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4B63418D"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27735445" w14:textId="77777777" w:rsidTr="009A318D">
        <w:trPr>
          <w:trHeight w:val="270"/>
          <w:jc w:val="center"/>
        </w:trPr>
        <w:tc>
          <w:tcPr>
            <w:tcW w:w="1277" w:type="dxa"/>
            <w:vMerge w:val="restart"/>
            <w:shd w:val="clear" w:color="auto" w:fill="auto"/>
            <w:vAlign w:val="center"/>
          </w:tcPr>
          <w:p w14:paraId="78833042"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MH.2-2</w:t>
            </w:r>
          </w:p>
        </w:tc>
        <w:tc>
          <w:tcPr>
            <w:tcW w:w="6378" w:type="dxa"/>
            <w:shd w:val="clear" w:color="auto" w:fill="auto"/>
          </w:tcPr>
          <w:p w14:paraId="5BDF4617"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第四章 募集资金运用</w:t>
            </w:r>
          </w:p>
        </w:tc>
        <w:tc>
          <w:tcPr>
            <w:tcW w:w="709" w:type="dxa"/>
            <w:shd w:val="clear" w:color="auto" w:fill="auto"/>
          </w:tcPr>
          <w:p w14:paraId="1F90D2C6"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11F2B76C"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615A7049" w14:textId="77777777" w:rsidTr="009A318D">
        <w:trPr>
          <w:trHeight w:val="270"/>
          <w:jc w:val="center"/>
        </w:trPr>
        <w:tc>
          <w:tcPr>
            <w:tcW w:w="1277" w:type="dxa"/>
            <w:vMerge/>
            <w:shd w:val="clear" w:color="auto" w:fill="auto"/>
          </w:tcPr>
          <w:p w14:paraId="0E74B116"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p>
        </w:tc>
        <w:tc>
          <w:tcPr>
            <w:tcW w:w="6378" w:type="dxa"/>
            <w:shd w:val="clear" w:color="auto" w:fill="auto"/>
          </w:tcPr>
          <w:p w14:paraId="2DBA608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在M-4中按照注册额度披露募集资金用途明细。</w:t>
            </w:r>
          </w:p>
        </w:tc>
        <w:tc>
          <w:tcPr>
            <w:tcW w:w="709" w:type="dxa"/>
            <w:shd w:val="clear" w:color="auto" w:fill="auto"/>
          </w:tcPr>
          <w:p w14:paraId="6216C69B"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1ECE09CB"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7DB72976" w14:textId="77777777" w:rsidTr="009A318D">
        <w:trPr>
          <w:trHeight w:val="1125"/>
          <w:jc w:val="center"/>
        </w:trPr>
        <w:tc>
          <w:tcPr>
            <w:tcW w:w="1277" w:type="dxa"/>
            <w:vMerge/>
            <w:shd w:val="clear" w:color="auto" w:fill="auto"/>
          </w:tcPr>
          <w:p w14:paraId="65927B8E"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p>
        </w:tc>
        <w:tc>
          <w:tcPr>
            <w:tcW w:w="6378" w:type="dxa"/>
            <w:shd w:val="clear" w:color="auto" w:fill="auto"/>
          </w:tcPr>
          <w:p w14:paraId="3F9AEB06"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在M-4-1中进一步披露募集资金用途：</w:t>
            </w:r>
          </w:p>
          <w:p w14:paraId="3537295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1、用于补充流动资金的，需披露用款主体、流动资金缺口匡算及拟使用募集资金额度；</w:t>
            </w:r>
          </w:p>
          <w:p w14:paraId="203A82A5"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2、用于偿还金融机构借款的，以列表形式披露借款主体、金融机构、借款金额、借款余额、起止日期、抵质押情况、借款用途、拟使用募集资金额度、是否属于政府一类债务情况等；</w:t>
            </w:r>
          </w:p>
          <w:p w14:paraId="7FB2ADB5"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3、用于项目建设的，需披露项目基本情况、合法合</w:t>
            </w:r>
            <w:proofErr w:type="gramStart"/>
            <w:r w:rsidRPr="001E74D1">
              <w:rPr>
                <w:rFonts w:ascii="仿宋_GB2312" w:eastAsia="仿宋_GB2312" w:hAnsi="Times New Roman" w:cs="Times New Roman" w:hint="eastAsia"/>
                <w:kern w:val="0"/>
                <w:sz w:val="24"/>
                <w:szCs w:val="24"/>
              </w:rPr>
              <w:t>规</w:t>
            </w:r>
            <w:proofErr w:type="gramEnd"/>
            <w:r w:rsidRPr="001E74D1">
              <w:rPr>
                <w:rFonts w:ascii="仿宋_GB2312" w:eastAsia="仿宋_GB2312" w:hAnsi="Times New Roman" w:cs="Times New Roman" w:hint="eastAsia"/>
                <w:kern w:val="0"/>
                <w:sz w:val="24"/>
                <w:szCs w:val="24"/>
              </w:rPr>
              <w:t>性、总投资额度、已投资额度、资本金到位情况、资金来源、资金缺口匡算、项目总体进度、拟使用募集资金额度及项目收益情况等。</w:t>
            </w:r>
          </w:p>
        </w:tc>
        <w:tc>
          <w:tcPr>
            <w:tcW w:w="709" w:type="dxa"/>
            <w:shd w:val="clear" w:color="auto" w:fill="auto"/>
          </w:tcPr>
          <w:p w14:paraId="04BEFAAF"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2DA3BDDA"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12F980FC" w14:textId="77777777" w:rsidTr="009A318D">
        <w:trPr>
          <w:trHeight w:val="450"/>
          <w:jc w:val="center"/>
        </w:trPr>
        <w:tc>
          <w:tcPr>
            <w:tcW w:w="1277" w:type="dxa"/>
            <w:vMerge/>
            <w:shd w:val="clear" w:color="auto" w:fill="auto"/>
          </w:tcPr>
          <w:p w14:paraId="76BE88D4"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p>
        </w:tc>
        <w:tc>
          <w:tcPr>
            <w:tcW w:w="6378" w:type="dxa"/>
            <w:shd w:val="clear" w:color="auto" w:fill="auto"/>
          </w:tcPr>
          <w:p w14:paraId="06941BB0"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在M-4-2中承诺：</w:t>
            </w:r>
          </w:p>
          <w:p w14:paraId="7AF6ED59"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发行人举借该期债务募集资金用途符合国办发〔2018〕101号文等文件支持的相关领域，符合党中央、国务院关于地方政府性债务管理相关文件要求，不会增加政府债务或政府隐性债务规模，不会用于非经营性资产，不会划转给政府或财政使用，政府不会通过财政资金直接偿还该笔债</w:t>
            </w:r>
            <w:proofErr w:type="gramStart"/>
            <w:r w:rsidRPr="001E74D1">
              <w:rPr>
                <w:rFonts w:ascii="仿宋_GB2312" w:eastAsia="仿宋_GB2312" w:hAnsi="Times New Roman" w:cs="Times New Roman" w:hint="eastAsia"/>
                <w:kern w:val="0"/>
                <w:sz w:val="24"/>
                <w:szCs w:val="24"/>
              </w:rPr>
              <w:t>务</w:t>
            </w:r>
            <w:proofErr w:type="gramEnd"/>
            <w:r w:rsidRPr="001E74D1">
              <w:rPr>
                <w:rFonts w:ascii="仿宋_GB2312" w:eastAsia="仿宋_GB2312" w:hAnsi="Times New Roman" w:cs="Times New Roman" w:hint="eastAsia"/>
                <w:kern w:val="0"/>
                <w:sz w:val="24"/>
                <w:szCs w:val="24"/>
              </w:rPr>
              <w:t>。</w:t>
            </w:r>
          </w:p>
          <w:p w14:paraId="6DFC7B4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lastRenderedPageBreak/>
              <w:t>2、发行人募集资金投向不用于体育中心、艺术馆、博物馆、图书馆等还款来源主要依靠财政性资金的非经营性项目建设；募集资金不用于金融投资、土地一级开发，不用于普通商品房建设或偿还普通商品房项目贷款，不用于保障房（含棚户区改造）项目建设或偿还保障房（含棚户区改造）项目贷款。</w:t>
            </w:r>
          </w:p>
        </w:tc>
        <w:tc>
          <w:tcPr>
            <w:tcW w:w="709" w:type="dxa"/>
            <w:shd w:val="clear" w:color="auto" w:fill="auto"/>
          </w:tcPr>
          <w:p w14:paraId="0A12F824"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lastRenderedPageBreak/>
              <w:t xml:space="preserve">　</w:t>
            </w:r>
          </w:p>
        </w:tc>
        <w:tc>
          <w:tcPr>
            <w:tcW w:w="709" w:type="dxa"/>
          </w:tcPr>
          <w:p w14:paraId="14C6355A"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61972FFF" w14:textId="77777777" w:rsidTr="009A318D">
        <w:trPr>
          <w:trHeight w:val="270"/>
          <w:jc w:val="center"/>
        </w:trPr>
        <w:tc>
          <w:tcPr>
            <w:tcW w:w="1277" w:type="dxa"/>
            <w:vMerge w:val="restart"/>
            <w:shd w:val="clear" w:color="auto" w:fill="auto"/>
            <w:vAlign w:val="center"/>
          </w:tcPr>
          <w:p w14:paraId="08D5FB5F"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MH.2-3</w:t>
            </w:r>
          </w:p>
        </w:tc>
        <w:tc>
          <w:tcPr>
            <w:tcW w:w="6378" w:type="dxa"/>
            <w:shd w:val="clear" w:color="auto" w:fill="auto"/>
          </w:tcPr>
          <w:p w14:paraId="14192B5B"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第五章 企业基本情况</w:t>
            </w:r>
          </w:p>
        </w:tc>
        <w:tc>
          <w:tcPr>
            <w:tcW w:w="709" w:type="dxa"/>
            <w:shd w:val="clear" w:color="auto" w:fill="auto"/>
          </w:tcPr>
          <w:p w14:paraId="24A0EC3F"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4C93EA7A"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5321C0C1" w14:textId="77777777" w:rsidTr="009A318D">
        <w:trPr>
          <w:trHeight w:val="1623"/>
          <w:jc w:val="center"/>
        </w:trPr>
        <w:tc>
          <w:tcPr>
            <w:tcW w:w="1277" w:type="dxa"/>
            <w:vMerge/>
            <w:shd w:val="clear" w:color="auto" w:fill="auto"/>
          </w:tcPr>
          <w:p w14:paraId="00193623"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p>
        </w:tc>
        <w:tc>
          <w:tcPr>
            <w:tcW w:w="6378" w:type="dxa"/>
            <w:shd w:val="clear" w:color="auto" w:fill="auto"/>
          </w:tcPr>
          <w:p w14:paraId="623E90CA"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在M-5-1中承诺：</w:t>
            </w:r>
          </w:p>
          <w:p w14:paraId="15457871"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地方政府（或相关部门）作为出资人仅以出资额为限承担有限责任，相关举借债务由发行人作为独立法人负责偿还。发行人将进一步健全信息披露机制，公司不承担政府融资职能，自2015年1月1日起新增债务依法不属于地方政府债务。</w:t>
            </w:r>
          </w:p>
        </w:tc>
        <w:tc>
          <w:tcPr>
            <w:tcW w:w="709" w:type="dxa"/>
            <w:shd w:val="clear" w:color="auto" w:fill="auto"/>
          </w:tcPr>
          <w:p w14:paraId="252A4D1C"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62DCFEA4"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510E6D77" w14:textId="77777777" w:rsidTr="009A318D">
        <w:trPr>
          <w:trHeight w:val="2517"/>
          <w:jc w:val="center"/>
        </w:trPr>
        <w:tc>
          <w:tcPr>
            <w:tcW w:w="1277" w:type="dxa"/>
            <w:vMerge/>
            <w:shd w:val="clear" w:color="auto" w:fill="auto"/>
          </w:tcPr>
          <w:p w14:paraId="50EC8A86"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p>
        </w:tc>
        <w:tc>
          <w:tcPr>
            <w:tcW w:w="6378" w:type="dxa"/>
            <w:shd w:val="clear" w:color="auto" w:fill="auto"/>
          </w:tcPr>
          <w:p w14:paraId="1D8B0B6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在M-5-1中进一步披露发行人业务合法合</w:t>
            </w:r>
            <w:proofErr w:type="gramStart"/>
            <w:r w:rsidRPr="001E74D1">
              <w:rPr>
                <w:rFonts w:ascii="仿宋_GB2312" w:eastAsia="仿宋_GB2312" w:hAnsi="Times New Roman" w:cs="Times New Roman" w:hint="eastAsia"/>
                <w:kern w:val="0"/>
                <w:sz w:val="24"/>
                <w:szCs w:val="24"/>
              </w:rPr>
              <w:t>规</w:t>
            </w:r>
            <w:proofErr w:type="gramEnd"/>
            <w:r w:rsidRPr="001E74D1">
              <w:rPr>
                <w:rFonts w:ascii="仿宋_GB2312" w:eastAsia="仿宋_GB2312" w:hAnsi="Times New Roman" w:cs="Times New Roman" w:hint="eastAsia"/>
                <w:kern w:val="0"/>
                <w:sz w:val="24"/>
                <w:szCs w:val="24"/>
              </w:rPr>
              <w:t>性情况：</w:t>
            </w:r>
          </w:p>
          <w:p w14:paraId="7A4218C7"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1、披露是否存在如下情形：</w:t>
            </w:r>
          </w:p>
          <w:p w14:paraId="54BD95B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（1）“名股实债”；</w:t>
            </w:r>
          </w:p>
          <w:p w14:paraId="0826287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（2）土地开发整理业务、基础设施建设业务、保障性安居住房等业务；</w:t>
            </w:r>
          </w:p>
          <w:p w14:paraId="3AEBF90F"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（3）PPP项目、政府投资基金、BT、回购其他主体项目、政府购买服务、替政府项目垫资的情形；</w:t>
            </w:r>
          </w:p>
          <w:p w14:paraId="09BE9064"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（4）来自政府的应收款项；</w:t>
            </w:r>
          </w:p>
          <w:p w14:paraId="6EB5FAEE"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5）由财政性资金直接偿还、以非经营性资产或瑕疵产权资产融资、以储备土地或注入程序存在问题的土地融资、地方政府或其部门为发行人债务提供担保或还款承诺、以储备土地预期出让收入作为偿债资金来源的债务；</w:t>
            </w:r>
          </w:p>
          <w:p w14:paraId="56687BEA"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（6）为地方政府及其</w:t>
            </w:r>
            <w:proofErr w:type="gramStart"/>
            <w:r w:rsidRPr="001E74D1">
              <w:rPr>
                <w:rFonts w:ascii="仿宋_GB2312" w:eastAsia="仿宋_GB2312" w:hAnsi="Times New Roman" w:cs="Times New Roman" w:hint="eastAsia"/>
                <w:kern w:val="0"/>
                <w:sz w:val="24"/>
                <w:szCs w:val="24"/>
              </w:rPr>
              <w:t>他主体</w:t>
            </w:r>
            <w:proofErr w:type="gramEnd"/>
            <w:r w:rsidRPr="001E74D1">
              <w:rPr>
                <w:rFonts w:ascii="仿宋_GB2312" w:eastAsia="仿宋_GB2312" w:hAnsi="Times New Roman" w:cs="Times New Roman" w:hint="eastAsia"/>
                <w:kern w:val="0"/>
                <w:sz w:val="24"/>
                <w:szCs w:val="24"/>
              </w:rPr>
              <w:t>举借债务或提供担保。</w:t>
            </w:r>
          </w:p>
          <w:p w14:paraId="016698C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2、如存在上述任何情形，说明是否符合国家相关规定，以及同级财政部</w:t>
            </w:r>
            <w:proofErr w:type="gramStart"/>
            <w:r w:rsidRPr="001E74D1">
              <w:rPr>
                <w:rFonts w:ascii="仿宋_GB2312" w:eastAsia="仿宋_GB2312" w:hAnsi="Times New Roman" w:cs="Times New Roman" w:hint="eastAsia"/>
                <w:kern w:val="0"/>
                <w:sz w:val="24"/>
                <w:szCs w:val="24"/>
              </w:rPr>
              <w:t>门意见</w:t>
            </w:r>
            <w:proofErr w:type="gramEnd"/>
            <w:r w:rsidRPr="001E74D1">
              <w:rPr>
                <w:rFonts w:ascii="仿宋_GB2312" w:eastAsia="仿宋_GB2312" w:hAnsi="Times New Roman" w:cs="Times New Roman" w:hint="eastAsia"/>
                <w:kern w:val="0"/>
                <w:sz w:val="24"/>
                <w:szCs w:val="24"/>
              </w:rPr>
              <w:t>或依据。</w:t>
            </w:r>
          </w:p>
        </w:tc>
        <w:tc>
          <w:tcPr>
            <w:tcW w:w="709" w:type="dxa"/>
            <w:shd w:val="clear" w:color="auto" w:fill="auto"/>
          </w:tcPr>
          <w:p w14:paraId="5800AD50"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2D05C2C9"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3204F49C" w14:textId="77777777" w:rsidTr="009A318D">
        <w:trPr>
          <w:trHeight w:val="270"/>
          <w:jc w:val="center"/>
        </w:trPr>
        <w:tc>
          <w:tcPr>
            <w:tcW w:w="1277" w:type="dxa"/>
            <w:vMerge/>
            <w:shd w:val="clear" w:color="auto" w:fill="auto"/>
          </w:tcPr>
          <w:p w14:paraId="318A3CE8"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1F4F5F7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在M-5-2中披露发行人历次增资、注资及资本实际缴付情况：</w:t>
            </w:r>
          </w:p>
          <w:p w14:paraId="430ECB4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如有储备土地、林权、探矿权、湖泊、盐田、滩涂以及非经营性资产等注资情况，需进一步披露上述资产注入时间、金额、评估依据、政府相关文件、资产过户手续是否完成等。</w:t>
            </w:r>
          </w:p>
        </w:tc>
        <w:tc>
          <w:tcPr>
            <w:tcW w:w="709" w:type="dxa"/>
            <w:shd w:val="clear" w:color="auto" w:fill="auto"/>
          </w:tcPr>
          <w:p w14:paraId="299A05BE"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14DB096A"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414EDC1D" w14:textId="77777777" w:rsidTr="009A318D">
        <w:trPr>
          <w:trHeight w:val="270"/>
          <w:jc w:val="center"/>
        </w:trPr>
        <w:tc>
          <w:tcPr>
            <w:tcW w:w="1277" w:type="dxa"/>
            <w:vMerge/>
            <w:shd w:val="clear" w:color="auto" w:fill="auto"/>
          </w:tcPr>
          <w:p w14:paraId="0328DAFE"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5165FF57"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在M-5-5中进一步披露发行人对下属子公司的管理情况：</w:t>
            </w:r>
          </w:p>
          <w:p w14:paraId="510187DF"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包括但不限于对子公司是否具有实际控制力，对子公司的资金收支、人员任免、业务经营的管</w:t>
            </w:r>
            <w:proofErr w:type="gramStart"/>
            <w:r w:rsidRPr="001E74D1">
              <w:rPr>
                <w:rFonts w:ascii="仿宋_GB2312" w:eastAsia="仿宋_GB2312" w:hAnsi="Times New Roman" w:cs="Times New Roman" w:hint="eastAsia"/>
                <w:kern w:val="0"/>
                <w:sz w:val="24"/>
                <w:szCs w:val="24"/>
              </w:rPr>
              <w:t>控情况</w:t>
            </w:r>
            <w:proofErr w:type="gramEnd"/>
            <w:r w:rsidRPr="001E74D1">
              <w:rPr>
                <w:rFonts w:ascii="仿宋_GB2312" w:eastAsia="仿宋_GB2312" w:hAnsi="Times New Roman" w:cs="Times New Roman" w:hint="eastAsia"/>
                <w:kern w:val="0"/>
                <w:sz w:val="24"/>
                <w:szCs w:val="24"/>
              </w:rPr>
              <w:t>等。</w:t>
            </w:r>
          </w:p>
        </w:tc>
        <w:tc>
          <w:tcPr>
            <w:tcW w:w="709" w:type="dxa"/>
            <w:shd w:val="clear" w:color="auto" w:fill="auto"/>
          </w:tcPr>
          <w:p w14:paraId="42C649A2"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4C039A9A"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02D42B0D" w14:textId="77777777" w:rsidTr="009A318D">
        <w:trPr>
          <w:trHeight w:val="270"/>
          <w:jc w:val="center"/>
        </w:trPr>
        <w:tc>
          <w:tcPr>
            <w:tcW w:w="1277" w:type="dxa"/>
            <w:vMerge/>
            <w:shd w:val="clear" w:color="auto" w:fill="auto"/>
          </w:tcPr>
          <w:p w14:paraId="095F1A08"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2076620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在M-5-7中进一步披露公务员任职情况：</w:t>
            </w:r>
          </w:p>
          <w:p w14:paraId="789C4896"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披露高管人员是否涉及公务员兼职、领薪情况，是否符合中组部《关于进一步规范党政领导干部在企业兼职（任职）问题的意见》、《公务员法》及公司章程等相关要求。</w:t>
            </w:r>
          </w:p>
        </w:tc>
        <w:tc>
          <w:tcPr>
            <w:tcW w:w="709" w:type="dxa"/>
            <w:shd w:val="clear" w:color="auto" w:fill="auto"/>
          </w:tcPr>
          <w:p w14:paraId="1E99A7B8"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07C3EFD3"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45604FC9" w14:textId="77777777" w:rsidTr="009A318D">
        <w:trPr>
          <w:trHeight w:val="699"/>
          <w:jc w:val="center"/>
        </w:trPr>
        <w:tc>
          <w:tcPr>
            <w:tcW w:w="1277" w:type="dxa"/>
            <w:vMerge/>
            <w:shd w:val="clear" w:color="auto" w:fill="auto"/>
          </w:tcPr>
          <w:p w14:paraId="20844A72"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0E28BE27"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在M-5-8中披露土地开发整理业务情况：</w:t>
            </w:r>
          </w:p>
          <w:p w14:paraId="4C139444"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1、发行人土地开发整理业务模式，包括但不限于发行人土地开发整理业务资质情况、盈利模式、相关合同或协议、会计处理方式及会计处理依据。</w:t>
            </w:r>
          </w:p>
          <w:p w14:paraId="262BD417"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2、以列表形式披露发行人近三年及一期土地开发整理业务经营情况，包括但不限于地块名称、整理期间、回款期间、总投金额、已投资金额、面积、是否签订合同或协议</w:t>
            </w:r>
            <w:r w:rsidRPr="001E74D1">
              <w:rPr>
                <w:rFonts w:ascii="仿宋_GB2312" w:eastAsia="仿宋_GB2312" w:hAnsi="Times New Roman" w:cs="Times New Roman" w:hint="eastAsia"/>
                <w:kern w:val="0"/>
                <w:sz w:val="24"/>
                <w:szCs w:val="24"/>
                <w:vertAlign w:val="superscript"/>
              </w:rPr>
              <w:footnoteReference w:id="2"/>
            </w:r>
            <w:r w:rsidRPr="001E74D1">
              <w:rPr>
                <w:rFonts w:ascii="仿宋_GB2312" w:eastAsia="仿宋_GB2312" w:hAnsi="Times New Roman" w:cs="Times New Roman" w:hint="eastAsia"/>
                <w:kern w:val="0"/>
                <w:sz w:val="24"/>
                <w:szCs w:val="24"/>
              </w:rPr>
              <w:t>、确认收入金额、已回款金额、未来三年回款计划、是否按照合同约定获取报酬等。</w:t>
            </w:r>
          </w:p>
          <w:p w14:paraId="7A743298"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3、以列表形式披露发行人开发整理过程中土地情况，包括但不限于地块名称、整理期间、回款期间、总投资额、已投资额、面积、是否签订合同或协议</w:t>
            </w:r>
            <w:r w:rsidRPr="001E74D1">
              <w:rPr>
                <w:rFonts w:ascii="仿宋_GB2312" w:eastAsia="仿宋_GB2312" w:hAnsi="Times New Roman" w:cs="Times New Roman" w:hint="eastAsia"/>
                <w:kern w:val="0"/>
                <w:sz w:val="24"/>
                <w:szCs w:val="24"/>
                <w:vertAlign w:val="superscript"/>
              </w:rPr>
              <w:footnoteReference w:id="3"/>
            </w:r>
            <w:r w:rsidRPr="001E74D1">
              <w:rPr>
                <w:rFonts w:ascii="仿宋_GB2312" w:eastAsia="仿宋_GB2312" w:hAnsi="Times New Roman" w:cs="Times New Roman" w:hint="eastAsia"/>
                <w:kern w:val="0"/>
                <w:sz w:val="24"/>
                <w:szCs w:val="24"/>
              </w:rPr>
              <w:t>、未来三年投资计划等。</w:t>
            </w:r>
          </w:p>
          <w:p w14:paraId="56C5F2EB"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4、未来拟整理土地地块名称、面积、投资金额、投资计划及投资进度安排。</w:t>
            </w:r>
          </w:p>
          <w:p w14:paraId="03050B66"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5、关于发行人土地开发整理业务板块是否符合国家法律法规及有关政策规定的说明。</w:t>
            </w:r>
          </w:p>
          <w:p w14:paraId="7392FC5A"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6、关于土地专项审计情况和土地储备职能剥离情况的说明。</w:t>
            </w:r>
          </w:p>
        </w:tc>
        <w:tc>
          <w:tcPr>
            <w:tcW w:w="709" w:type="dxa"/>
            <w:shd w:val="clear" w:color="auto" w:fill="auto"/>
          </w:tcPr>
          <w:p w14:paraId="68E800A8"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276E1675"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097634D4" w14:textId="77777777" w:rsidTr="009A318D">
        <w:trPr>
          <w:trHeight w:val="346"/>
          <w:jc w:val="center"/>
        </w:trPr>
        <w:tc>
          <w:tcPr>
            <w:tcW w:w="1277" w:type="dxa"/>
            <w:vMerge/>
            <w:shd w:val="clear" w:color="auto" w:fill="auto"/>
          </w:tcPr>
          <w:p w14:paraId="1AE19E39"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5C7FC021"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在M-5-8中披露基础设施建设业务情况：</w:t>
            </w:r>
          </w:p>
          <w:p w14:paraId="2BFAA082"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1、基础设施建设板块业务资质情况、业务模式、基础设施建设业务的盈利模式、相关合同或协议、会计处理方式及会计处理依据。</w:t>
            </w:r>
          </w:p>
          <w:p w14:paraId="48EC71FE"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2、以列表形式披露近三年又一期主要已完工项目的项目名称、建设期间、回款期间、总投资额、已投资额、是否签订合同或协议</w:t>
            </w:r>
            <w:r w:rsidRPr="001E74D1">
              <w:rPr>
                <w:rFonts w:ascii="仿宋_GB2312" w:eastAsia="仿宋_GB2312" w:hAnsi="Times New Roman" w:cs="Times New Roman" w:hint="eastAsia"/>
                <w:kern w:val="0"/>
                <w:sz w:val="24"/>
                <w:szCs w:val="24"/>
                <w:vertAlign w:val="superscript"/>
              </w:rPr>
              <w:footnoteReference w:id="4"/>
            </w:r>
            <w:r w:rsidRPr="001E74D1">
              <w:rPr>
                <w:rFonts w:ascii="仿宋_GB2312" w:eastAsia="仿宋_GB2312" w:hAnsi="Times New Roman" w:cs="Times New Roman" w:hint="eastAsia"/>
                <w:kern w:val="0"/>
                <w:sz w:val="24"/>
                <w:szCs w:val="24"/>
              </w:rPr>
              <w:t>、拟回款金额、已回款金额、未来三年回款计划、是否按照合同或协议执行回款情况。</w:t>
            </w:r>
          </w:p>
          <w:p w14:paraId="31DE0427"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3、以列表形式披露主要在建项目名称、建设期间、回款期间、总投资额、已投资额、自有资金比例、资本金到位情况、是否签订合同或协议</w:t>
            </w:r>
            <w:r w:rsidRPr="001E74D1">
              <w:rPr>
                <w:rFonts w:ascii="仿宋_GB2312" w:eastAsia="仿宋_GB2312" w:hAnsi="Times New Roman" w:cs="Times New Roman" w:hint="eastAsia"/>
                <w:kern w:val="0"/>
                <w:sz w:val="24"/>
                <w:szCs w:val="24"/>
                <w:vertAlign w:val="superscript"/>
              </w:rPr>
              <w:footnoteReference w:id="5"/>
            </w:r>
            <w:r w:rsidRPr="001E74D1">
              <w:rPr>
                <w:rFonts w:ascii="仿宋_GB2312" w:eastAsia="仿宋_GB2312" w:hAnsi="Times New Roman" w:cs="Times New Roman" w:hint="eastAsia"/>
                <w:kern w:val="0"/>
                <w:sz w:val="24"/>
                <w:szCs w:val="24"/>
              </w:rPr>
              <w:t>、合法合</w:t>
            </w:r>
            <w:proofErr w:type="gramStart"/>
            <w:r w:rsidRPr="001E74D1">
              <w:rPr>
                <w:rFonts w:ascii="仿宋_GB2312" w:eastAsia="仿宋_GB2312" w:hAnsi="Times New Roman" w:cs="Times New Roman" w:hint="eastAsia"/>
                <w:kern w:val="0"/>
                <w:sz w:val="24"/>
                <w:szCs w:val="24"/>
              </w:rPr>
              <w:t>规</w:t>
            </w:r>
            <w:proofErr w:type="gramEnd"/>
            <w:r w:rsidRPr="001E74D1">
              <w:rPr>
                <w:rFonts w:ascii="仿宋_GB2312" w:eastAsia="仿宋_GB2312" w:hAnsi="Times New Roman" w:cs="Times New Roman" w:hint="eastAsia"/>
                <w:kern w:val="0"/>
                <w:sz w:val="24"/>
                <w:szCs w:val="24"/>
              </w:rPr>
              <w:t>性情况、未来三年投资计划。</w:t>
            </w:r>
          </w:p>
          <w:p w14:paraId="2D520EB5"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4、未来拟投资项目名称、投资金额、投资计划及投资进度安排。</w:t>
            </w:r>
          </w:p>
          <w:p w14:paraId="400AF49E"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5、关于发行人基础设施建设业务是否符合国家法律法规及有关政策规定的说明。</w:t>
            </w:r>
          </w:p>
        </w:tc>
        <w:tc>
          <w:tcPr>
            <w:tcW w:w="709" w:type="dxa"/>
            <w:shd w:val="clear" w:color="auto" w:fill="auto"/>
          </w:tcPr>
          <w:p w14:paraId="7F573A72"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 xml:space="preserve">　</w:t>
            </w:r>
          </w:p>
        </w:tc>
        <w:tc>
          <w:tcPr>
            <w:tcW w:w="709" w:type="dxa"/>
          </w:tcPr>
          <w:p w14:paraId="506A1A94"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p w14:paraId="118A80A7"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36147AE5" w14:textId="77777777" w:rsidTr="009A318D">
        <w:trPr>
          <w:trHeight w:val="1555"/>
          <w:jc w:val="center"/>
        </w:trPr>
        <w:tc>
          <w:tcPr>
            <w:tcW w:w="1277" w:type="dxa"/>
            <w:vMerge w:val="restart"/>
            <w:shd w:val="clear" w:color="auto" w:fill="auto"/>
          </w:tcPr>
          <w:p w14:paraId="16D5584C"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11A926B1"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在M-5-11中披露发行人所属区域的经济情况：</w:t>
            </w:r>
          </w:p>
          <w:p w14:paraId="213E07EE"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包括但不限于可能影响发行人业务发展的当地GDP（国内生产总值）及增速等数据、当地土地出让面积及平均价格、发行人所在地区位图、区域内同类企业竞争情况，但不得披露所在地区财政收支、政府债务数据等明示或暗示存在政府信用支持的信息，严禁与政府信用挂钩的误导性宣传。</w:t>
            </w:r>
          </w:p>
        </w:tc>
        <w:tc>
          <w:tcPr>
            <w:tcW w:w="709" w:type="dxa"/>
            <w:shd w:val="clear" w:color="auto" w:fill="auto"/>
          </w:tcPr>
          <w:p w14:paraId="63C2EEB4"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484C66E7"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0E051279" w14:textId="77777777" w:rsidTr="009A318D">
        <w:trPr>
          <w:trHeight w:val="375"/>
          <w:jc w:val="center"/>
        </w:trPr>
        <w:tc>
          <w:tcPr>
            <w:tcW w:w="1277" w:type="dxa"/>
            <w:vMerge/>
            <w:shd w:val="clear" w:color="auto" w:fill="auto"/>
          </w:tcPr>
          <w:p w14:paraId="4ABB67E6"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128DD20D"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在M-5中披露发行人其他重要事项：</w:t>
            </w:r>
          </w:p>
          <w:p w14:paraId="65BFFAF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1、披露前述涉及的PPP项目、政府投资基金、BT、回购其他主体项目、政府购买服务、替政府项目垫资的情形，包括但不限于有关协议主要内容、业务模式、会计处理、回款安排等。</w:t>
            </w:r>
          </w:p>
          <w:p w14:paraId="110C9394"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2、被主管机构认定违规及整改情况。</w:t>
            </w:r>
          </w:p>
        </w:tc>
        <w:tc>
          <w:tcPr>
            <w:tcW w:w="709" w:type="dxa"/>
            <w:shd w:val="clear" w:color="auto" w:fill="auto"/>
          </w:tcPr>
          <w:p w14:paraId="2A865C2D"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7F8AE1CB"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35B69530" w14:textId="77777777" w:rsidTr="009A318D">
        <w:trPr>
          <w:trHeight w:val="277"/>
          <w:jc w:val="center"/>
        </w:trPr>
        <w:tc>
          <w:tcPr>
            <w:tcW w:w="1277" w:type="dxa"/>
            <w:vMerge w:val="restart"/>
            <w:shd w:val="clear" w:color="auto" w:fill="auto"/>
            <w:vAlign w:val="center"/>
          </w:tcPr>
          <w:p w14:paraId="73A26AD2" w14:textId="77777777" w:rsidR="001E74D1" w:rsidRPr="001E74D1" w:rsidRDefault="001E74D1" w:rsidP="001E74D1">
            <w:pPr>
              <w:widowControl/>
              <w:jc w:val="center"/>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MH.2-4</w:t>
            </w:r>
          </w:p>
        </w:tc>
        <w:tc>
          <w:tcPr>
            <w:tcW w:w="6378" w:type="dxa"/>
            <w:shd w:val="clear" w:color="auto" w:fill="auto"/>
          </w:tcPr>
          <w:p w14:paraId="38E8E357" w14:textId="77777777" w:rsidR="001E74D1" w:rsidRPr="001E74D1" w:rsidRDefault="001E74D1" w:rsidP="001E74D1">
            <w:pPr>
              <w:widowControl/>
              <w:jc w:val="left"/>
              <w:rPr>
                <w:rFonts w:ascii="仿宋_GB2312" w:eastAsia="仿宋_GB2312" w:hAnsi="Times New Roman" w:cs="Times New Roman" w:hint="eastAsia"/>
                <w:b/>
                <w:kern w:val="0"/>
                <w:sz w:val="24"/>
                <w:szCs w:val="24"/>
              </w:rPr>
            </w:pPr>
            <w:r w:rsidRPr="001E74D1">
              <w:rPr>
                <w:rFonts w:ascii="仿宋_GB2312" w:eastAsia="仿宋_GB2312" w:hAnsi="Times New Roman" w:cs="Times New Roman" w:hint="eastAsia"/>
                <w:b/>
                <w:kern w:val="0"/>
                <w:sz w:val="24"/>
                <w:szCs w:val="24"/>
              </w:rPr>
              <w:t>第六章 企业主要财务状况</w:t>
            </w:r>
          </w:p>
        </w:tc>
        <w:tc>
          <w:tcPr>
            <w:tcW w:w="709" w:type="dxa"/>
            <w:shd w:val="clear" w:color="auto" w:fill="auto"/>
          </w:tcPr>
          <w:p w14:paraId="59664D8E"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44BA2F54"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1FF34BA0" w14:textId="77777777" w:rsidTr="009A318D">
        <w:trPr>
          <w:trHeight w:val="270"/>
          <w:jc w:val="center"/>
        </w:trPr>
        <w:tc>
          <w:tcPr>
            <w:tcW w:w="1277" w:type="dxa"/>
            <w:vMerge/>
            <w:shd w:val="clear" w:color="auto" w:fill="auto"/>
          </w:tcPr>
          <w:p w14:paraId="38862CF4"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0E77504E"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在M-6-2中进一步披露重要会计科目分析：</w:t>
            </w:r>
          </w:p>
          <w:p w14:paraId="125074A4"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1、披露应收账款、其他应收款、预付账款及长期应收款等应收款项中，涉及政府、政府相关部门的往来款项情况，说明以上款项是否存在经营业务背景，是否存在替政府融资等行为。</w:t>
            </w:r>
          </w:p>
          <w:p w14:paraId="339762D0"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2、以列表形式披露各资产科目中土地资产情况，包括：土地取得方式、地块名称、土地使用权证号、土地面积、使用权类型、取得时间、用途、入账价值、入账依据、获取土地相关权益合法合</w:t>
            </w:r>
            <w:proofErr w:type="gramStart"/>
            <w:r w:rsidRPr="001E74D1">
              <w:rPr>
                <w:rFonts w:ascii="仿宋_GB2312" w:eastAsia="仿宋_GB2312" w:hAnsi="Times New Roman" w:cs="Times New Roman" w:hint="eastAsia"/>
                <w:kern w:val="0"/>
                <w:sz w:val="24"/>
                <w:szCs w:val="24"/>
              </w:rPr>
              <w:t>规</w:t>
            </w:r>
            <w:proofErr w:type="gramEnd"/>
            <w:r w:rsidRPr="001E74D1">
              <w:rPr>
                <w:rFonts w:ascii="仿宋_GB2312" w:eastAsia="仿宋_GB2312" w:hAnsi="Times New Roman" w:cs="Times New Roman" w:hint="eastAsia"/>
                <w:kern w:val="0"/>
                <w:sz w:val="24"/>
                <w:szCs w:val="24"/>
              </w:rPr>
              <w:t>性、应缴土地出让金金额，实缴土地出让金金额等，并披露土地资产所在区域及近期该区域土地均价。</w:t>
            </w:r>
          </w:p>
          <w:p w14:paraId="51B697FC"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3、披露实收资本和资本公积明细，包括但不限于货币出资、土地资产注入、股权资产注入、拨款转增净资产、非经营性资产注入等事项。</w:t>
            </w:r>
          </w:p>
          <w:p w14:paraId="64F170E4"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披露前述涉及的“名股实债”情况，包括但不限于协议主要内容。</w:t>
            </w:r>
          </w:p>
          <w:p w14:paraId="1D84CC92"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4、以列表形式披露发行人资产权属不明、注入过程存在法律瑕疵的资产、公益性资产情况，包括但不限于资产名称，入账价值等。</w:t>
            </w:r>
          </w:p>
        </w:tc>
        <w:tc>
          <w:tcPr>
            <w:tcW w:w="709" w:type="dxa"/>
            <w:shd w:val="clear" w:color="auto" w:fill="auto"/>
          </w:tcPr>
          <w:p w14:paraId="0AA8CC8B"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08BB9943"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4B195EAC" w14:textId="77777777" w:rsidTr="009A318D">
        <w:trPr>
          <w:trHeight w:val="1676"/>
          <w:jc w:val="center"/>
        </w:trPr>
        <w:tc>
          <w:tcPr>
            <w:tcW w:w="1277" w:type="dxa"/>
            <w:vMerge/>
            <w:shd w:val="clear" w:color="auto" w:fill="auto"/>
          </w:tcPr>
          <w:p w14:paraId="53A8FA03"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148C2A79"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在M-6-3中进一步披露截至最近一期发行人有息债务：</w:t>
            </w:r>
          </w:p>
          <w:p w14:paraId="60460E37"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1、以列表形式披露有息债务明细，包括但不限于借款人、贷款人、借款金额及借款余额、利率、起止日期、抵质押情况等信息，银行贷款中的委托贷款需单独明确标示。</w:t>
            </w:r>
          </w:p>
          <w:p w14:paraId="7A9C3EE6"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2、前述涉及的由财政性资金直接偿还、以非经营性资产或瑕疵产权资产融资、以储备土地或注入程序存在问题的土地融资、地方政府或其部门为发行人债务提供担保或还款承诺、以储备土地预期出让收入作为偿债资金来源、被主管部门认定违规并要求整改的债务，需单独明确标示。</w:t>
            </w:r>
          </w:p>
        </w:tc>
        <w:tc>
          <w:tcPr>
            <w:tcW w:w="709" w:type="dxa"/>
            <w:shd w:val="clear" w:color="auto" w:fill="auto"/>
          </w:tcPr>
          <w:p w14:paraId="57260579"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68ACDFFA"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64FCDA74" w14:textId="77777777" w:rsidTr="009A318D">
        <w:trPr>
          <w:trHeight w:val="738"/>
          <w:jc w:val="center"/>
        </w:trPr>
        <w:tc>
          <w:tcPr>
            <w:tcW w:w="1277" w:type="dxa"/>
            <w:vMerge/>
            <w:shd w:val="clear" w:color="auto" w:fill="auto"/>
          </w:tcPr>
          <w:p w14:paraId="2751D90F"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6378" w:type="dxa"/>
            <w:shd w:val="clear" w:color="auto" w:fill="auto"/>
          </w:tcPr>
          <w:p w14:paraId="0A00CF7F"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在M-6-5中进一步披露截至最近一期发行人对外担保明细：</w:t>
            </w:r>
          </w:p>
          <w:p w14:paraId="5C24F3B5" w14:textId="77777777" w:rsidR="001E74D1" w:rsidRPr="001E74D1" w:rsidRDefault="001E74D1" w:rsidP="001E74D1">
            <w:pPr>
              <w:widowControl/>
              <w:jc w:val="left"/>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kern w:val="0"/>
                <w:sz w:val="24"/>
                <w:szCs w:val="24"/>
              </w:rPr>
              <w:t>以列表形式披露前述涉及的为地方政府及其</w:t>
            </w:r>
            <w:proofErr w:type="gramStart"/>
            <w:r w:rsidRPr="001E74D1">
              <w:rPr>
                <w:rFonts w:ascii="仿宋_GB2312" w:eastAsia="仿宋_GB2312" w:hAnsi="Times New Roman" w:cs="Times New Roman" w:hint="eastAsia"/>
                <w:kern w:val="0"/>
                <w:sz w:val="24"/>
                <w:szCs w:val="24"/>
              </w:rPr>
              <w:t>他主体</w:t>
            </w:r>
            <w:proofErr w:type="gramEnd"/>
            <w:r w:rsidRPr="001E74D1">
              <w:rPr>
                <w:rFonts w:ascii="仿宋_GB2312" w:eastAsia="仿宋_GB2312" w:hAnsi="Times New Roman" w:cs="Times New Roman" w:hint="eastAsia"/>
                <w:kern w:val="0"/>
                <w:sz w:val="24"/>
                <w:szCs w:val="24"/>
              </w:rPr>
              <w:t>举借债务或提供担保情况。</w:t>
            </w:r>
          </w:p>
        </w:tc>
        <w:tc>
          <w:tcPr>
            <w:tcW w:w="709" w:type="dxa"/>
            <w:shd w:val="clear" w:color="auto" w:fill="auto"/>
          </w:tcPr>
          <w:p w14:paraId="10A645EB"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c>
          <w:tcPr>
            <w:tcW w:w="709" w:type="dxa"/>
          </w:tcPr>
          <w:p w14:paraId="55D4EFB5"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r w:rsidR="001E74D1" w:rsidRPr="001E74D1" w14:paraId="7261F014" w14:textId="77777777" w:rsidTr="009A318D">
        <w:trPr>
          <w:trHeight w:val="519"/>
          <w:jc w:val="center"/>
        </w:trPr>
        <w:tc>
          <w:tcPr>
            <w:tcW w:w="1277" w:type="dxa"/>
            <w:shd w:val="clear" w:color="auto" w:fill="auto"/>
            <w:vAlign w:val="center"/>
          </w:tcPr>
          <w:p w14:paraId="53557CF7" w14:textId="77777777" w:rsidR="001E74D1" w:rsidRPr="001E74D1" w:rsidRDefault="001E74D1" w:rsidP="001E74D1">
            <w:pPr>
              <w:widowControl/>
              <w:jc w:val="center"/>
              <w:rPr>
                <w:rFonts w:ascii="仿宋_GB2312" w:eastAsia="仿宋_GB2312" w:hAnsi="Times New Roman" w:cs="Times New Roman" w:hint="eastAsia"/>
                <w:kern w:val="0"/>
                <w:sz w:val="24"/>
                <w:szCs w:val="24"/>
              </w:rPr>
            </w:pPr>
            <w:r w:rsidRPr="001E74D1">
              <w:rPr>
                <w:rFonts w:ascii="仿宋_GB2312" w:eastAsia="仿宋_GB2312" w:hAnsi="Times New Roman" w:cs="Times New Roman" w:hint="eastAsia"/>
                <w:b/>
                <w:bCs/>
                <w:kern w:val="0"/>
                <w:sz w:val="24"/>
                <w:szCs w:val="24"/>
              </w:rPr>
              <w:t>备注</w:t>
            </w:r>
          </w:p>
        </w:tc>
        <w:tc>
          <w:tcPr>
            <w:tcW w:w="7796" w:type="dxa"/>
            <w:gridSpan w:val="3"/>
            <w:shd w:val="clear" w:color="auto" w:fill="auto"/>
            <w:vAlign w:val="center"/>
          </w:tcPr>
          <w:p w14:paraId="11A7EDFE" w14:textId="77777777" w:rsidR="001E74D1" w:rsidRPr="001E74D1" w:rsidRDefault="001E74D1" w:rsidP="001E74D1">
            <w:pPr>
              <w:widowControl/>
              <w:jc w:val="left"/>
              <w:rPr>
                <w:rFonts w:ascii="仿宋_GB2312" w:eastAsia="仿宋_GB2312" w:hAnsi="Times New Roman" w:cs="Times New Roman" w:hint="eastAsia"/>
                <w:kern w:val="0"/>
                <w:sz w:val="24"/>
                <w:szCs w:val="24"/>
              </w:rPr>
            </w:pPr>
          </w:p>
        </w:tc>
      </w:tr>
    </w:tbl>
    <w:p w14:paraId="3244220F" w14:textId="77777777" w:rsidR="001E74D1" w:rsidRPr="001E74D1" w:rsidRDefault="001E74D1" w:rsidP="001E74D1">
      <w:pPr>
        <w:rPr>
          <w:rFonts w:ascii="Times New Roman" w:eastAsia="仿宋_GB2312" w:hAnsi="Times New Roman" w:cs="Times New Roman" w:hint="eastAsia"/>
          <w:b/>
          <w:bCs/>
          <w:kern w:val="0"/>
          <w:sz w:val="30"/>
          <w:szCs w:val="30"/>
          <w:lang w:val="x-none"/>
        </w:rPr>
      </w:pPr>
    </w:p>
    <w:p w14:paraId="343865BF" w14:textId="77777777" w:rsidR="004F3F5F" w:rsidRDefault="004F3F5F"/>
    <w:sectPr w:rsidR="004F3F5F">
      <w:footerReference w:type="default" r:id="rId6"/>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1204E" w14:textId="77777777" w:rsidR="00A64731" w:rsidRDefault="00A64731" w:rsidP="001E74D1">
      <w:r>
        <w:separator/>
      </w:r>
    </w:p>
  </w:endnote>
  <w:endnote w:type="continuationSeparator" w:id="0">
    <w:p w14:paraId="09B498E5" w14:textId="77777777" w:rsidR="00A64731" w:rsidRDefault="00A64731" w:rsidP="001E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752610"/>
      <w:docPartObj>
        <w:docPartGallery w:val="Page Numbers (Bottom of Page)"/>
        <w:docPartUnique/>
      </w:docPartObj>
    </w:sdtPr>
    <w:sdtContent>
      <w:p w14:paraId="0F6F8871" w14:textId="47F659B5" w:rsidR="001E74D1" w:rsidRDefault="001E74D1">
        <w:pPr>
          <w:pStyle w:val="a5"/>
          <w:jc w:val="center"/>
        </w:pPr>
        <w:r>
          <w:fldChar w:fldCharType="begin"/>
        </w:r>
        <w:r>
          <w:instrText>PAGE   \* MERGEFORMAT</w:instrText>
        </w:r>
        <w:r>
          <w:fldChar w:fldCharType="separate"/>
        </w:r>
        <w:r>
          <w:rPr>
            <w:lang w:val="zh-CN"/>
          </w:rPr>
          <w:t>2</w:t>
        </w:r>
        <w:r>
          <w:fldChar w:fldCharType="end"/>
        </w:r>
      </w:p>
    </w:sdtContent>
  </w:sdt>
  <w:p w14:paraId="55113271" w14:textId="77777777" w:rsidR="001E74D1" w:rsidRDefault="001E74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4F9A" w14:textId="77777777" w:rsidR="00A64731" w:rsidRDefault="00A64731" w:rsidP="001E74D1">
      <w:r>
        <w:separator/>
      </w:r>
    </w:p>
  </w:footnote>
  <w:footnote w:type="continuationSeparator" w:id="0">
    <w:p w14:paraId="3E32EC7B" w14:textId="77777777" w:rsidR="00A64731" w:rsidRDefault="00A64731" w:rsidP="001E74D1">
      <w:r>
        <w:continuationSeparator/>
      </w:r>
    </w:p>
  </w:footnote>
  <w:footnote w:id="1">
    <w:p w14:paraId="7ADB5769" w14:textId="77777777" w:rsidR="001E74D1" w:rsidRDefault="001E74D1" w:rsidP="001E74D1">
      <w:pPr>
        <w:pStyle w:val="a7"/>
      </w:pPr>
      <w:r>
        <w:rPr>
          <w:rStyle w:val="a9"/>
        </w:rPr>
        <w:footnoteRef/>
      </w:r>
      <w:r w:rsidRPr="006165BD">
        <w:rPr>
          <w:rFonts w:hint="eastAsia"/>
        </w:rPr>
        <w:t>如采用定向发行方式注册，应根据《非金融企业债务融资工具定向发行注册文件表格体系</w:t>
      </w:r>
      <w:r w:rsidRPr="006165BD">
        <w:rPr>
          <w:rFonts w:hint="eastAsia"/>
        </w:rPr>
        <w:t>(2017</w:t>
      </w:r>
      <w:r w:rsidRPr="006165BD">
        <w:rPr>
          <w:rFonts w:hint="eastAsia"/>
        </w:rPr>
        <w:t>版）》关于信息披露表格命名和财务信息披露的要求，结合本表格内容予以披露</w:t>
      </w:r>
      <w:r>
        <w:rPr>
          <w:rFonts w:hint="eastAsia"/>
        </w:rPr>
        <w:t>。</w:t>
      </w:r>
    </w:p>
  </w:footnote>
  <w:footnote w:id="2">
    <w:p w14:paraId="4BB55FAA" w14:textId="77777777" w:rsidR="001E74D1" w:rsidRPr="00E3660F" w:rsidRDefault="001E74D1" w:rsidP="001E74D1">
      <w:pPr>
        <w:pStyle w:val="a7"/>
        <w:rPr>
          <w:rFonts w:ascii="仿宋_GB2312"/>
        </w:rPr>
      </w:pPr>
      <w:r w:rsidRPr="00E3660F">
        <w:rPr>
          <w:rStyle w:val="a9"/>
        </w:rPr>
        <w:footnoteRef/>
      </w:r>
      <w:proofErr w:type="spellStart"/>
      <w:r w:rsidRPr="00E3660F">
        <w:rPr>
          <w:rFonts w:ascii="仿宋_GB2312" w:hint="eastAsia"/>
        </w:rPr>
        <w:t>合同或协议应</w:t>
      </w:r>
      <w:bookmarkStart w:id="0" w:name="_GoBack"/>
      <w:bookmarkEnd w:id="0"/>
      <w:r w:rsidRPr="00E3660F">
        <w:rPr>
          <w:rFonts w:ascii="仿宋_GB2312" w:hint="eastAsia"/>
        </w:rPr>
        <w:t>包含与列表中一致的项目名称、各项目回款金额、回款期限、回款安排等内容</w:t>
      </w:r>
      <w:proofErr w:type="spellEnd"/>
      <w:r w:rsidRPr="00E3660F">
        <w:rPr>
          <w:rFonts w:ascii="仿宋_GB2312" w:hint="eastAsia"/>
        </w:rPr>
        <w:t>。</w:t>
      </w:r>
    </w:p>
  </w:footnote>
  <w:footnote w:id="3">
    <w:p w14:paraId="0823D4CD" w14:textId="77777777" w:rsidR="001E74D1" w:rsidRPr="00E3660F" w:rsidRDefault="001E74D1" w:rsidP="001E74D1">
      <w:pPr>
        <w:pStyle w:val="a7"/>
        <w:rPr>
          <w:rFonts w:ascii="仿宋_GB2312"/>
        </w:rPr>
      </w:pPr>
      <w:r w:rsidRPr="00E3660F">
        <w:rPr>
          <w:rStyle w:val="a9"/>
        </w:rPr>
        <w:footnoteRef/>
      </w:r>
      <w:r w:rsidRPr="00E3660F">
        <w:rPr>
          <w:rFonts w:ascii="仿宋_GB2312" w:hint="eastAsia"/>
        </w:rPr>
        <w:t>要求同注</w:t>
      </w:r>
      <w:r w:rsidRPr="00E3660F">
        <w:rPr>
          <w:rFonts w:ascii="仿宋_GB2312" w:hint="eastAsia"/>
          <w:vertAlign w:val="superscript"/>
          <w:lang w:eastAsia="zh-CN"/>
        </w:rPr>
        <w:t>1</w:t>
      </w:r>
      <w:r w:rsidRPr="00E3660F">
        <w:rPr>
          <w:rFonts w:ascii="仿宋_GB2312" w:hint="eastAsia"/>
        </w:rPr>
        <w:t>。</w:t>
      </w:r>
    </w:p>
  </w:footnote>
  <w:footnote w:id="4">
    <w:p w14:paraId="61A7805B" w14:textId="77777777" w:rsidR="001E74D1" w:rsidRPr="00E3660F" w:rsidRDefault="001E74D1" w:rsidP="001E74D1">
      <w:pPr>
        <w:pStyle w:val="a7"/>
      </w:pPr>
      <w:r w:rsidRPr="00E3660F">
        <w:rPr>
          <w:rStyle w:val="a9"/>
        </w:rPr>
        <w:footnoteRef/>
      </w:r>
      <w:r w:rsidRPr="00E3660F">
        <w:rPr>
          <w:rFonts w:ascii="仿宋_GB2312" w:hint="eastAsia"/>
        </w:rPr>
        <w:t>要求同注</w:t>
      </w:r>
      <w:r w:rsidRPr="00E3660F">
        <w:rPr>
          <w:rFonts w:ascii="仿宋_GB2312" w:hint="eastAsia"/>
          <w:vertAlign w:val="superscript"/>
          <w:lang w:eastAsia="zh-CN"/>
        </w:rPr>
        <w:t>1</w:t>
      </w:r>
      <w:r w:rsidRPr="00E3660F">
        <w:rPr>
          <w:rFonts w:ascii="仿宋_GB2312" w:hint="eastAsia"/>
        </w:rPr>
        <w:t>。</w:t>
      </w:r>
    </w:p>
  </w:footnote>
  <w:footnote w:id="5">
    <w:p w14:paraId="71F412A0" w14:textId="77777777" w:rsidR="001E74D1" w:rsidRPr="00921B7F" w:rsidRDefault="001E74D1" w:rsidP="001E74D1">
      <w:pPr>
        <w:pStyle w:val="a7"/>
      </w:pPr>
      <w:r w:rsidRPr="00E3660F">
        <w:rPr>
          <w:rStyle w:val="a9"/>
        </w:rPr>
        <w:footnoteRef/>
      </w:r>
      <w:r w:rsidRPr="00E3660F">
        <w:rPr>
          <w:rFonts w:ascii="仿宋_GB2312" w:hint="eastAsia"/>
        </w:rPr>
        <w:t>要求同注</w:t>
      </w:r>
      <w:r w:rsidRPr="00E3660F">
        <w:rPr>
          <w:rFonts w:ascii="仿宋_GB2312" w:hint="eastAsia"/>
          <w:vertAlign w:val="superscript"/>
          <w:lang w:eastAsia="zh-CN"/>
        </w:rPr>
        <w:t>1</w:t>
      </w:r>
      <w:r w:rsidRPr="00E3660F">
        <w:rPr>
          <w:rFonts w:ascii="仿宋_GB2312"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8B"/>
    <w:rsid w:val="001E74D1"/>
    <w:rsid w:val="004F3F5F"/>
    <w:rsid w:val="00A31B8B"/>
    <w:rsid w:val="00A6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9971A8-6171-49DA-B96A-28D1F7FC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4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74D1"/>
    <w:rPr>
      <w:sz w:val="18"/>
      <w:szCs w:val="18"/>
    </w:rPr>
  </w:style>
  <w:style w:type="paragraph" w:styleId="a5">
    <w:name w:val="footer"/>
    <w:basedOn w:val="a"/>
    <w:link w:val="a6"/>
    <w:uiPriority w:val="99"/>
    <w:unhideWhenUsed/>
    <w:rsid w:val="001E74D1"/>
    <w:pPr>
      <w:tabs>
        <w:tab w:val="center" w:pos="4153"/>
        <w:tab w:val="right" w:pos="8306"/>
      </w:tabs>
      <w:snapToGrid w:val="0"/>
      <w:jc w:val="left"/>
    </w:pPr>
    <w:rPr>
      <w:sz w:val="18"/>
      <w:szCs w:val="18"/>
    </w:rPr>
  </w:style>
  <w:style w:type="character" w:customStyle="1" w:styleId="a6">
    <w:name w:val="页脚 字符"/>
    <w:basedOn w:val="a0"/>
    <w:link w:val="a5"/>
    <w:uiPriority w:val="99"/>
    <w:rsid w:val="001E74D1"/>
    <w:rPr>
      <w:sz w:val="18"/>
      <w:szCs w:val="18"/>
    </w:rPr>
  </w:style>
  <w:style w:type="paragraph" w:styleId="a7">
    <w:name w:val="footnote text"/>
    <w:basedOn w:val="a"/>
    <w:link w:val="Char"/>
    <w:uiPriority w:val="99"/>
    <w:unhideWhenUsed/>
    <w:rsid w:val="001E74D1"/>
    <w:pPr>
      <w:widowControl/>
      <w:snapToGrid w:val="0"/>
      <w:jc w:val="left"/>
    </w:pPr>
    <w:rPr>
      <w:rFonts w:ascii="Times New Roman" w:eastAsia="宋体" w:hAnsi="Times New Roman" w:cs="Times New Roman"/>
      <w:kern w:val="0"/>
      <w:sz w:val="18"/>
      <w:szCs w:val="18"/>
      <w:lang w:val="x-none" w:eastAsia="x-none"/>
    </w:rPr>
  </w:style>
  <w:style w:type="character" w:customStyle="1" w:styleId="a8">
    <w:name w:val="脚注文本 字符"/>
    <w:basedOn w:val="a0"/>
    <w:uiPriority w:val="99"/>
    <w:semiHidden/>
    <w:rsid w:val="001E74D1"/>
    <w:rPr>
      <w:sz w:val="18"/>
      <w:szCs w:val="18"/>
    </w:rPr>
  </w:style>
  <w:style w:type="character" w:customStyle="1" w:styleId="Char">
    <w:name w:val="脚注文本 Char"/>
    <w:link w:val="a7"/>
    <w:uiPriority w:val="99"/>
    <w:rsid w:val="001E74D1"/>
    <w:rPr>
      <w:rFonts w:ascii="Times New Roman" w:eastAsia="宋体" w:hAnsi="Times New Roman" w:cs="Times New Roman"/>
      <w:kern w:val="0"/>
      <w:sz w:val="18"/>
      <w:szCs w:val="18"/>
      <w:lang w:val="x-none" w:eastAsia="x-none"/>
    </w:rPr>
  </w:style>
  <w:style w:type="character" w:styleId="a9">
    <w:name w:val="footnote reference"/>
    <w:uiPriority w:val="99"/>
    <w:unhideWhenUsed/>
    <w:rsid w:val="001E7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shane</dc:creator>
  <cp:keywords/>
  <dc:description/>
  <cp:lastModifiedBy>wang shane</cp:lastModifiedBy>
  <cp:revision>2</cp:revision>
  <dcterms:created xsi:type="dcterms:W3CDTF">2019-04-12T11:20:00Z</dcterms:created>
  <dcterms:modified xsi:type="dcterms:W3CDTF">2019-04-12T11:21:00Z</dcterms:modified>
</cp:coreProperties>
</file>