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2076E" w14:textId="77777777" w:rsidR="00C30EB6" w:rsidRPr="00C30EB6" w:rsidRDefault="00C30EB6" w:rsidP="00C30EB6">
      <w:pPr>
        <w:widowControl/>
        <w:jc w:val="left"/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</w:pPr>
      <w:r w:rsidRPr="00C30EB6">
        <w:rPr>
          <w:rFonts w:ascii="仿宋_GB2312" w:eastAsia="仿宋_GB2312" w:hAnsi="Times New Roman" w:cs="Times New Roman" w:hint="eastAsia"/>
          <w:color w:val="000000"/>
          <w:kern w:val="0"/>
          <w:sz w:val="30"/>
          <w:szCs w:val="30"/>
        </w:rPr>
        <w:t>附件14：</w:t>
      </w:r>
    </w:p>
    <w:p w14:paraId="7273FBB2" w14:textId="77777777" w:rsidR="00C30EB6" w:rsidRPr="00C30EB6" w:rsidRDefault="00C30EB6" w:rsidP="00C30EB6">
      <w:pPr>
        <w:widowControl/>
        <w:jc w:val="left"/>
        <w:outlineLvl w:val="0"/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</w:pPr>
      <w:r w:rsidRPr="00C30EB6">
        <w:rPr>
          <w:rFonts w:ascii="仿宋_GB2312" w:eastAsia="仿宋_GB2312" w:hAnsi="Times New Roman" w:cs="Times New Roman" w:hint="eastAsia"/>
          <w:b/>
          <w:color w:val="000000"/>
          <w:kern w:val="0"/>
          <w:sz w:val="28"/>
          <w:szCs w:val="28"/>
        </w:rPr>
        <w:t>MH.12（机场企业信息披露表）</w:t>
      </w:r>
    </w:p>
    <w:tbl>
      <w:tblPr>
        <w:tblW w:w="9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5930"/>
        <w:gridCol w:w="1035"/>
        <w:gridCol w:w="1035"/>
      </w:tblGrid>
      <w:tr w:rsidR="00C30EB6" w:rsidRPr="00C30EB6" w14:paraId="5C057137" w14:textId="77777777" w:rsidTr="009A318D">
        <w:trPr>
          <w:tblHeader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BDBDD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EA566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信息披露要点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BF40C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E60D4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30EB6" w:rsidRPr="00C30EB6" w14:paraId="72C1A8C7" w14:textId="77777777" w:rsidTr="009A318D">
        <w:trPr>
          <w:trHeight w:val="340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540C4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MH.12-1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28DB9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第二章 风险提示说明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C8F9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DF56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487CDEA9" w14:textId="77777777" w:rsidTr="009A318D">
        <w:trPr>
          <w:trHeight w:val="340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4BF86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3A71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在M-2-2中进一步披露财务、经营和政策风险。</w:t>
            </w:r>
          </w:p>
          <w:p w14:paraId="3DA2D4D2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财务风险：折旧摊销上升风险、财务费用较高风险、大额资本支出风险。</w:t>
            </w:r>
          </w:p>
          <w:p w14:paraId="2ACB58FA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经营风险：机场设计能力不足风险、其他交通方式竞争风险、项目建设资金主要依赖政府投入风险。</w:t>
            </w:r>
          </w:p>
          <w:p w14:paraId="56213CBF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政策风险：机场收费政策变动风险。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41A1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99F4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349CBEBF" w14:textId="77777777" w:rsidTr="009A318D">
        <w:trPr>
          <w:trHeight w:val="340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DBFF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MH.12-2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2C756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第五章 企业基本情况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61845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C35D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0ED69D7C" w14:textId="77777777" w:rsidTr="009A318D">
        <w:trPr>
          <w:trHeight w:val="340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E77E1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F26A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在M-5-8中披露航空业务情况：</w:t>
            </w:r>
          </w:p>
          <w:p w14:paraId="3AB5BA21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1、下属机场数量、所在区域；各机场入驻航空公司和基地航空公司情况。</w:t>
            </w:r>
          </w:p>
          <w:p w14:paraId="68B253DC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2、下属主要机场的基础设施建设情况，包括飞行区等级、机坪面积、廊桥数量、机位数量、跑道数量、等级、航站楼面积、安检通道数量、设计旅客吞吐量和年货</w:t>
            </w:r>
            <w:proofErr w:type="gramStart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吞吐量。</w:t>
            </w:r>
          </w:p>
          <w:p w14:paraId="1C4810E4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3、飞机起降架次、旅客吞吐量、货邮吞吐量、单位航班旅客数、日均起降架次、高峰小时起降架次。</w:t>
            </w:r>
          </w:p>
          <w:p w14:paraId="13BCB8DF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4、起降费、停场费、廊桥费、旅客服务费和</w:t>
            </w:r>
            <w:proofErr w:type="gramStart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安检费</w:t>
            </w:r>
            <w:proofErr w:type="gramEnd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等航空业务收入情况。</w:t>
            </w:r>
          </w:p>
          <w:p w14:paraId="4A0D05C6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5、获得相关支持情况。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350B2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BBFB7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471FA55B" w14:textId="77777777" w:rsidTr="009A318D">
        <w:trPr>
          <w:trHeight w:val="340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454E5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AD88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在M-5-8中披露非航空业务情况：</w:t>
            </w:r>
          </w:p>
          <w:p w14:paraId="32231A2A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1、各主要非</w:t>
            </w:r>
            <w:proofErr w:type="gramStart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航业务</w:t>
            </w:r>
            <w:proofErr w:type="gramEnd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板块的盈利模式，主要客户情况。</w:t>
            </w:r>
          </w:p>
          <w:p w14:paraId="07AF9C58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2、租赁业务情况，包括可供出租的物业种类，面积，租金水平以及出租率情况。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A2B3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98D9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6B73FBE6" w14:textId="77777777" w:rsidTr="009A318D">
        <w:trPr>
          <w:trHeight w:val="340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77CCF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MH.12-3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E87E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第六章 企业主要财务状况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F4B4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6971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69E33D08" w14:textId="77777777" w:rsidTr="009A318D">
        <w:trPr>
          <w:trHeight w:val="340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9D51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70285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在M-6-2中进一步补充重大会计科目分析：</w:t>
            </w:r>
          </w:p>
          <w:p w14:paraId="2CF876D8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1、固定资产科目主要明细、折旧政策和折旧计提情况。</w:t>
            </w:r>
          </w:p>
          <w:p w14:paraId="52F3FDBB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2、在建工程科目主要明细</w:t>
            </w:r>
            <w:proofErr w:type="gramStart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及转固情况</w:t>
            </w:r>
            <w:proofErr w:type="gramEnd"/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7559D0C9" w14:textId="77777777" w:rsidR="00C30EB6" w:rsidRPr="00C30EB6" w:rsidRDefault="00C30EB6" w:rsidP="00C30EB6">
            <w:pPr>
              <w:widowControl/>
              <w:jc w:val="left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3、营业外收入科目主要明细情况。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BB7C4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A0B7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30EB6" w:rsidRPr="00C30EB6" w14:paraId="23E3AB7B" w14:textId="77777777" w:rsidTr="009A318D">
        <w:trPr>
          <w:trHeight w:val="340"/>
          <w:jc w:val="center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950B8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</w:pPr>
            <w:r w:rsidRPr="00C30EB6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8380" w14:textId="77777777" w:rsidR="00C30EB6" w:rsidRPr="00C30EB6" w:rsidRDefault="00C30EB6" w:rsidP="00C30EB6">
            <w:pPr>
              <w:widowControl/>
              <w:jc w:val="center"/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0364966" w14:textId="77777777" w:rsidR="00C30EB6" w:rsidRPr="00C30EB6" w:rsidRDefault="00C30EB6" w:rsidP="00C30EB6">
      <w:pPr>
        <w:widowControl/>
        <w:jc w:val="left"/>
        <w:rPr>
          <w:rFonts w:ascii="仿宋_GB2312" w:eastAsia="仿宋_GB2312" w:hAnsi="Times New Roman" w:cs="Times New Roman" w:hint="eastAsia"/>
          <w:kern w:val="0"/>
          <w:sz w:val="24"/>
          <w:szCs w:val="24"/>
        </w:rPr>
      </w:pPr>
    </w:p>
    <w:p w14:paraId="75D52DBE" w14:textId="77777777" w:rsidR="004F3F5F" w:rsidRDefault="004F3F5F">
      <w:bookmarkStart w:id="0" w:name="_GoBack"/>
      <w:bookmarkEnd w:id="0"/>
    </w:p>
    <w:sectPr w:rsidR="004F3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F2D29" w14:textId="77777777" w:rsidR="00EB1A95" w:rsidRDefault="00EB1A95" w:rsidP="00C30EB6">
      <w:r>
        <w:separator/>
      </w:r>
    </w:p>
  </w:endnote>
  <w:endnote w:type="continuationSeparator" w:id="0">
    <w:p w14:paraId="4B4C528F" w14:textId="77777777" w:rsidR="00EB1A95" w:rsidRDefault="00EB1A95" w:rsidP="00C3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1915" w14:textId="77777777" w:rsidR="00EB1A95" w:rsidRDefault="00EB1A95" w:rsidP="00C30EB6">
      <w:r>
        <w:separator/>
      </w:r>
    </w:p>
  </w:footnote>
  <w:footnote w:type="continuationSeparator" w:id="0">
    <w:p w14:paraId="3CB8D344" w14:textId="77777777" w:rsidR="00EB1A95" w:rsidRDefault="00EB1A95" w:rsidP="00C3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11"/>
    <w:rsid w:val="00481C11"/>
    <w:rsid w:val="004F3F5F"/>
    <w:rsid w:val="00C30EB6"/>
    <w:rsid w:val="00E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2F36EA-9C62-4718-8C36-BED09DCA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E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E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shane</dc:creator>
  <cp:keywords/>
  <dc:description/>
  <cp:lastModifiedBy>wang shane</cp:lastModifiedBy>
  <cp:revision>2</cp:revision>
  <dcterms:created xsi:type="dcterms:W3CDTF">2019-04-12T11:32:00Z</dcterms:created>
  <dcterms:modified xsi:type="dcterms:W3CDTF">2019-04-12T11:32:00Z</dcterms:modified>
</cp:coreProperties>
</file>