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016E7" w14:textId="77777777" w:rsidR="00C444BC" w:rsidRPr="00C444BC" w:rsidRDefault="00C444BC" w:rsidP="00C444BC">
      <w:pPr>
        <w:widowControl/>
        <w:jc w:val="left"/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</w:pPr>
      <w:r w:rsidRPr="00C444BC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  <w:t>附件16：</w:t>
      </w:r>
    </w:p>
    <w:p w14:paraId="491B850B" w14:textId="77777777" w:rsidR="00C444BC" w:rsidRPr="00C444BC" w:rsidRDefault="00C444BC" w:rsidP="00C444BC">
      <w:pPr>
        <w:widowControl/>
        <w:adjustRightInd w:val="0"/>
        <w:snapToGrid w:val="0"/>
        <w:spacing w:line="360" w:lineRule="auto"/>
        <w:jc w:val="left"/>
        <w:outlineLvl w:val="0"/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</w:pPr>
      <w:r w:rsidRPr="00C444BC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MH.14（</w:t>
      </w:r>
      <w:r w:rsidRPr="00C444BC">
        <w:rPr>
          <w:rFonts w:ascii="仿宋_GB2312" w:eastAsia="仿宋_GB2312" w:hAnsi="Times New Roman" w:cs="Times New Roman" w:hint="eastAsia"/>
          <w:b/>
          <w:kern w:val="0"/>
          <w:sz w:val="28"/>
          <w:szCs w:val="28"/>
        </w:rPr>
        <w:t>旅游企业信息披露表）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134"/>
        <w:gridCol w:w="812"/>
        <w:gridCol w:w="992"/>
      </w:tblGrid>
      <w:tr w:rsidR="00C444BC" w:rsidRPr="00C444BC" w14:paraId="3A3C99E4" w14:textId="77777777" w:rsidTr="009A318D">
        <w:trPr>
          <w:trHeight w:val="285"/>
          <w:tblHeader/>
        </w:trPr>
        <w:tc>
          <w:tcPr>
            <w:tcW w:w="1135" w:type="dxa"/>
            <w:vAlign w:val="center"/>
            <w:hideMark/>
          </w:tcPr>
          <w:p w14:paraId="3FCBCAD7" w14:textId="77777777" w:rsidR="00C444BC" w:rsidRPr="00C444BC" w:rsidRDefault="00C444BC" w:rsidP="00C444BC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C444BC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134" w:type="dxa"/>
            <w:vAlign w:val="center"/>
            <w:hideMark/>
          </w:tcPr>
          <w:p w14:paraId="08317DC4" w14:textId="77777777" w:rsidR="00C444BC" w:rsidRPr="00C444BC" w:rsidRDefault="00C444BC" w:rsidP="00C444BC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C444BC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信息披露要点</w:t>
            </w:r>
          </w:p>
        </w:tc>
        <w:tc>
          <w:tcPr>
            <w:tcW w:w="812" w:type="dxa"/>
            <w:vAlign w:val="center"/>
            <w:hideMark/>
          </w:tcPr>
          <w:p w14:paraId="6DB26BA4" w14:textId="77777777" w:rsidR="00C444BC" w:rsidRPr="00C444BC" w:rsidRDefault="00C444BC" w:rsidP="00C444BC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C444BC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页码</w:t>
            </w:r>
          </w:p>
        </w:tc>
        <w:tc>
          <w:tcPr>
            <w:tcW w:w="992" w:type="dxa"/>
            <w:vAlign w:val="center"/>
            <w:hideMark/>
          </w:tcPr>
          <w:p w14:paraId="70D86F8E" w14:textId="77777777" w:rsidR="00C444BC" w:rsidRPr="00C444BC" w:rsidRDefault="00C444BC" w:rsidP="00C444BC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C444BC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C444BC" w:rsidRPr="00C444BC" w14:paraId="6A454E80" w14:textId="77777777" w:rsidTr="009A318D">
        <w:trPr>
          <w:trHeight w:val="315"/>
        </w:trPr>
        <w:tc>
          <w:tcPr>
            <w:tcW w:w="1135" w:type="dxa"/>
            <w:vMerge w:val="restart"/>
            <w:vAlign w:val="center"/>
            <w:hideMark/>
          </w:tcPr>
          <w:p w14:paraId="41E88AAF" w14:textId="77777777" w:rsidR="00C444BC" w:rsidRPr="00C444BC" w:rsidRDefault="00C444BC" w:rsidP="00C444BC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C444BC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MH.14-1</w:t>
            </w:r>
          </w:p>
        </w:tc>
        <w:tc>
          <w:tcPr>
            <w:tcW w:w="6134" w:type="dxa"/>
            <w:vAlign w:val="center"/>
            <w:hideMark/>
          </w:tcPr>
          <w:p w14:paraId="111D20A9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444BC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第二章 风险提示及说明</w:t>
            </w:r>
          </w:p>
        </w:tc>
        <w:tc>
          <w:tcPr>
            <w:tcW w:w="812" w:type="dxa"/>
            <w:vAlign w:val="center"/>
            <w:hideMark/>
          </w:tcPr>
          <w:p w14:paraId="257AB901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  <w:hideMark/>
          </w:tcPr>
          <w:p w14:paraId="70182B62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C444BC" w:rsidRPr="00C444BC" w14:paraId="13315378" w14:textId="77777777" w:rsidTr="009A318D">
        <w:trPr>
          <w:trHeight w:val="315"/>
        </w:trPr>
        <w:tc>
          <w:tcPr>
            <w:tcW w:w="1135" w:type="dxa"/>
            <w:vMerge/>
            <w:vAlign w:val="center"/>
            <w:hideMark/>
          </w:tcPr>
          <w:p w14:paraId="7FE18719" w14:textId="77777777" w:rsidR="00C444BC" w:rsidRPr="00C444BC" w:rsidRDefault="00C444BC" w:rsidP="00C444BC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vAlign w:val="center"/>
            <w:hideMark/>
          </w:tcPr>
          <w:p w14:paraId="0A08BAED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C444B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在M-2-2中提示财务、管理、经营和政策风险。</w:t>
            </w:r>
          </w:p>
          <w:p w14:paraId="0BF7DEDB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C444B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财务风险：资产负债率较高风险、资产周转率较低风险、未来资本支出较大风险、固定资产投资回收期较长风险、总资产收益率较低风险、非经常性损益不稳定且占比过高风险。</w:t>
            </w:r>
          </w:p>
          <w:p w14:paraId="3F2D3959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C444B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经营风险：旅游安全风险、未来景区经营权不稳定风险、景区资源保护风险环境保护风险、季节性风险、资产权属不完善风险、门票收费权被质押风险、景区受行政处罚风险、景区质量等级被下调风险。</w:t>
            </w:r>
          </w:p>
          <w:p w14:paraId="44FDD13D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C444B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管理风险：旅游管理复杂风险、旅游产品质量控制风险。</w:t>
            </w:r>
          </w:p>
          <w:p w14:paraId="5850FD0E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C444B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政策风险：行业政策变化风险、地方政府支持政策变化风险、门票收费权定价风险。</w:t>
            </w:r>
          </w:p>
        </w:tc>
        <w:tc>
          <w:tcPr>
            <w:tcW w:w="812" w:type="dxa"/>
            <w:vAlign w:val="center"/>
            <w:hideMark/>
          </w:tcPr>
          <w:p w14:paraId="3608F181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  <w:hideMark/>
          </w:tcPr>
          <w:p w14:paraId="1025BF87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C444BC" w:rsidRPr="00C444BC" w14:paraId="61B0A471" w14:textId="77777777" w:rsidTr="009A318D">
        <w:trPr>
          <w:trHeight w:val="315"/>
        </w:trPr>
        <w:tc>
          <w:tcPr>
            <w:tcW w:w="1135" w:type="dxa"/>
            <w:vMerge w:val="restart"/>
            <w:vAlign w:val="center"/>
            <w:hideMark/>
          </w:tcPr>
          <w:p w14:paraId="665BE9A0" w14:textId="77777777" w:rsidR="00C444BC" w:rsidRPr="00C444BC" w:rsidRDefault="00C444BC" w:rsidP="00C444BC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C444BC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MH.14-2</w:t>
            </w:r>
          </w:p>
        </w:tc>
        <w:tc>
          <w:tcPr>
            <w:tcW w:w="6134" w:type="dxa"/>
            <w:vAlign w:val="center"/>
            <w:hideMark/>
          </w:tcPr>
          <w:p w14:paraId="6F1E8074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444BC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第五章 企业基本情况</w:t>
            </w:r>
          </w:p>
        </w:tc>
        <w:tc>
          <w:tcPr>
            <w:tcW w:w="812" w:type="dxa"/>
            <w:vAlign w:val="center"/>
            <w:hideMark/>
          </w:tcPr>
          <w:p w14:paraId="0032E079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  <w:hideMark/>
          </w:tcPr>
          <w:p w14:paraId="3ADA3F06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C444BC" w:rsidRPr="00C444BC" w14:paraId="575C74B4" w14:textId="77777777" w:rsidTr="009A318D">
        <w:trPr>
          <w:trHeight w:val="315"/>
        </w:trPr>
        <w:tc>
          <w:tcPr>
            <w:tcW w:w="1135" w:type="dxa"/>
            <w:vMerge/>
            <w:vAlign w:val="center"/>
            <w:hideMark/>
          </w:tcPr>
          <w:p w14:paraId="50A1746B" w14:textId="77777777" w:rsidR="00C444BC" w:rsidRPr="00C444BC" w:rsidRDefault="00C444BC" w:rsidP="00C444BC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vAlign w:val="center"/>
            <w:hideMark/>
          </w:tcPr>
          <w:p w14:paraId="5CFBFFE4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C444B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在M-5-2中披露发行人历次增资、注资及资本实际缴付情况:</w:t>
            </w:r>
          </w:p>
          <w:p w14:paraId="4A94B18F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C444B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如有储备土地、划拨地、水库、林权、湖泊、盐田、滩涂以及非经营性资产等注资情况，应披露上述资产注入时间、金额、评估机构和依据、政府相关文件、资产过户手续是否完成等。</w:t>
            </w:r>
          </w:p>
        </w:tc>
        <w:tc>
          <w:tcPr>
            <w:tcW w:w="812" w:type="dxa"/>
            <w:vAlign w:val="center"/>
            <w:hideMark/>
          </w:tcPr>
          <w:p w14:paraId="456C8BB9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  <w:hideMark/>
          </w:tcPr>
          <w:p w14:paraId="70390AB3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C444BC" w:rsidRPr="00C444BC" w14:paraId="5259FC48" w14:textId="77777777" w:rsidTr="009A318D">
        <w:trPr>
          <w:trHeight w:val="315"/>
        </w:trPr>
        <w:tc>
          <w:tcPr>
            <w:tcW w:w="1135" w:type="dxa"/>
            <w:vMerge/>
            <w:vAlign w:val="center"/>
            <w:hideMark/>
          </w:tcPr>
          <w:p w14:paraId="10F60B04" w14:textId="77777777" w:rsidR="00C444BC" w:rsidRPr="00C444BC" w:rsidRDefault="00C444BC" w:rsidP="00C444BC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vAlign w:val="center"/>
            <w:hideMark/>
          </w:tcPr>
          <w:p w14:paraId="4A1141F7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C444B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在M-5-4中披露发行</w:t>
            </w:r>
            <w:r w:rsidRPr="00C444B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与控股股东之间在资产权属、人员设置、机构、财务、业务经营等方面的相互独立情况。</w:t>
            </w:r>
          </w:p>
        </w:tc>
        <w:tc>
          <w:tcPr>
            <w:tcW w:w="812" w:type="dxa"/>
            <w:vAlign w:val="center"/>
            <w:hideMark/>
          </w:tcPr>
          <w:p w14:paraId="131C6C56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  <w:hideMark/>
          </w:tcPr>
          <w:p w14:paraId="4474DD48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C444BC" w:rsidRPr="00C444BC" w14:paraId="71A5C1F0" w14:textId="77777777" w:rsidTr="009A318D">
        <w:trPr>
          <w:trHeight w:val="378"/>
        </w:trPr>
        <w:tc>
          <w:tcPr>
            <w:tcW w:w="1135" w:type="dxa"/>
            <w:vMerge/>
            <w:vAlign w:val="center"/>
            <w:hideMark/>
          </w:tcPr>
          <w:p w14:paraId="613029ED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vAlign w:val="center"/>
            <w:hideMark/>
          </w:tcPr>
          <w:p w14:paraId="0FC545CA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C444B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在M-5-8中披露景区经营业务情况：</w:t>
            </w:r>
          </w:p>
          <w:p w14:paraId="1E12FDF3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C444B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1、景区业务板块经营主体；分别按景区划分和收费项目的类别（如门票、索道等）披露发行人景区经营板块近三年一期的收入成本构成情况。</w:t>
            </w:r>
          </w:p>
          <w:p w14:paraId="59A50328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C444B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2、各景区的运营能力及经营情况，包括但不限于景区位置、等级、近三年一期游客人次、门票收入。</w:t>
            </w:r>
          </w:p>
          <w:p w14:paraId="2A76F1FF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C444B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、景区业务板块的经营模式、盈利模式、收支模式，包括但不限于经营权属、与当地政府（或管委会）的分成机制和回款安排、门票定价模式、景区管理模式、采购模式、销售模式、结算模式、会计处理方式及会计处理依据。披露景区门票收费权、定价、授权经营的合法合</w:t>
            </w:r>
            <w:proofErr w:type="gramStart"/>
            <w:r w:rsidRPr="00C444B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规</w:t>
            </w:r>
            <w:proofErr w:type="gramEnd"/>
            <w:r w:rsidRPr="00C444B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性。</w:t>
            </w:r>
          </w:p>
          <w:p w14:paraId="302E7CA9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C444B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如经营景区为风景名胜区，应披露发行人景区经营活动是否符合相关规定，风景名胜区内归属于发行人管理或者控制的设施等。</w:t>
            </w:r>
          </w:p>
          <w:p w14:paraId="02711BA4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C444B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lastRenderedPageBreak/>
              <w:t>4、如涉及索道、滑道业务，应披露索道、滑道运营情况，包括但不限于索道条数、总投资额、启用时间、折旧年限、运力情况、票价、未来投资计划。</w:t>
            </w:r>
          </w:p>
          <w:p w14:paraId="483E178D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C444B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5、景区资源保护情况及安全管理情况。</w:t>
            </w:r>
          </w:p>
          <w:p w14:paraId="111A662D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C444B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6、在建、拟建旅游景区项目合</w:t>
            </w:r>
            <w:proofErr w:type="gramStart"/>
            <w:r w:rsidRPr="00C444B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规</w:t>
            </w:r>
            <w:proofErr w:type="gramEnd"/>
            <w:r w:rsidRPr="00C444B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性情况。</w:t>
            </w:r>
          </w:p>
        </w:tc>
        <w:tc>
          <w:tcPr>
            <w:tcW w:w="812" w:type="dxa"/>
            <w:vAlign w:val="center"/>
            <w:hideMark/>
          </w:tcPr>
          <w:p w14:paraId="3CCE90AF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  <w:hideMark/>
          </w:tcPr>
          <w:p w14:paraId="5B915639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C444BC" w:rsidRPr="00C444BC" w14:paraId="428F3ED3" w14:textId="77777777" w:rsidTr="009A318D">
        <w:trPr>
          <w:trHeight w:val="2646"/>
        </w:trPr>
        <w:tc>
          <w:tcPr>
            <w:tcW w:w="1135" w:type="dxa"/>
            <w:vMerge/>
            <w:vAlign w:val="center"/>
            <w:hideMark/>
          </w:tcPr>
          <w:p w14:paraId="7F0E1057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vAlign w:val="center"/>
            <w:hideMark/>
          </w:tcPr>
          <w:p w14:paraId="5995D90F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C444B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在M-5-8中披露旅行社业务情况：</w:t>
            </w:r>
          </w:p>
          <w:p w14:paraId="64B4ED3D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C444B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1、旅行社业务板块经营主体；近三年及一期旅行社业务收入、成本构成。</w:t>
            </w:r>
          </w:p>
          <w:p w14:paraId="0BFE205E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C444B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2、发行人旅行社业务运营能力和经营情况，包括但不限于近三年一期网点数量、游客人次、境内外游客人次及收入占比、主要旅行路线。</w:t>
            </w:r>
          </w:p>
          <w:p w14:paraId="2F2C7C82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C444B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3、发行人旅行社业务经营模式、业务架构、销售模式、采购模式、结算模式、会计处理方式及会计处理依据。</w:t>
            </w:r>
          </w:p>
        </w:tc>
        <w:tc>
          <w:tcPr>
            <w:tcW w:w="812" w:type="dxa"/>
            <w:vAlign w:val="center"/>
            <w:hideMark/>
          </w:tcPr>
          <w:p w14:paraId="58B15035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  <w:hideMark/>
          </w:tcPr>
          <w:p w14:paraId="255ED7F3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C444BC" w:rsidRPr="00C444BC" w14:paraId="262A671B" w14:textId="77777777" w:rsidTr="009A318D">
        <w:trPr>
          <w:trHeight w:val="315"/>
        </w:trPr>
        <w:tc>
          <w:tcPr>
            <w:tcW w:w="1135" w:type="dxa"/>
            <w:vMerge w:val="restart"/>
            <w:vAlign w:val="center"/>
            <w:hideMark/>
          </w:tcPr>
          <w:p w14:paraId="0C69EB50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C444BC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MH.14-3</w:t>
            </w:r>
          </w:p>
        </w:tc>
        <w:tc>
          <w:tcPr>
            <w:tcW w:w="6134" w:type="dxa"/>
            <w:vAlign w:val="center"/>
            <w:hideMark/>
          </w:tcPr>
          <w:p w14:paraId="56751A8D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4"/>
              </w:rPr>
            </w:pPr>
            <w:r w:rsidRPr="00C444BC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第六章 企业主要财务状况</w:t>
            </w:r>
          </w:p>
        </w:tc>
        <w:tc>
          <w:tcPr>
            <w:tcW w:w="812" w:type="dxa"/>
            <w:vAlign w:val="center"/>
            <w:hideMark/>
          </w:tcPr>
          <w:p w14:paraId="65887FCB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  <w:hideMark/>
          </w:tcPr>
          <w:p w14:paraId="409B7027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C444BC" w:rsidRPr="00C444BC" w14:paraId="7E0F7222" w14:textId="77777777" w:rsidTr="009A318D">
        <w:trPr>
          <w:trHeight w:val="315"/>
        </w:trPr>
        <w:tc>
          <w:tcPr>
            <w:tcW w:w="1135" w:type="dxa"/>
            <w:vMerge/>
            <w:vAlign w:val="center"/>
            <w:hideMark/>
          </w:tcPr>
          <w:p w14:paraId="43C22F9B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vAlign w:val="center"/>
            <w:hideMark/>
          </w:tcPr>
          <w:p w14:paraId="0BA91B03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C444B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在M-6-2中进一步补充重大会计科目分析：</w:t>
            </w:r>
          </w:p>
          <w:p w14:paraId="717E036D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C444B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1、发行人固定资产、无形资产、在建工程、存货等科目中非经营性资产的明细。</w:t>
            </w:r>
          </w:p>
          <w:p w14:paraId="0A56556D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C444B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、以列表形式披露各资产科目中主要土地资产基本情况，包括但不限于土地取得方式、地块名称、土地使用权证号、土地面积、使用权类型、土地性质、取得时间、用途、入账价值、入账依据、土地出让金缴纳情况等。</w:t>
            </w:r>
          </w:p>
          <w:p w14:paraId="2D17EE92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4"/>
              </w:rPr>
            </w:pPr>
            <w:r w:rsidRPr="00C444B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3、实收资本和资本公积明细，包括但不限于货币出资、土地资产注入、股权资产注入、拨款转增净资产、非经营性资产注入等事项。</w:t>
            </w:r>
          </w:p>
        </w:tc>
        <w:tc>
          <w:tcPr>
            <w:tcW w:w="812" w:type="dxa"/>
            <w:vAlign w:val="center"/>
            <w:hideMark/>
          </w:tcPr>
          <w:p w14:paraId="0A2824D1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  <w:hideMark/>
          </w:tcPr>
          <w:p w14:paraId="41192E3B" w14:textId="77777777" w:rsidR="00C444BC" w:rsidRPr="00C444BC" w:rsidRDefault="00C444BC" w:rsidP="00C444BC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C444BC" w:rsidRPr="00C444BC" w14:paraId="1A173D3E" w14:textId="77777777" w:rsidTr="009A318D">
        <w:trPr>
          <w:trHeight w:val="315"/>
        </w:trPr>
        <w:tc>
          <w:tcPr>
            <w:tcW w:w="1135" w:type="dxa"/>
            <w:vAlign w:val="center"/>
            <w:hideMark/>
          </w:tcPr>
          <w:p w14:paraId="319A875A" w14:textId="77777777" w:rsidR="00C444BC" w:rsidRPr="00C444BC" w:rsidRDefault="00C444BC" w:rsidP="00C444BC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C444BC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7938" w:type="dxa"/>
            <w:gridSpan w:val="3"/>
            <w:vAlign w:val="center"/>
            <w:hideMark/>
          </w:tcPr>
          <w:p w14:paraId="10474B0F" w14:textId="77777777" w:rsidR="00C444BC" w:rsidRPr="00C444BC" w:rsidRDefault="00C444BC" w:rsidP="00C444BC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</w:tbl>
    <w:p w14:paraId="08952F3F" w14:textId="77777777" w:rsidR="00C444BC" w:rsidRPr="00C444BC" w:rsidRDefault="00C444BC" w:rsidP="00C444BC">
      <w:pPr>
        <w:widowControl/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14:paraId="0EF75AB2" w14:textId="77777777" w:rsidR="004F3F5F" w:rsidRDefault="004F3F5F">
      <w:bookmarkStart w:id="0" w:name="_GoBack"/>
      <w:bookmarkEnd w:id="0"/>
    </w:p>
    <w:sectPr w:rsidR="004F3F5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AF8CE" w14:textId="77777777" w:rsidR="00844E80" w:rsidRDefault="00844E80" w:rsidP="00C444BC">
      <w:r>
        <w:separator/>
      </w:r>
    </w:p>
  </w:endnote>
  <w:endnote w:type="continuationSeparator" w:id="0">
    <w:p w14:paraId="05ABBE6E" w14:textId="77777777" w:rsidR="00844E80" w:rsidRDefault="00844E80" w:rsidP="00C4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9699092"/>
      <w:docPartObj>
        <w:docPartGallery w:val="Page Numbers (Bottom of Page)"/>
        <w:docPartUnique/>
      </w:docPartObj>
    </w:sdtPr>
    <w:sdtContent>
      <w:p w14:paraId="68A9BA23" w14:textId="67D5F653" w:rsidR="00C444BC" w:rsidRDefault="00C444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DCA39AE" w14:textId="77777777" w:rsidR="00C444BC" w:rsidRDefault="00C444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980FF" w14:textId="77777777" w:rsidR="00844E80" w:rsidRDefault="00844E80" w:rsidP="00C444BC">
      <w:r>
        <w:separator/>
      </w:r>
    </w:p>
  </w:footnote>
  <w:footnote w:type="continuationSeparator" w:id="0">
    <w:p w14:paraId="29D61A46" w14:textId="77777777" w:rsidR="00844E80" w:rsidRDefault="00844E80" w:rsidP="00C44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BA"/>
    <w:rsid w:val="004F3F5F"/>
    <w:rsid w:val="005E52BA"/>
    <w:rsid w:val="00844E80"/>
    <w:rsid w:val="00C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783647-0F76-418D-A7E8-6559F4C7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44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4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44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shane</dc:creator>
  <cp:keywords/>
  <dc:description/>
  <cp:lastModifiedBy>wang shane</cp:lastModifiedBy>
  <cp:revision>2</cp:revision>
  <dcterms:created xsi:type="dcterms:W3CDTF">2019-04-12T11:33:00Z</dcterms:created>
  <dcterms:modified xsi:type="dcterms:W3CDTF">2019-04-12T11:34:00Z</dcterms:modified>
</cp:coreProperties>
</file>