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13" w:rsidRPr="002B52AD" w:rsidRDefault="009C0F13" w:rsidP="009C0F13">
      <w:pPr>
        <w:ind w:firstLineChars="0" w:firstLine="0"/>
        <w:rPr>
          <w:szCs w:val="30"/>
        </w:rPr>
      </w:pPr>
      <w:r w:rsidRPr="002B52AD">
        <w:rPr>
          <w:rFonts w:hint="eastAsia"/>
          <w:szCs w:val="30"/>
        </w:rPr>
        <w:t>附件2</w:t>
      </w:r>
      <w:r>
        <w:rPr>
          <w:rFonts w:hint="eastAsia"/>
          <w:szCs w:val="30"/>
        </w:rPr>
        <w:t>：</w:t>
      </w:r>
    </w:p>
    <w:p w:rsidR="009C0F13" w:rsidRPr="007B7A3D" w:rsidRDefault="009C0F13" w:rsidP="009C0F13">
      <w:pPr>
        <w:rPr>
          <w:rFonts w:hAnsi="Times New Roman" w:cs="Times New Roman"/>
        </w:rPr>
      </w:pPr>
    </w:p>
    <w:p w:rsidR="001A53E8" w:rsidRDefault="001A53E8" w:rsidP="001A53E8">
      <w:pPr>
        <w:ind w:firstLineChars="0" w:firstLine="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银行间债券</w:t>
      </w:r>
      <w:r>
        <w:rPr>
          <w:rFonts w:asciiTheme="majorEastAsia" w:eastAsiaTheme="majorEastAsia" w:hAnsiTheme="majorEastAsia"/>
          <w:b/>
          <w:sz w:val="36"/>
          <w:szCs w:val="36"/>
        </w:rPr>
        <w:t>市场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现券</w:t>
      </w:r>
      <w:r>
        <w:rPr>
          <w:rFonts w:asciiTheme="majorEastAsia" w:eastAsiaTheme="majorEastAsia" w:hAnsiTheme="majorEastAsia"/>
          <w:b/>
          <w:sz w:val="36"/>
          <w:szCs w:val="36"/>
        </w:rPr>
        <w:t>做市</w:t>
      </w:r>
      <w:r w:rsidR="00207B61">
        <w:rPr>
          <w:rFonts w:asciiTheme="majorEastAsia" w:eastAsiaTheme="majorEastAsia" w:hAnsiTheme="majorEastAsia"/>
          <w:b/>
          <w:sz w:val="36"/>
          <w:szCs w:val="36"/>
        </w:rPr>
        <w:t>业务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评价指标</w:t>
      </w:r>
    </w:p>
    <w:p w:rsidR="001A53E8" w:rsidRDefault="001A53E8" w:rsidP="001A53E8">
      <w:pPr>
        <w:rPr>
          <w:szCs w:val="30"/>
        </w:rPr>
      </w:pPr>
    </w:p>
    <w:p w:rsidR="001A53E8" w:rsidRDefault="001A53E8" w:rsidP="001A53E8">
      <w:pPr>
        <w:ind w:firstLine="602"/>
        <w:rPr>
          <w:b/>
          <w:szCs w:val="30"/>
        </w:rPr>
      </w:pPr>
      <w:r w:rsidRPr="00702348">
        <w:rPr>
          <w:rFonts w:hint="eastAsia"/>
          <w:b/>
          <w:szCs w:val="30"/>
        </w:rPr>
        <w:t>一、</w:t>
      </w:r>
      <w:r>
        <w:rPr>
          <w:rFonts w:hint="eastAsia"/>
          <w:b/>
          <w:szCs w:val="30"/>
        </w:rPr>
        <w:t>评价对象及范围</w:t>
      </w:r>
    </w:p>
    <w:p w:rsidR="001A53E8" w:rsidRDefault="001A53E8" w:rsidP="001A53E8">
      <w:pPr>
        <w:ind w:firstLine="602"/>
        <w:rPr>
          <w:b/>
          <w:szCs w:val="30"/>
        </w:rPr>
      </w:pPr>
      <w:r>
        <w:rPr>
          <w:rFonts w:hint="eastAsia"/>
          <w:b/>
          <w:szCs w:val="30"/>
        </w:rPr>
        <w:t>（一）评价对象</w:t>
      </w:r>
    </w:p>
    <w:p w:rsidR="001A53E8" w:rsidRPr="009D492B" w:rsidRDefault="001A53E8" w:rsidP="001A53E8">
      <w:pPr>
        <w:rPr>
          <w:szCs w:val="30"/>
        </w:rPr>
      </w:pPr>
      <w:r>
        <w:rPr>
          <w:rFonts w:hint="eastAsia"/>
          <w:szCs w:val="30"/>
        </w:rPr>
        <w:t>评价对象为</w:t>
      </w:r>
      <w:r w:rsidRPr="009D492B">
        <w:rPr>
          <w:rFonts w:hint="eastAsia"/>
          <w:szCs w:val="30"/>
        </w:rPr>
        <w:t>全部</w:t>
      </w:r>
      <w:r>
        <w:rPr>
          <w:rFonts w:hint="eastAsia"/>
          <w:szCs w:val="30"/>
        </w:rPr>
        <w:t>现券</w:t>
      </w:r>
      <w:r w:rsidRPr="009D492B">
        <w:rPr>
          <w:rFonts w:hint="eastAsia"/>
          <w:szCs w:val="30"/>
        </w:rPr>
        <w:t>做市商</w:t>
      </w:r>
      <w:r>
        <w:rPr>
          <w:rFonts w:hint="eastAsia"/>
          <w:szCs w:val="30"/>
        </w:rPr>
        <w:t>（以下简称“做市商”）</w:t>
      </w:r>
      <w:r>
        <w:rPr>
          <w:rStyle w:val="af8"/>
          <w:szCs w:val="30"/>
        </w:rPr>
        <w:footnoteReference w:id="2"/>
      </w:r>
      <w:r>
        <w:rPr>
          <w:rFonts w:hint="eastAsia"/>
          <w:szCs w:val="30"/>
        </w:rPr>
        <w:t>。</w:t>
      </w:r>
    </w:p>
    <w:p w:rsidR="001A53E8" w:rsidRDefault="001A53E8" w:rsidP="001A53E8">
      <w:pPr>
        <w:rPr>
          <w:szCs w:val="30"/>
        </w:rPr>
      </w:pPr>
      <w:r>
        <w:rPr>
          <w:rFonts w:hint="eastAsia"/>
          <w:szCs w:val="30"/>
        </w:rPr>
        <w:t>新开通做市业务权限的做市商，自第一个完整的评价周期参与评价。</w:t>
      </w:r>
    </w:p>
    <w:p w:rsidR="001A53E8" w:rsidRDefault="001A53E8" w:rsidP="001A53E8">
      <w:pPr>
        <w:rPr>
          <w:szCs w:val="30"/>
        </w:rPr>
      </w:pPr>
      <w:r w:rsidRPr="009D492B">
        <w:rPr>
          <w:rFonts w:hint="eastAsia"/>
          <w:szCs w:val="30"/>
        </w:rPr>
        <w:t>做市商暂停做市业务期间</w:t>
      </w:r>
      <w:r>
        <w:rPr>
          <w:rFonts w:hint="eastAsia"/>
          <w:szCs w:val="30"/>
        </w:rPr>
        <w:t>不参与评价。暂停时间在一个评价周期内的，该评价周期不参与评价；暂停时间跨多个评价周期的，涉及的评价周期内均不参与评价。</w:t>
      </w:r>
    </w:p>
    <w:p w:rsidR="001A53E8" w:rsidRDefault="001A53E8" w:rsidP="001A53E8">
      <w:pPr>
        <w:ind w:firstLine="602"/>
        <w:rPr>
          <w:b/>
          <w:szCs w:val="30"/>
        </w:rPr>
      </w:pPr>
      <w:r>
        <w:rPr>
          <w:rFonts w:hint="eastAsia"/>
          <w:b/>
          <w:szCs w:val="30"/>
        </w:rPr>
        <w:t>（二）评价范围</w:t>
      </w:r>
    </w:p>
    <w:p w:rsidR="001A53E8" w:rsidRDefault="001A53E8" w:rsidP="001A53E8">
      <w:pPr>
        <w:rPr>
          <w:szCs w:val="30"/>
        </w:rPr>
      </w:pPr>
      <w:r w:rsidRPr="00206C53">
        <w:rPr>
          <w:rFonts w:hint="eastAsia"/>
          <w:szCs w:val="30"/>
        </w:rPr>
        <w:t>做市成交方式</w:t>
      </w:r>
      <w:r w:rsidRPr="008A77A1">
        <w:rPr>
          <w:rFonts w:hint="eastAsia"/>
          <w:szCs w:val="30"/>
        </w:rPr>
        <w:t>包括双边成交</w:t>
      </w:r>
      <w:r>
        <w:rPr>
          <w:rFonts w:hint="eastAsia"/>
          <w:szCs w:val="30"/>
        </w:rPr>
        <w:t>、</w:t>
      </w:r>
      <w:r w:rsidRPr="008A77A1">
        <w:rPr>
          <w:rFonts w:hint="eastAsia"/>
          <w:szCs w:val="30"/>
        </w:rPr>
        <w:t>请求报价成交</w:t>
      </w:r>
      <w:r>
        <w:rPr>
          <w:rFonts w:hint="eastAsia"/>
          <w:szCs w:val="30"/>
        </w:rPr>
        <w:t>和</w:t>
      </w:r>
      <w:r w:rsidRPr="00206C53">
        <w:rPr>
          <w:rFonts w:hint="eastAsia"/>
          <w:szCs w:val="30"/>
        </w:rPr>
        <w:t>匿名点击成交</w:t>
      </w:r>
      <w:r>
        <w:rPr>
          <w:rFonts w:hint="eastAsia"/>
          <w:szCs w:val="30"/>
        </w:rPr>
        <w:t>，其中，</w:t>
      </w:r>
      <w:r w:rsidRPr="00206C53">
        <w:rPr>
          <w:rFonts w:hint="eastAsia"/>
          <w:b/>
          <w:szCs w:val="30"/>
        </w:rPr>
        <w:t>双边成交</w:t>
      </w:r>
      <w:r>
        <w:rPr>
          <w:rFonts w:hint="eastAsia"/>
          <w:szCs w:val="30"/>
        </w:rPr>
        <w:t>指做市商主动提供的持续性双边报价后达成的交易；</w:t>
      </w:r>
      <w:r w:rsidRPr="00206C53">
        <w:rPr>
          <w:rFonts w:hint="eastAsia"/>
          <w:b/>
          <w:szCs w:val="30"/>
        </w:rPr>
        <w:t>请求报价成交</w:t>
      </w:r>
      <w:r>
        <w:rPr>
          <w:rFonts w:hint="eastAsia"/>
          <w:b/>
          <w:szCs w:val="30"/>
        </w:rPr>
        <w:t>（RFQ）</w:t>
      </w:r>
      <w:r>
        <w:rPr>
          <w:rFonts w:hint="eastAsia"/>
          <w:szCs w:val="30"/>
        </w:rPr>
        <w:t>指做市商对收到的请求报价后回复并达成的交易；</w:t>
      </w:r>
      <w:r>
        <w:rPr>
          <w:rFonts w:hint="eastAsia"/>
          <w:b/>
          <w:szCs w:val="30"/>
        </w:rPr>
        <w:t>匿名点击成交</w:t>
      </w:r>
      <w:r>
        <w:rPr>
          <w:rFonts w:hint="eastAsia"/>
          <w:b/>
          <w:bCs/>
          <w:szCs w:val="30"/>
        </w:rPr>
        <w:t>（</w:t>
      </w:r>
      <w:r>
        <w:rPr>
          <w:b/>
          <w:bCs/>
          <w:szCs w:val="30"/>
        </w:rPr>
        <w:t>X-Bond</w:t>
      </w:r>
      <w:r>
        <w:rPr>
          <w:rFonts w:hint="eastAsia"/>
          <w:b/>
          <w:bCs/>
          <w:szCs w:val="30"/>
        </w:rPr>
        <w:t>）</w:t>
      </w:r>
      <w:r>
        <w:rPr>
          <w:rFonts w:hint="eastAsia"/>
          <w:szCs w:val="30"/>
        </w:rPr>
        <w:t>指做市商在现券匿名点击业务系统上主动报价后达成的交易。</w:t>
      </w:r>
    </w:p>
    <w:p w:rsidR="001A53E8" w:rsidRDefault="001A53E8" w:rsidP="001A53E8">
      <w:pPr>
        <w:ind w:firstLine="602"/>
        <w:rPr>
          <w:szCs w:val="30"/>
        </w:rPr>
      </w:pPr>
      <w:r w:rsidRPr="00E01897">
        <w:rPr>
          <w:rFonts w:hint="eastAsia"/>
          <w:b/>
          <w:szCs w:val="30"/>
        </w:rPr>
        <w:t>有效双边报价</w:t>
      </w:r>
      <w:r>
        <w:rPr>
          <w:rFonts w:hint="eastAsia"/>
          <w:szCs w:val="30"/>
        </w:rPr>
        <w:t>指在主要交易时间段内，满足一定点差范围、报价量和报价持续时间</w:t>
      </w:r>
      <w:r w:rsidRPr="003A1D32">
        <w:rPr>
          <w:rFonts w:hint="eastAsia"/>
          <w:szCs w:val="30"/>
        </w:rPr>
        <w:t>标准的双边报价。</w:t>
      </w:r>
      <w:r w:rsidRPr="009418BF">
        <w:rPr>
          <w:rFonts w:hint="eastAsia"/>
          <w:szCs w:val="30"/>
        </w:rPr>
        <w:t>其中，标准不低于交易平台规定的做</w:t>
      </w:r>
      <w:r w:rsidRPr="00226EF1">
        <w:rPr>
          <w:rFonts w:hint="eastAsia"/>
          <w:szCs w:val="30"/>
        </w:rPr>
        <w:t>市义务要求。</w:t>
      </w:r>
      <w:r w:rsidRPr="003A1D32">
        <w:rPr>
          <w:rFonts w:hint="eastAsia"/>
          <w:szCs w:val="30"/>
        </w:rPr>
        <w:t>不满足</w:t>
      </w:r>
      <w:r>
        <w:rPr>
          <w:rFonts w:hint="eastAsia"/>
          <w:szCs w:val="30"/>
        </w:rPr>
        <w:t>上述要求</w:t>
      </w:r>
      <w:r w:rsidRPr="003A1D32">
        <w:rPr>
          <w:rFonts w:hint="eastAsia"/>
          <w:szCs w:val="30"/>
        </w:rPr>
        <w:t>的</w:t>
      </w:r>
      <w:r>
        <w:rPr>
          <w:rFonts w:hint="eastAsia"/>
          <w:szCs w:val="30"/>
        </w:rPr>
        <w:t>报价成交均不纳入指标计算范围，</w:t>
      </w:r>
      <w:r w:rsidRPr="0039396F">
        <w:rPr>
          <w:rFonts w:hint="eastAsia"/>
          <w:szCs w:val="30"/>
        </w:rPr>
        <w:t>虚假做市</w:t>
      </w:r>
      <w:r>
        <w:rPr>
          <w:rFonts w:hint="eastAsia"/>
          <w:szCs w:val="30"/>
        </w:rPr>
        <w:t>交易</w:t>
      </w:r>
      <w:r w:rsidRPr="0039396F">
        <w:rPr>
          <w:rFonts w:hint="eastAsia"/>
          <w:szCs w:val="30"/>
        </w:rPr>
        <w:t>不纳入评价</w:t>
      </w:r>
      <w:r>
        <w:rPr>
          <w:rFonts w:hint="eastAsia"/>
          <w:szCs w:val="30"/>
        </w:rPr>
        <w:t>指标</w:t>
      </w:r>
      <w:r w:rsidRPr="0039396F">
        <w:rPr>
          <w:rFonts w:hint="eastAsia"/>
          <w:szCs w:val="30"/>
        </w:rPr>
        <w:t>计算范围。</w:t>
      </w:r>
    </w:p>
    <w:p w:rsidR="001A53E8" w:rsidRDefault="001A53E8" w:rsidP="001A53E8">
      <w:pPr>
        <w:ind w:firstLine="602"/>
        <w:rPr>
          <w:b/>
          <w:szCs w:val="30"/>
        </w:rPr>
      </w:pPr>
      <w:r>
        <w:rPr>
          <w:rFonts w:hint="eastAsia"/>
          <w:b/>
          <w:szCs w:val="30"/>
        </w:rPr>
        <w:lastRenderedPageBreak/>
        <w:t>二、评价指标内容</w:t>
      </w:r>
    </w:p>
    <w:p w:rsidR="001A53E8" w:rsidRDefault="001A53E8" w:rsidP="00DE529A">
      <w:pPr>
        <w:spacing w:afterLines="50"/>
        <w:rPr>
          <w:b/>
          <w:szCs w:val="30"/>
        </w:rPr>
      </w:pPr>
      <w:r>
        <w:rPr>
          <w:rFonts w:hint="eastAsia"/>
          <w:szCs w:val="30"/>
        </w:rPr>
        <w:t>分为评价指标和展示指标，共</w:t>
      </w:r>
      <w:r w:rsidRPr="003442B9">
        <w:rPr>
          <w:rFonts w:hint="eastAsia"/>
          <w:szCs w:val="30"/>
        </w:rPr>
        <w:t>由</w:t>
      </w:r>
      <w:r>
        <w:rPr>
          <w:rFonts w:hint="eastAsia"/>
          <w:szCs w:val="30"/>
        </w:rPr>
        <w:t>7</w:t>
      </w:r>
      <w:r w:rsidRPr="003442B9">
        <w:rPr>
          <w:rFonts w:hint="eastAsia"/>
          <w:szCs w:val="30"/>
        </w:rPr>
        <w:t>项具体指标构成，</w:t>
      </w:r>
      <w:r>
        <w:rPr>
          <w:rFonts w:hint="eastAsia"/>
          <w:szCs w:val="30"/>
        </w:rPr>
        <w:t>评价能力维度、</w:t>
      </w:r>
      <w:r w:rsidRPr="003442B9">
        <w:rPr>
          <w:rFonts w:hint="eastAsia"/>
          <w:szCs w:val="30"/>
        </w:rPr>
        <w:t>指标名称</w:t>
      </w:r>
      <w:r>
        <w:rPr>
          <w:rFonts w:hint="eastAsia"/>
          <w:szCs w:val="30"/>
        </w:rPr>
        <w:t>和指标类别</w:t>
      </w:r>
      <w:r w:rsidRPr="003442B9">
        <w:rPr>
          <w:rFonts w:hint="eastAsia"/>
          <w:szCs w:val="30"/>
        </w:rPr>
        <w:t>见下表</w:t>
      </w:r>
      <w:r>
        <w:rPr>
          <w:rFonts w:hint="eastAsia"/>
          <w:szCs w:val="30"/>
        </w:rPr>
        <w:t>：</w:t>
      </w:r>
    </w:p>
    <w:tbl>
      <w:tblPr>
        <w:tblStyle w:val="a"/>
        <w:tblW w:w="0" w:type="auto"/>
        <w:jc w:val="center"/>
        <w:tblInd w:w="-1476" w:type="dxa"/>
        <w:tblLook w:val="04A0"/>
      </w:tblPr>
      <w:tblGrid>
        <w:gridCol w:w="1555"/>
        <w:gridCol w:w="1781"/>
        <w:gridCol w:w="3283"/>
        <w:gridCol w:w="2732"/>
      </w:tblGrid>
      <w:tr w:rsidR="00DE529A" w:rsidRPr="001D1299" w:rsidTr="007C71C9">
        <w:trPr>
          <w:trHeight w:val="270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C9" w:rsidRDefault="007C71C9" w:rsidP="007C71C9">
            <w:pPr>
              <w:widowControl/>
              <w:ind w:firstLineChars="0" w:firstLine="0"/>
              <w:jc w:val="center"/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6C53">
              <w:rPr>
                <w:rFonts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能力维度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C9" w:rsidRPr="006C1BC4" w:rsidRDefault="007C71C9" w:rsidP="007C71C9">
            <w:pPr>
              <w:widowControl/>
              <w:ind w:firstLineChars="0" w:firstLine="0"/>
              <w:jc w:val="center"/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C1BC4">
              <w:rPr>
                <w:rFonts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指标名称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C9" w:rsidRPr="006C1BC4" w:rsidRDefault="007C71C9" w:rsidP="007C71C9">
            <w:pPr>
              <w:widowControl/>
              <w:ind w:firstLineChars="0" w:firstLine="0"/>
              <w:jc w:val="center"/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指标类别</w:t>
            </w:r>
          </w:p>
        </w:tc>
      </w:tr>
      <w:tr w:rsidR="00DE529A" w:rsidRPr="001D1299" w:rsidTr="007C71C9">
        <w:trPr>
          <w:trHeight w:val="27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C9" w:rsidRPr="00206C53" w:rsidRDefault="007C71C9" w:rsidP="007C71C9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206C53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做市报价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C9" w:rsidRPr="00206C53" w:rsidRDefault="007C71C9" w:rsidP="007C71C9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206C53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报价连续性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C9" w:rsidRPr="00F23352" w:rsidRDefault="007C71C9" w:rsidP="007C71C9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F23352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双边报价时间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C9" w:rsidRPr="00F23352" w:rsidRDefault="007C71C9" w:rsidP="007C71C9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评价指标</w:t>
            </w:r>
          </w:p>
        </w:tc>
      </w:tr>
      <w:tr w:rsidR="00DE529A" w:rsidRPr="001D1299" w:rsidTr="007C71C9">
        <w:trPr>
          <w:trHeight w:val="27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C9" w:rsidRDefault="007C71C9" w:rsidP="007C71C9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C9" w:rsidRDefault="007C71C9" w:rsidP="007C71C9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206C53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债券覆盖度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C9" w:rsidRPr="00F23352" w:rsidRDefault="007C71C9" w:rsidP="007C71C9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F23352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双边报价债券只数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C9" w:rsidRPr="00F23352" w:rsidRDefault="007C71C9" w:rsidP="007C71C9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评价指标</w:t>
            </w:r>
          </w:p>
        </w:tc>
      </w:tr>
      <w:tr w:rsidR="00DE529A" w:rsidRPr="001D1299" w:rsidTr="007C71C9">
        <w:trPr>
          <w:trHeight w:val="27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C9" w:rsidRDefault="007C71C9" w:rsidP="007C71C9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C9" w:rsidRDefault="007C71C9" w:rsidP="007C71C9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206C53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定价能力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C9" w:rsidRPr="00F23352" w:rsidRDefault="007C71C9" w:rsidP="007C71C9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F23352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双边报价点差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C9" w:rsidRPr="00F23352" w:rsidRDefault="007C71C9" w:rsidP="007C71C9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评价指标</w:t>
            </w:r>
          </w:p>
        </w:tc>
      </w:tr>
      <w:tr w:rsidR="00DE529A" w:rsidRPr="001D1299" w:rsidTr="007C71C9">
        <w:trPr>
          <w:trHeight w:val="27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C9" w:rsidRDefault="007C71C9" w:rsidP="007C71C9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C9" w:rsidRDefault="007C71C9" w:rsidP="007C71C9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C9" w:rsidRPr="00F23352" w:rsidRDefault="007C71C9" w:rsidP="007C71C9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232AFF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请求报价成交比例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C9" w:rsidRPr="00F23352" w:rsidRDefault="007C71C9" w:rsidP="007C71C9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评价指标</w:t>
            </w:r>
          </w:p>
        </w:tc>
      </w:tr>
      <w:tr w:rsidR="00DE529A" w:rsidRPr="001D1299" w:rsidTr="007C71C9">
        <w:trPr>
          <w:trHeight w:val="27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C9" w:rsidRPr="00206C53" w:rsidRDefault="007C71C9" w:rsidP="007C71C9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206C53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做市成交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C9" w:rsidRPr="00206C53" w:rsidRDefault="007C71C9" w:rsidP="007C71C9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交易流量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C9" w:rsidRPr="00F23352" w:rsidRDefault="007C71C9" w:rsidP="007C71C9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F23352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做市成交量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C9" w:rsidRPr="00F23352" w:rsidRDefault="007C71C9" w:rsidP="007C71C9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评价指标</w:t>
            </w:r>
          </w:p>
        </w:tc>
      </w:tr>
      <w:tr w:rsidR="00DE529A" w:rsidRPr="001D1299" w:rsidTr="007C71C9">
        <w:trPr>
          <w:trHeight w:val="27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C9" w:rsidRDefault="007C71C9" w:rsidP="007C71C9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C9" w:rsidRDefault="007C71C9" w:rsidP="007C71C9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C9" w:rsidRPr="00F23352" w:rsidRDefault="007C71C9" w:rsidP="007C71C9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F23352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散量成交笔数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C9" w:rsidRPr="00F23352" w:rsidRDefault="007C71C9" w:rsidP="007C71C9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展示指标</w:t>
            </w:r>
          </w:p>
        </w:tc>
      </w:tr>
      <w:tr w:rsidR="00DE529A" w:rsidRPr="001D1299" w:rsidTr="007C71C9">
        <w:trPr>
          <w:trHeight w:val="27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C9" w:rsidRDefault="007C71C9" w:rsidP="007C71C9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C9" w:rsidRDefault="007C71C9" w:rsidP="007C71C9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客户</w:t>
            </w:r>
            <w:r w:rsidRPr="00206C53">
              <w:rPr>
                <w:rFonts w:hint="eastAsia"/>
                <w:sz w:val="28"/>
                <w:szCs w:val="28"/>
              </w:rPr>
              <w:t>广度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1C9" w:rsidRPr="00F23352" w:rsidRDefault="007C71C9" w:rsidP="007C71C9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 w:rsidRPr="00F23352"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做市成交对手方数量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C9" w:rsidRPr="00F23352" w:rsidRDefault="007C71C9" w:rsidP="007C71C9">
            <w:pPr>
              <w:widowControl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展示指标</w:t>
            </w:r>
          </w:p>
        </w:tc>
      </w:tr>
    </w:tbl>
    <w:p w:rsidR="00C46278" w:rsidRPr="00206C53" w:rsidRDefault="00C46278" w:rsidP="00DE529A">
      <w:pPr>
        <w:spacing w:beforeLines="50"/>
        <w:ind w:firstLine="602"/>
        <w:rPr>
          <w:b/>
          <w:szCs w:val="30"/>
        </w:rPr>
      </w:pPr>
      <w:r>
        <w:rPr>
          <w:rFonts w:hint="eastAsia"/>
          <w:b/>
          <w:szCs w:val="30"/>
        </w:rPr>
        <w:t>（一）评价</w:t>
      </w:r>
      <w:r w:rsidRPr="00206C53">
        <w:rPr>
          <w:rFonts w:hint="eastAsia"/>
          <w:b/>
          <w:szCs w:val="30"/>
        </w:rPr>
        <w:t>指标</w:t>
      </w:r>
    </w:p>
    <w:p w:rsidR="00C46278" w:rsidRPr="00E01897" w:rsidRDefault="00C46278" w:rsidP="00C46278">
      <w:pPr>
        <w:ind w:firstLine="602"/>
        <w:rPr>
          <w:b/>
          <w:szCs w:val="30"/>
        </w:rPr>
      </w:pPr>
      <w:r w:rsidRPr="00E01897">
        <w:rPr>
          <w:rFonts w:hint="eastAsia"/>
          <w:b/>
          <w:szCs w:val="30"/>
        </w:rPr>
        <w:t>1、双边报价时间</w:t>
      </w:r>
    </w:p>
    <w:p w:rsidR="00C46278" w:rsidRDefault="00C46278" w:rsidP="00C46278">
      <w:pPr>
        <w:rPr>
          <w:szCs w:val="30"/>
        </w:rPr>
      </w:pPr>
      <w:r>
        <w:rPr>
          <w:rFonts w:hint="eastAsia"/>
          <w:szCs w:val="30"/>
        </w:rPr>
        <w:t>该指标主要评价做市商报价的连续性，</w:t>
      </w:r>
      <w:r w:rsidRPr="00E01897">
        <w:rPr>
          <w:rFonts w:hint="eastAsia"/>
          <w:szCs w:val="30"/>
        </w:rPr>
        <w:t>指</w:t>
      </w:r>
      <w:r>
        <w:rPr>
          <w:rFonts w:hint="eastAsia"/>
          <w:szCs w:val="30"/>
        </w:rPr>
        <w:t>做市商</w:t>
      </w:r>
      <w:r w:rsidRPr="00E01897">
        <w:rPr>
          <w:rFonts w:hint="eastAsia"/>
          <w:szCs w:val="30"/>
        </w:rPr>
        <w:t>在</w:t>
      </w:r>
      <w:r>
        <w:rPr>
          <w:rFonts w:hint="eastAsia"/>
          <w:szCs w:val="30"/>
        </w:rPr>
        <w:t>在评价期内</w:t>
      </w:r>
      <w:r w:rsidRPr="00E01897">
        <w:rPr>
          <w:rFonts w:hint="eastAsia"/>
          <w:szCs w:val="30"/>
        </w:rPr>
        <w:t>有效报价的平均报价时间。</w:t>
      </w:r>
      <w:r>
        <w:rPr>
          <w:rFonts w:hint="eastAsia"/>
          <w:szCs w:val="30"/>
        </w:rPr>
        <w:t>时间越长，做市商报价连续性越好。具体计算公式为：</w:t>
      </w:r>
    </w:p>
    <w:p w:rsidR="00C46278" w:rsidRDefault="00C46278" w:rsidP="00DE529A">
      <w:pPr>
        <w:spacing w:beforeLines="50" w:line="360" w:lineRule="auto"/>
        <w:ind w:firstLine="480"/>
        <w:rPr>
          <w:szCs w:val="30"/>
        </w:rPr>
      </w:pPr>
      <m:oMathPara>
        <m:oMath>
          <m:r>
            <m:rPr>
              <m:sty m:val="p"/>
            </m:rPr>
            <w:rPr>
              <w:rFonts w:ascii="Cambria Math" w:hAnsi="Cambria Math" w:cs="Times New Roman" w:hint="eastAsia"/>
              <w:sz w:val="24"/>
              <w:szCs w:val="28"/>
            </w:rPr>
            <m:t>双边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报价时间</m:t>
          </m:r>
          <m:r>
            <m:rPr>
              <m:sty m:val="p"/>
            </m:rPr>
            <w:rPr>
              <w:rFonts w:ascii="Cambria Math" w:hAnsi="Times New Roman" w:cs="Times New Roman" w:hint="eastAsia"/>
              <w:sz w:val="24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sz w:val="24"/>
                  <w:szCs w:val="28"/>
                </w:rPr>
              </m:ctrlPr>
            </m:dPr>
            <m:e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sz w:val="24"/>
                      <w:szCs w:val="28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8"/>
                    </w:rPr>
                    <m:t>每日平均报价时间</m:t>
                  </m:r>
                </m:e>
              </m:nary>
            </m:e>
          </m:d>
          <m:r>
            <m:rPr>
              <m:sty m:val="p"/>
            </m:rPr>
            <w:rPr>
              <w:rFonts w:ascii="Cambria Math" w:hAnsi="Times New Roman" w:cs="Times New Roman"/>
              <w:sz w:val="24"/>
              <w:szCs w:val="28"/>
            </w:rPr>
            <m:t>/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8"/>
            </w:rPr>
            <m:t>在评价期内交易日</m:t>
          </m:r>
        </m:oMath>
      </m:oMathPara>
    </w:p>
    <w:p w:rsidR="00C46278" w:rsidRPr="006626EB" w:rsidRDefault="00C46278" w:rsidP="00C46278">
      <w:pPr>
        <w:ind w:firstLine="602"/>
        <w:rPr>
          <w:b/>
          <w:szCs w:val="30"/>
        </w:rPr>
      </w:pPr>
      <w:r>
        <w:rPr>
          <w:rFonts w:hint="eastAsia"/>
          <w:b/>
          <w:szCs w:val="30"/>
        </w:rPr>
        <w:t>2</w:t>
      </w:r>
      <w:r w:rsidRPr="006626EB">
        <w:rPr>
          <w:rFonts w:hint="eastAsia"/>
          <w:b/>
          <w:szCs w:val="30"/>
        </w:rPr>
        <w:t>、双边报价债券只数</w:t>
      </w:r>
    </w:p>
    <w:p w:rsidR="00C46278" w:rsidRDefault="00C46278" w:rsidP="00C46278">
      <w:pPr>
        <w:rPr>
          <w:szCs w:val="30"/>
        </w:rPr>
      </w:pPr>
      <w:r>
        <w:rPr>
          <w:rFonts w:hint="eastAsia"/>
          <w:szCs w:val="30"/>
        </w:rPr>
        <w:t>该指标主要评价做市商对某一类别债券的报价覆盖度，指做市商在评价期内</w:t>
      </w:r>
      <w:r w:rsidRPr="006626EB">
        <w:rPr>
          <w:rFonts w:hint="eastAsia"/>
          <w:szCs w:val="30"/>
        </w:rPr>
        <w:t>有效双边报价债券的平均只数</w:t>
      </w:r>
      <w:r>
        <w:rPr>
          <w:rFonts w:hint="eastAsia"/>
          <w:szCs w:val="30"/>
        </w:rPr>
        <w:t>。报价只数越多，做市商报价覆盖度越高。具体计算公式为：</w:t>
      </w:r>
    </w:p>
    <w:p w:rsidR="00C46278" w:rsidRPr="00452711" w:rsidRDefault="00C46278" w:rsidP="00DE529A">
      <w:pPr>
        <w:spacing w:beforeLines="50" w:line="360" w:lineRule="auto"/>
        <w:ind w:firstLine="480"/>
        <w:rPr>
          <w:rFonts w:hAnsi="Times New Roman" w:cs="Times New Roman"/>
          <w:sz w:val="24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双边报价债券只数</m:t>
          </m:r>
          <m:r>
            <m:rPr>
              <m:sty m:val="p"/>
            </m:rPr>
            <w:rPr>
              <w:rFonts w:ascii="Cambria Math" w:hAnsi="Times New Roman" w:cs="Times New Roman" w:hint="eastAsia"/>
              <w:sz w:val="24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sz w:val="24"/>
                  <w:szCs w:val="28"/>
                </w:rPr>
              </m:ctrlPr>
            </m:dPr>
            <m:e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 w:hint="eastAsia"/>
                      <w:sz w:val="24"/>
                      <w:szCs w:val="28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每日债券报价只数</m:t>
                  </m:r>
                </m:e>
              </m:nary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/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在评价期内交易日</m:t>
          </m:r>
        </m:oMath>
      </m:oMathPara>
    </w:p>
    <w:p w:rsidR="00C46278" w:rsidRDefault="00C46278" w:rsidP="00C46278">
      <w:pPr>
        <w:ind w:firstLine="602"/>
        <w:rPr>
          <w:b/>
          <w:szCs w:val="30"/>
        </w:rPr>
      </w:pPr>
      <w:r>
        <w:rPr>
          <w:rFonts w:hint="eastAsia"/>
          <w:b/>
          <w:szCs w:val="30"/>
        </w:rPr>
        <w:t>3</w:t>
      </w:r>
      <w:r w:rsidRPr="002E4F30">
        <w:rPr>
          <w:rFonts w:hint="eastAsia"/>
          <w:b/>
          <w:szCs w:val="30"/>
        </w:rPr>
        <w:t>、双边报价点差</w:t>
      </w:r>
    </w:p>
    <w:p w:rsidR="00C46278" w:rsidRDefault="00C46278" w:rsidP="00C46278">
      <w:pPr>
        <w:rPr>
          <w:szCs w:val="30"/>
        </w:rPr>
      </w:pPr>
      <w:r>
        <w:rPr>
          <w:rFonts w:hint="eastAsia"/>
          <w:szCs w:val="30"/>
        </w:rPr>
        <w:lastRenderedPageBreak/>
        <w:t>该指标主要评价做市商的定价能力，指做市商在评价期内有效双边报价平均点差，经报价时间加权。报价点差越窄，做市商双边报价质量越高。具体计算公式为：</w:t>
      </w:r>
    </w:p>
    <w:p w:rsidR="00C46278" w:rsidRPr="00B84AA8" w:rsidRDefault="00C46278" w:rsidP="00DE529A">
      <w:pPr>
        <w:spacing w:beforeLines="50" w:line="360" w:lineRule="auto"/>
        <w:ind w:firstLine="480"/>
        <w:rPr>
          <w:sz w:val="24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双边报价点差</m:t>
          </m:r>
          <m:r>
            <m:rPr>
              <m:sty m:val="p"/>
            </m:rPr>
            <w:rPr>
              <w:rFonts w:ascii="Cambria Math" w:hAnsi="Times New Roman" w:cs="Times New Roman" w:hint="eastAsia"/>
              <w:sz w:val="24"/>
              <w:szCs w:val="28"/>
            </w:rPr>
            <m:t>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sz w:val="24"/>
                  <w:szCs w:val="28"/>
                </w:rPr>
              </m:ctrlPr>
            </m:naryPr>
            <m:sub/>
            <m:sup/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 w:val="24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</w:rPr>
                    <m:t>单笔报价点差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</w:rPr>
                    <m:t>⨯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</w:rPr>
                    <m:t>报价时间</m:t>
                  </m:r>
                </m:e>
              </m:d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>/</m:t>
          </m:r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>报价总时长</m:t>
          </m:r>
        </m:oMath>
      </m:oMathPara>
    </w:p>
    <w:p w:rsidR="00C46278" w:rsidRDefault="00C46278" w:rsidP="00C46278">
      <w:pPr>
        <w:ind w:firstLine="602"/>
        <w:rPr>
          <w:b/>
          <w:szCs w:val="30"/>
        </w:rPr>
      </w:pPr>
      <w:r>
        <w:rPr>
          <w:rFonts w:hint="eastAsia"/>
          <w:b/>
          <w:szCs w:val="30"/>
        </w:rPr>
        <w:t>4</w:t>
      </w:r>
      <w:r w:rsidRPr="00EE28E3">
        <w:rPr>
          <w:rFonts w:hint="eastAsia"/>
          <w:b/>
          <w:szCs w:val="30"/>
        </w:rPr>
        <w:t>、请求报价成交比例</w:t>
      </w:r>
    </w:p>
    <w:p w:rsidR="00C46278" w:rsidRDefault="00C46278" w:rsidP="00C46278">
      <w:pPr>
        <w:rPr>
          <w:szCs w:val="30"/>
        </w:rPr>
      </w:pPr>
      <w:r w:rsidRPr="00AC707D">
        <w:rPr>
          <w:rFonts w:hint="eastAsia"/>
          <w:szCs w:val="30"/>
        </w:rPr>
        <w:t>该指标主要评价</w:t>
      </w:r>
      <w:r>
        <w:rPr>
          <w:rFonts w:hint="eastAsia"/>
          <w:szCs w:val="30"/>
        </w:rPr>
        <w:t>做市商请求报</w:t>
      </w:r>
      <w:r w:rsidRPr="00AC707D">
        <w:rPr>
          <w:rFonts w:hint="eastAsia"/>
          <w:szCs w:val="30"/>
        </w:rPr>
        <w:t>价的</w:t>
      </w:r>
      <w:r>
        <w:rPr>
          <w:rFonts w:hint="eastAsia"/>
          <w:szCs w:val="30"/>
        </w:rPr>
        <w:t>回复质量</w:t>
      </w:r>
      <w:r w:rsidRPr="00C75BA2">
        <w:rPr>
          <w:rFonts w:hint="eastAsia"/>
          <w:szCs w:val="30"/>
        </w:rPr>
        <w:t>，指做市商</w:t>
      </w:r>
      <w:r>
        <w:rPr>
          <w:rFonts w:hint="eastAsia"/>
          <w:szCs w:val="30"/>
        </w:rPr>
        <w:t>回复报价后成交的笔数，以及未成交但回复价格不差于成交价格的回复笔数，占该机构所有回复报价笔数的比例。成交比例越高</w:t>
      </w:r>
      <w:r w:rsidRPr="00C75BA2">
        <w:rPr>
          <w:rFonts w:hint="eastAsia"/>
          <w:szCs w:val="30"/>
        </w:rPr>
        <w:t>，做市商</w:t>
      </w:r>
      <w:r>
        <w:rPr>
          <w:rFonts w:hint="eastAsia"/>
          <w:szCs w:val="30"/>
        </w:rPr>
        <w:t>对</w:t>
      </w:r>
      <w:r w:rsidRPr="00C75BA2">
        <w:rPr>
          <w:rFonts w:hint="eastAsia"/>
          <w:szCs w:val="30"/>
        </w:rPr>
        <w:t>请求报价</w:t>
      </w:r>
      <w:r>
        <w:rPr>
          <w:rFonts w:hint="eastAsia"/>
          <w:szCs w:val="30"/>
        </w:rPr>
        <w:t>的</w:t>
      </w:r>
      <w:r w:rsidRPr="00C75BA2">
        <w:rPr>
          <w:rFonts w:hint="eastAsia"/>
          <w:szCs w:val="30"/>
        </w:rPr>
        <w:t>回复质量越高。具体计算公式为：</w:t>
      </w:r>
    </w:p>
    <w:p w:rsidR="00C46278" w:rsidRPr="007B40E2" w:rsidRDefault="00C46278" w:rsidP="00C46278">
      <w:pPr>
        <w:ind w:firstLine="480"/>
        <w:rPr>
          <w:szCs w:val="30"/>
        </w:rPr>
      </w:pPr>
      <m:oMathPara>
        <m:oMath>
          <m:r>
            <m:rPr>
              <m:sty m:val="p"/>
            </m:rPr>
            <w:rPr>
              <w:rFonts w:ascii="Cambria Math" w:hAnsi="Cambria Math" w:cs="Times New Roman" w:hint="eastAsia"/>
              <w:sz w:val="24"/>
              <w:szCs w:val="28"/>
            </w:rPr>
            <m:t>请求报价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成交比例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8"/>
            </w:rPr>
            <m:t>=(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8"/>
            </w:rPr>
            <m:t>回复后成交总笔数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8"/>
            </w:rPr>
            <m:t>+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8"/>
            </w:rPr>
            <m:t>优质回价笔数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8"/>
            </w:rPr>
            <m:t>)/</m:t>
          </m:r>
          <m:r>
            <m:rPr>
              <m:sty m:val="p"/>
            </m:rPr>
            <w:rPr>
              <w:rFonts w:ascii="Cambria Math" w:hAnsi="Times New Roman" w:cs="Times New Roman" w:hint="eastAsia"/>
              <w:sz w:val="24"/>
              <w:szCs w:val="28"/>
            </w:rPr>
            <m:t>回复报价总笔数</m:t>
          </m:r>
        </m:oMath>
      </m:oMathPara>
    </w:p>
    <w:p w:rsidR="00C46278" w:rsidRDefault="00C46278" w:rsidP="00C46278">
      <w:pPr>
        <w:ind w:firstLine="602"/>
        <w:rPr>
          <w:b/>
          <w:szCs w:val="30"/>
        </w:rPr>
      </w:pPr>
      <w:r>
        <w:rPr>
          <w:rFonts w:hint="eastAsia"/>
          <w:b/>
          <w:szCs w:val="30"/>
        </w:rPr>
        <w:t>5、做市成</w:t>
      </w:r>
      <w:r w:rsidRPr="00226B7C">
        <w:rPr>
          <w:rFonts w:hint="eastAsia"/>
          <w:b/>
          <w:szCs w:val="30"/>
        </w:rPr>
        <w:t>交</w:t>
      </w:r>
      <w:r>
        <w:rPr>
          <w:rFonts w:hint="eastAsia"/>
          <w:b/>
          <w:szCs w:val="30"/>
        </w:rPr>
        <w:t>量</w:t>
      </w:r>
    </w:p>
    <w:p w:rsidR="00C46278" w:rsidRDefault="00C46278" w:rsidP="00C46278">
      <w:pPr>
        <w:rPr>
          <w:szCs w:val="30"/>
        </w:rPr>
      </w:pPr>
      <w:r>
        <w:rPr>
          <w:rFonts w:hint="eastAsia"/>
          <w:szCs w:val="30"/>
        </w:rPr>
        <w:t>该指标主要评价做市商的交易流量，指做市商在评价期内各做市成交方式合计及分类的</w:t>
      </w:r>
      <w:r w:rsidRPr="003E5BCA">
        <w:rPr>
          <w:rFonts w:hint="eastAsia"/>
          <w:szCs w:val="30"/>
        </w:rPr>
        <w:t>做市成交量。</w:t>
      </w:r>
      <w:r>
        <w:rPr>
          <w:rFonts w:hint="eastAsia"/>
          <w:szCs w:val="30"/>
        </w:rPr>
        <w:t>做市成交量越大，做市商的流动性贡献度越高。</w:t>
      </w:r>
    </w:p>
    <w:p w:rsidR="00C46278" w:rsidRPr="001B3061" w:rsidRDefault="00C46278" w:rsidP="00C46278">
      <w:pPr>
        <w:rPr>
          <w:szCs w:val="30"/>
        </w:rPr>
      </w:pPr>
      <w:r w:rsidRPr="001C2767">
        <w:rPr>
          <w:rFonts w:hint="eastAsia"/>
          <w:szCs w:val="30"/>
        </w:rPr>
        <w:t>以上评价指标</w:t>
      </w:r>
      <w:r>
        <w:rPr>
          <w:rFonts w:hint="eastAsia"/>
          <w:szCs w:val="30"/>
        </w:rPr>
        <w:t>应</w:t>
      </w:r>
      <w:r w:rsidRPr="001C2767">
        <w:rPr>
          <w:rFonts w:hint="eastAsia"/>
          <w:szCs w:val="30"/>
        </w:rPr>
        <w:t>用于做市商动态管理参考。</w:t>
      </w:r>
    </w:p>
    <w:p w:rsidR="00C46278" w:rsidRDefault="00C46278" w:rsidP="00C46278">
      <w:pPr>
        <w:ind w:firstLine="602"/>
        <w:rPr>
          <w:b/>
          <w:szCs w:val="30"/>
        </w:rPr>
      </w:pPr>
      <w:r w:rsidRPr="00206C53">
        <w:rPr>
          <w:rFonts w:hint="eastAsia"/>
          <w:b/>
          <w:szCs w:val="30"/>
        </w:rPr>
        <w:t>（二）</w:t>
      </w:r>
      <w:r>
        <w:rPr>
          <w:rFonts w:hint="eastAsia"/>
          <w:b/>
          <w:szCs w:val="30"/>
        </w:rPr>
        <w:t>展示</w:t>
      </w:r>
      <w:r w:rsidRPr="00206C53">
        <w:rPr>
          <w:rFonts w:hint="eastAsia"/>
          <w:b/>
          <w:szCs w:val="30"/>
        </w:rPr>
        <w:t>指标</w:t>
      </w:r>
    </w:p>
    <w:p w:rsidR="00C46278" w:rsidRDefault="00C46278" w:rsidP="00C46278">
      <w:pPr>
        <w:ind w:firstLine="602"/>
        <w:rPr>
          <w:b/>
          <w:szCs w:val="30"/>
        </w:rPr>
      </w:pPr>
      <w:r>
        <w:rPr>
          <w:rFonts w:hint="eastAsia"/>
          <w:b/>
          <w:szCs w:val="30"/>
        </w:rPr>
        <w:t>6、散量成交笔数</w:t>
      </w:r>
    </w:p>
    <w:p w:rsidR="00C46278" w:rsidRDefault="00C46278" w:rsidP="00C46278">
      <w:pPr>
        <w:rPr>
          <w:szCs w:val="30"/>
        </w:rPr>
      </w:pPr>
      <w:r w:rsidRPr="00C504AD">
        <w:rPr>
          <w:rFonts w:hint="eastAsia"/>
          <w:szCs w:val="30"/>
        </w:rPr>
        <w:t>该指标主要</w:t>
      </w:r>
      <w:r>
        <w:rPr>
          <w:rFonts w:hint="eastAsia"/>
          <w:szCs w:val="30"/>
        </w:rPr>
        <w:t>评价做市商</w:t>
      </w:r>
      <w:r w:rsidRPr="00C504AD">
        <w:rPr>
          <w:rFonts w:hint="eastAsia"/>
          <w:szCs w:val="30"/>
        </w:rPr>
        <w:t>消化散量成交的能力，指</w:t>
      </w:r>
      <w:r>
        <w:rPr>
          <w:rFonts w:hint="eastAsia"/>
          <w:szCs w:val="30"/>
        </w:rPr>
        <w:t>做市商在评价期内</w:t>
      </w:r>
      <w:r w:rsidRPr="00C504AD">
        <w:rPr>
          <w:rFonts w:hint="eastAsia"/>
          <w:szCs w:val="30"/>
        </w:rPr>
        <w:t>对单笔做市成交规模</w:t>
      </w:r>
      <w:r>
        <w:rPr>
          <w:rFonts w:hint="eastAsia"/>
          <w:szCs w:val="30"/>
        </w:rPr>
        <w:t>非1000万元整数倍</w:t>
      </w:r>
      <w:r w:rsidRPr="00C504AD">
        <w:rPr>
          <w:rFonts w:hint="eastAsia"/>
          <w:szCs w:val="30"/>
        </w:rPr>
        <w:t>的散量成交笔数。散量成交笔数</w:t>
      </w:r>
      <w:r>
        <w:rPr>
          <w:rFonts w:hint="eastAsia"/>
          <w:szCs w:val="30"/>
        </w:rPr>
        <w:t>越多</w:t>
      </w:r>
      <w:r w:rsidRPr="00C504AD">
        <w:rPr>
          <w:rFonts w:hint="eastAsia"/>
          <w:szCs w:val="30"/>
        </w:rPr>
        <w:t>，</w:t>
      </w:r>
      <w:r>
        <w:rPr>
          <w:rFonts w:hint="eastAsia"/>
          <w:szCs w:val="30"/>
        </w:rPr>
        <w:t>做市商</w:t>
      </w:r>
      <w:r w:rsidRPr="00C504AD">
        <w:rPr>
          <w:rFonts w:hint="eastAsia"/>
          <w:szCs w:val="30"/>
        </w:rPr>
        <w:t>消化散量成交的能力</w:t>
      </w:r>
      <w:r>
        <w:rPr>
          <w:rFonts w:hint="eastAsia"/>
          <w:szCs w:val="30"/>
        </w:rPr>
        <w:t>越</w:t>
      </w:r>
      <w:r w:rsidRPr="00C504AD">
        <w:rPr>
          <w:rFonts w:hint="eastAsia"/>
          <w:szCs w:val="30"/>
        </w:rPr>
        <w:t>强。</w:t>
      </w:r>
    </w:p>
    <w:p w:rsidR="00C46278" w:rsidRDefault="00C46278" w:rsidP="00C46278">
      <w:pPr>
        <w:ind w:firstLine="602"/>
        <w:rPr>
          <w:b/>
          <w:szCs w:val="30"/>
        </w:rPr>
      </w:pPr>
      <w:r>
        <w:rPr>
          <w:rFonts w:hint="eastAsia"/>
          <w:b/>
          <w:szCs w:val="30"/>
        </w:rPr>
        <w:t>7</w:t>
      </w:r>
      <w:r w:rsidRPr="009418BF">
        <w:rPr>
          <w:rFonts w:hint="eastAsia"/>
          <w:b/>
          <w:szCs w:val="30"/>
        </w:rPr>
        <w:t>、做市成交对手方数量</w:t>
      </w:r>
    </w:p>
    <w:p w:rsidR="00C46278" w:rsidRDefault="00C46278" w:rsidP="00C46278">
      <w:pPr>
        <w:rPr>
          <w:szCs w:val="30"/>
        </w:rPr>
      </w:pPr>
      <w:r>
        <w:rPr>
          <w:rFonts w:hint="eastAsia"/>
          <w:szCs w:val="30"/>
        </w:rPr>
        <w:t>该指标主要评价做市商成交对象广度，指做市商在评价期内做市成交对手方数量。对手方数量越多，做市商成交对象越广泛。</w:t>
      </w:r>
    </w:p>
    <w:p w:rsidR="00C46278" w:rsidRDefault="00C46278" w:rsidP="00C46278">
      <w:pPr>
        <w:ind w:firstLine="602"/>
        <w:rPr>
          <w:b/>
          <w:szCs w:val="30"/>
        </w:rPr>
      </w:pPr>
      <w:r>
        <w:rPr>
          <w:rFonts w:hint="eastAsia"/>
          <w:b/>
          <w:szCs w:val="30"/>
        </w:rPr>
        <w:t>三、业务通报</w:t>
      </w:r>
    </w:p>
    <w:p w:rsidR="00C46278" w:rsidRDefault="00C46278" w:rsidP="00C46278">
      <w:pPr>
        <w:rPr>
          <w:szCs w:val="30"/>
        </w:rPr>
      </w:pPr>
      <w:r>
        <w:rPr>
          <w:rFonts w:hint="eastAsia"/>
          <w:szCs w:val="30"/>
        </w:rPr>
        <w:lastRenderedPageBreak/>
        <w:t>按季度向市场披露业务通报</w:t>
      </w:r>
      <w:r w:rsidRPr="00AE62AC">
        <w:rPr>
          <w:rFonts w:hint="eastAsia"/>
          <w:szCs w:val="30"/>
        </w:rPr>
        <w:t>。</w:t>
      </w:r>
      <w:r w:rsidRPr="00206C53">
        <w:rPr>
          <w:rFonts w:hint="eastAsia"/>
          <w:szCs w:val="30"/>
        </w:rPr>
        <w:t>报告内容包括但不限于：</w:t>
      </w:r>
    </w:p>
    <w:p w:rsidR="00C46278" w:rsidRDefault="00C46278" w:rsidP="00C46278">
      <w:pPr>
        <w:ind w:firstLine="602"/>
        <w:rPr>
          <w:b/>
          <w:bCs/>
          <w:szCs w:val="30"/>
        </w:rPr>
      </w:pPr>
      <w:r w:rsidRPr="00206C53">
        <w:rPr>
          <w:rFonts w:hint="eastAsia"/>
          <w:b/>
          <w:bCs/>
          <w:szCs w:val="30"/>
        </w:rPr>
        <w:t>（一）</w:t>
      </w:r>
      <w:r w:rsidRPr="005B4AFF">
        <w:rPr>
          <w:rFonts w:hint="eastAsia"/>
          <w:b/>
          <w:bCs/>
          <w:szCs w:val="30"/>
        </w:rPr>
        <w:t>做市</w:t>
      </w:r>
      <w:r>
        <w:rPr>
          <w:rFonts w:hint="eastAsia"/>
          <w:b/>
          <w:bCs/>
          <w:szCs w:val="30"/>
        </w:rPr>
        <w:t>交易总体</w:t>
      </w:r>
      <w:r w:rsidRPr="005B4AFF">
        <w:rPr>
          <w:rFonts w:hint="eastAsia"/>
          <w:b/>
          <w:bCs/>
          <w:szCs w:val="30"/>
        </w:rPr>
        <w:t>情况</w:t>
      </w:r>
    </w:p>
    <w:p w:rsidR="00C46278" w:rsidRDefault="00C46278" w:rsidP="00C46278">
      <w:pPr>
        <w:rPr>
          <w:szCs w:val="30"/>
        </w:rPr>
      </w:pPr>
      <w:r>
        <w:rPr>
          <w:rFonts w:hint="eastAsia"/>
          <w:szCs w:val="30"/>
        </w:rPr>
        <w:t>1、做市商队伍构成及名单变化。机构类型分为国有/政策性银行、股份制银行、城商行/农商行、外资银行、证券公司等。</w:t>
      </w:r>
    </w:p>
    <w:p w:rsidR="00C46278" w:rsidRDefault="00C46278" w:rsidP="00C46278">
      <w:pPr>
        <w:rPr>
          <w:szCs w:val="30"/>
        </w:rPr>
      </w:pPr>
      <w:r w:rsidRPr="009418BF">
        <w:rPr>
          <w:szCs w:val="30"/>
        </w:rPr>
        <w:t>2</w:t>
      </w:r>
      <w:r w:rsidRPr="009418BF">
        <w:rPr>
          <w:rFonts w:hint="eastAsia"/>
          <w:szCs w:val="30"/>
        </w:rPr>
        <w:t>、</w:t>
      </w:r>
      <w:r>
        <w:rPr>
          <w:rFonts w:hint="eastAsia"/>
          <w:szCs w:val="30"/>
        </w:rPr>
        <w:t>各类债券指标分布情况。包括利率类债券、信用类债券和公司信用类债券等，与交易平台的做市业务类型衔接。</w:t>
      </w:r>
    </w:p>
    <w:p w:rsidR="00C46278" w:rsidRDefault="00C46278" w:rsidP="00C46278">
      <w:pPr>
        <w:ind w:firstLine="602"/>
        <w:rPr>
          <w:b/>
          <w:szCs w:val="30"/>
        </w:rPr>
      </w:pPr>
      <w:r>
        <w:rPr>
          <w:rFonts w:hint="eastAsia"/>
          <w:b/>
          <w:szCs w:val="30"/>
        </w:rPr>
        <w:t>（二）</w:t>
      </w:r>
      <w:r w:rsidRPr="00B46E7C">
        <w:rPr>
          <w:rFonts w:hint="eastAsia"/>
          <w:b/>
          <w:szCs w:val="30"/>
        </w:rPr>
        <w:t>主要券种做市</w:t>
      </w:r>
      <w:r>
        <w:rPr>
          <w:rFonts w:hint="eastAsia"/>
          <w:b/>
          <w:szCs w:val="30"/>
        </w:rPr>
        <w:t>交易</w:t>
      </w:r>
      <w:r w:rsidRPr="00B46E7C">
        <w:rPr>
          <w:rFonts w:hint="eastAsia"/>
          <w:b/>
          <w:szCs w:val="30"/>
        </w:rPr>
        <w:t>情况</w:t>
      </w:r>
    </w:p>
    <w:p w:rsidR="00C46278" w:rsidRDefault="00C46278" w:rsidP="00C46278">
      <w:pPr>
        <w:rPr>
          <w:b/>
          <w:szCs w:val="30"/>
        </w:rPr>
      </w:pPr>
      <w:r w:rsidRPr="00C86BC8">
        <w:rPr>
          <w:rFonts w:hint="eastAsia"/>
          <w:szCs w:val="30"/>
        </w:rPr>
        <w:t>评价各做市商在评价期内对国债、政策性金融债、地方政府债、同业存单、公司信用类债券、政府支持机构债</w:t>
      </w:r>
      <w:r>
        <w:rPr>
          <w:rFonts w:hint="eastAsia"/>
          <w:szCs w:val="30"/>
        </w:rPr>
        <w:t>、</w:t>
      </w:r>
      <w:r w:rsidRPr="00C86BC8">
        <w:rPr>
          <w:rFonts w:hint="eastAsia"/>
          <w:szCs w:val="30"/>
        </w:rPr>
        <w:t>金融债（不含政策性金融债）、资产支持证券等类别券种的做市情况</w:t>
      </w:r>
      <w:r>
        <w:rPr>
          <w:rFonts w:hint="eastAsia"/>
          <w:szCs w:val="30"/>
        </w:rPr>
        <w:t>，区分待偿期限或信用评级</w:t>
      </w:r>
      <w:r w:rsidRPr="00C86BC8">
        <w:rPr>
          <w:rFonts w:hint="eastAsia"/>
          <w:szCs w:val="30"/>
        </w:rPr>
        <w:t>。其中，公司信用类债券包括企业债和债务融资工具。</w:t>
      </w:r>
    </w:p>
    <w:p w:rsidR="00C46278" w:rsidRDefault="00C46278" w:rsidP="00C46278">
      <w:pPr>
        <w:pStyle w:val="1"/>
      </w:pPr>
      <w:r w:rsidRPr="00BA6A29">
        <w:rPr>
          <w:rFonts w:hint="eastAsia"/>
        </w:rPr>
        <w:t>1</w:t>
      </w:r>
      <w:r w:rsidRPr="00BA6A29">
        <w:rPr>
          <w:rFonts w:hint="eastAsia"/>
        </w:rPr>
        <w:t>、国债。</w:t>
      </w:r>
      <w:r w:rsidRPr="00BA6A29">
        <w:rPr>
          <w:rFonts w:hint="eastAsia"/>
          <w:b w:val="0"/>
        </w:rPr>
        <w:t>各项指标的总体情况、分布情况；表现位于前列（如</w:t>
      </w:r>
      <w:r w:rsidRPr="008A2F90">
        <w:rPr>
          <w:rFonts w:hint="eastAsia"/>
          <w:b w:val="0"/>
        </w:rPr>
        <w:t>前</w:t>
      </w:r>
      <w:r w:rsidR="00AC487A" w:rsidRPr="00AC487A">
        <w:rPr>
          <w:rFonts w:ascii="仿宋_GB2312"/>
          <w:b w:val="0"/>
          <w:kern w:val="2"/>
          <w:szCs w:val="30"/>
        </w:rPr>
        <w:t>10</w:t>
      </w:r>
      <w:r w:rsidR="00AC487A" w:rsidRPr="00AC487A">
        <w:rPr>
          <w:rFonts w:ascii="仿宋_GB2312" w:hint="eastAsia"/>
          <w:b w:val="0"/>
          <w:kern w:val="2"/>
          <w:szCs w:val="30"/>
        </w:rPr>
        <w:t>%）</w:t>
      </w:r>
      <w:r w:rsidRPr="008A2F90">
        <w:rPr>
          <w:rFonts w:hint="eastAsia"/>
          <w:b w:val="0"/>
        </w:rPr>
        <w:t>的机构类型</w:t>
      </w:r>
      <w:r>
        <w:rPr>
          <w:rFonts w:hint="eastAsia"/>
          <w:b w:val="0"/>
        </w:rPr>
        <w:t>或机构</w:t>
      </w:r>
      <w:r w:rsidRPr="008A2F90">
        <w:rPr>
          <w:rFonts w:hint="eastAsia"/>
          <w:b w:val="0"/>
        </w:rPr>
        <w:t>名单</w:t>
      </w:r>
      <w:r>
        <w:rPr>
          <w:rFonts w:hint="eastAsia"/>
          <w:b w:val="0"/>
        </w:rPr>
        <w:t>（名单不分先后，下同）</w:t>
      </w:r>
      <w:r w:rsidRPr="008A2F90">
        <w:rPr>
          <w:rFonts w:hint="eastAsia"/>
          <w:b w:val="0"/>
        </w:rPr>
        <w:t>。</w:t>
      </w:r>
    </w:p>
    <w:p w:rsidR="00C46278" w:rsidRDefault="00C46278" w:rsidP="00C46278">
      <w:pPr>
        <w:ind w:firstLine="602"/>
        <w:rPr>
          <w:bCs/>
          <w:szCs w:val="30"/>
        </w:rPr>
      </w:pPr>
      <w:r>
        <w:rPr>
          <w:rFonts w:hint="eastAsia"/>
          <w:b/>
          <w:szCs w:val="30"/>
        </w:rPr>
        <w:t>2、政策性金融债。</w:t>
      </w:r>
      <w:r>
        <w:rPr>
          <w:rFonts w:hint="eastAsia"/>
          <w:bCs/>
          <w:szCs w:val="30"/>
        </w:rPr>
        <w:t>各项</w:t>
      </w:r>
      <w:r w:rsidRPr="00206C53">
        <w:rPr>
          <w:rFonts w:hint="eastAsia"/>
          <w:bCs/>
          <w:szCs w:val="30"/>
        </w:rPr>
        <w:t>指标的总体情况、分布情况</w:t>
      </w:r>
      <w:r>
        <w:rPr>
          <w:rFonts w:hint="eastAsia"/>
          <w:bCs/>
          <w:szCs w:val="30"/>
        </w:rPr>
        <w:t>；</w:t>
      </w:r>
      <w:r w:rsidRPr="002A46A8">
        <w:rPr>
          <w:rFonts w:hint="eastAsia"/>
          <w:bCs/>
          <w:szCs w:val="30"/>
        </w:rPr>
        <w:t>表现</w:t>
      </w:r>
      <w:r>
        <w:rPr>
          <w:rFonts w:hint="eastAsia"/>
          <w:bCs/>
          <w:szCs w:val="30"/>
        </w:rPr>
        <w:t>位于前列（如前1</w:t>
      </w:r>
      <w:r>
        <w:rPr>
          <w:bCs/>
          <w:szCs w:val="30"/>
        </w:rPr>
        <w:t>0</w:t>
      </w:r>
      <w:r>
        <w:rPr>
          <w:rFonts w:hint="eastAsia"/>
          <w:bCs/>
          <w:szCs w:val="30"/>
        </w:rPr>
        <w:t>%）</w:t>
      </w:r>
      <w:r w:rsidRPr="002A46A8">
        <w:rPr>
          <w:rFonts w:hint="eastAsia"/>
          <w:bCs/>
          <w:szCs w:val="30"/>
        </w:rPr>
        <w:t>的机构类型</w:t>
      </w:r>
      <w:r w:rsidRPr="00F4081B">
        <w:rPr>
          <w:rFonts w:hint="eastAsia"/>
          <w:bCs/>
          <w:szCs w:val="30"/>
        </w:rPr>
        <w:t>或机构</w:t>
      </w:r>
      <w:r>
        <w:rPr>
          <w:rFonts w:hint="eastAsia"/>
          <w:bCs/>
          <w:szCs w:val="30"/>
        </w:rPr>
        <w:t>名单</w:t>
      </w:r>
      <w:r w:rsidRPr="002A46A8">
        <w:rPr>
          <w:rFonts w:hint="eastAsia"/>
          <w:bCs/>
          <w:szCs w:val="30"/>
        </w:rPr>
        <w:t>。</w:t>
      </w:r>
    </w:p>
    <w:p w:rsidR="00C46278" w:rsidRDefault="00C46278" w:rsidP="00C46278">
      <w:pPr>
        <w:ind w:firstLine="602"/>
        <w:rPr>
          <w:bCs/>
          <w:szCs w:val="30"/>
        </w:rPr>
      </w:pPr>
      <w:r w:rsidRPr="009418BF">
        <w:rPr>
          <w:rFonts w:hint="eastAsia"/>
          <w:b/>
          <w:bCs/>
          <w:szCs w:val="30"/>
        </w:rPr>
        <w:t>3、地方政府债。</w:t>
      </w:r>
      <w:r>
        <w:rPr>
          <w:rFonts w:hint="eastAsia"/>
          <w:bCs/>
          <w:szCs w:val="30"/>
        </w:rPr>
        <w:t>各项</w:t>
      </w:r>
      <w:r w:rsidRPr="00206C53">
        <w:rPr>
          <w:rFonts w:hint="eastAsia"/>
          <w:bCs/>
          <w:szCs w:val="30"/>
        </w:rPr>
        <w:t>指标的总体情况、分布情况</w:t>
      </w:r>
      <w:r>
        <w:rPr>
          <w:rFonts w:hint="eastAsia"/>
          <w:bCs/>
          <w:szCs w:val="30"/>
        </w:rPr>
        <w:t>；</w:t>
      </w:r>
      <w:r w:rsidRPr="002A46A8">
        <w:rPr>
          <w:rFonts w:hint="eastAsia"/>
          <w:bCs/>
          <w:szCs w:val="30"/>
        </w:rPr>
        <w:t>表现</w:t>
      </w:r>
      <w:r>
        <w:rPr>
          <w:rFonts w:hint="eastAsia"/>
          <w:bCs/>
          <w:szCs w:val="30"/>
        </w:rPr>
        <w:t>位于前列（如前1</w:t>
      </w:r>
      <w:r>
        <w:rPr>
          <w:bCs/>
          <w:szCs w:val="30"/>
        </w:rPr>
        <w:t>0</w:t>
      </w:r>
      <w:r>
        <w:rPr>
          <w:rFonts w:hint="eastAsia"/>
          <w:bCs/>
          <w:szCs w:val="30"/>
        </w:rPr>
        <w:t>%）</w:t>
      </w:r>
      <w:r w:rsidRPr="002A46A8">
        <w:rPr>
          <w:rFonts w:hint="eastAsia"/>
          <w:bCs/>
          <w:szCs w:val="30"/>
        </w:rPr>
        <w:t>的机构类型</w:t>
      </w:r>
      <w:r w:rsidRPr="00F4081B">
        <w:rPr>
          <w:rFonts w:hint="eastAsia"/>
          <w:bCs/>
          <w:szCs w:val="30"/>
        </w:rPr>
        <w:t>或机构</w:t>
      </w:r>
      <w:r>
        <w:rPr>
          <w:rFonts w:hint="eastAsia"/>
          <w:bCs/>
          <w:szCs w:val="30"/>
        </w:rPr>
        <w:t>名单</w:t>
      </w:r>
      <w:r w:rsidRPr="002A46A8">
        <w:rPr>
          <w:rFonts w:hint="eastAsia"/>
          <w:bCs/>
          <w:szCs w:val="30"/>
        </w:rPr>
        <w:t>。</w:t>
      </w:r>
    </w:p>
    <w:p w:rsidR="00C46278" w:rsidRDefault="00C46278" w:rsidP="00C46278">
      <w:pPr>
        <w:ind w:firstLine="602"/>
        <w:rPr>
          <w:bCs/>
          <w:szCs w:val="30"/>
        </w:rPr>
      </w:pPr>
      <w:r>
        <w:rPr>
          <w:rFonts w:hint="eastAsia"/>
          <w:b/>
          <w:szCs w:val="30"/>
        </w:rPr>
        <w:t>4、同业存单。</w:t>
      </w:r>
      <w:r>
        <w:rPr>
          <w:rFonts w:hint="eastAsia"/>
          <w:bCs/>
          <w:szCs w:val="30"/>
        </w:rPr>
        <w:t>各项</w:t>
      </w:r>
      <w:r w:rsidRPr="002A46A8">
        <w:rPr>
          <w:rFonts w:hint="eastAsia"/>
          <w:bCs/>
          <w:szCs w:val="30"/>
        </w:rPr>
        <w:t>指标的总体情况、分布情况</w:t>
      </w:r>
      <w:r>
        <w:rPr>
          <w:rFonts w:hint="eastAsia"/>
          <w:bCs/>
          <w:szCs w:val="30"/>
        </w:rPr>
        <w:t>；</w:t>
      </w:r>
      <w:r w:rsidRPr="002A46A8">
        <w:rPr>
          <w:rFonts w:hint="eastAsia"/>
          <w:bCs/>
          <w:szCs w:val="30"/>
        </w:rPr>
        <w:t>表现</w:t>
      </w:r>
      <w:r>
        <w:rPr>
          <w:rFonts w:hint="eastAsia"/>
          <w:bCs/>
          <w:szCs w:val="30"/>
        </w:rPr>
        <w:t>位于前列（如前1</w:t>
      </w:r>
      <w:r>
        <w:rPr>
          <w:bCs/>
          <w:szCs w:val="30"/>
        </w:rPr>
        <w:t>0</w:t>
      </w:r>
      <w:r>
        <w:rPr>
          <w:rFonts w:hint="eastAsia"/>
          <w:bCs/>
          <w:szCs w:val="30"/>
        </w:rPr>
        <w:t>%）</w:t>
      </w:r>
      <w:r w:rsidRPr="002A46A8">
        <w:rPr>
          <w:rFonts w:hint="eastAsia"/>
          <w:bCs/>
          <w:szCs w:val="30"/>
        </w:rPr>
        <w:t>的机构类型</w:t>
      </w:r>
      <w:r w:rsidRPr="00F4081B">
        <w:rPr>
          <w:rFonts w:hint="eastAsia"/>
          <w:bCs/>
          <w:szCs w:val="30"/>
        </w:rPr>
        <w:t>或机构</w:t>
      </w:r>
      <w:r>
        <w:rPr>
          <w:rFonts w:hint="eastAsia"/>
          <w:bCs/>
          <w:szCs w:val="30"/>
        </w:rPr>
        <w:t>名单</w:t>
      </w:r>
      <w:r w:rsidRPr="002A46A8">
        <w:rPr>
          <w:rFonts w:hint="eastAsia"/>
          <w:bCs/>
          <w:szCs w:val="30"/>
        </w:rPr>
        <w:t>。</w:t>
      </w:r>
    </w:p>
    <w:p w:rsidR="00C46278" w:rsidRDefault="00C46278" w:rsidP="00C46278">
      <w:pPr>
        <w:ind w:firstLine="602"/>
        <w:rPr>
          <w:bCs/>
          <w:szCs w:val="30"/>
        </w:rPr>
      </w:pPr>
      <w:r>
        <w:rPr>
          <w:rFonts w:hint="eastAsia"/>
          <w:b/>
          <w:szCs w:val="30"/>
        </w:rPr>
        <w:t>5、公司信用类债券。</w:t>
      </w:r>
      <w:r>
        <w:rPr>
          <w:rFonts w:hint="eastAsia"/>
          <w:bCs/>
          <w:szCs w:val="30"/>
        </w:rPr>
        <w:t>各项</w:t>
      </w:r>
      <w:r w:rsidRPr="002A46A8">
        <w:rPr>
          <w:rFonts w:hint="eastAsia"/>
          <w:bCs/>
          <w:szCs w:val="30"/>
        </w:rPr>
        <w:t>指标的总体情况、分布情况</w:t>
      </w:r>
      <w:r>
        <w:rPr>
          <w:rFonts w:hint="eastAsia"/>
          <w:bCs/>
          <w:szCs w:val="30"/>
        </w:rPr>
        <w:t>；</w:t>
      </w:r>
      <w:r w:rsidRPr="002A46A8">
        <w:rPr>
          <w:rFonts w:hint="eastAsia"/>
          <w:bCs/>
          <w:szCs w:val="30"/>
        </w:rPr>
        <w:t>表现</w:t>
      </w:r>
      <w:r>
        <w:rPr>
          <w:rFonts w:hint="eastAsia"/>
          <w:bCs/>
          <w:szCs w:val="30"/>
        </w:rPr>
        <w:t>位于前列（如前1</w:t>
      </w:r>
      <w:r>
        <w:rPr>
          <w:bCs/>
          <w:szCs w:val="30"/>
        </w:rPr>
        <w:t>0</w:t>
      </w:r>
      <w:r>
        <w:rPr>
          <w:rFonts w:hint="eastAsia"/>
          <w:bCs/>
          <w:szCs w:val="30"/>
        </w:rPr>
        <w:t>%）</w:t>
      </w:r>
      <w:r w:rsidRPr="002A46A8">
        <w:rPr>
          <w:rFonts w:hint="eastAsia"/>
          <w:bCs/>
          <w:szCs w:val="30"/>
        </w:rPr>
        <w:t>的机构类型</w:t>
      </w:r>
      <w:r w:rsidRPr="00F4081B">
        <w:rPr>
          <w:rFonts w:hint="eastAsia"/>
          <w:bCs/>
          <w:szCs w:val="30"/>
        </w:rPr>
        <w:t>或机构</w:t>
      </w:r>
      <w:r>
        <w:rPr>
          <w:rFonts w:hint="eastAsia"/>
          <w:bCs/>
          <w:szCs w:val="30"/>
        </w:rPr>
        <w:t>名单</w:t>
      </w:r>
      <w:r w:rsidRPr="002A46A8">
        <w:rPr>
          <w:rFonts w:hint="eastAsia"/>
          <w:bCs/>
          <w:szCs w:val="30"/>
        </w:rPr>
        <w:t>。</w:t>
      </w:r>
    </w:p>
    <w:p w:rsidR="00C46278" w:rsidRDefault="00C46278" w:rsidP="00C46278">
      <w:pPr>
        <w:ind w:firstLine="602"/>
        <w:rPr>
          <w:bCs/>
          <w:szCs w:val="30"/>
        </w:rPr>
      </w:pPr>
      <w:r w:rsidRPr="00052E92">
        <w:rPr>
          <w:rFonts w:hint="eastAsia"/>
          <w:b/>
          <w:bCs/>
          <w:szCs w:val="30"/>
        </w:rPr>
        <w:t>6、政府支持机构债。</w:t>
      </w:r>
      <w:r>
        <w:rPr>
          <w:rFonts w:hint="eastAsia"/>
          <w:bCs/>
          <w:szCs w:val="30"/>
        </w:rPr>
        <w:t>各项</w:t>
      </w:r>
      <w:r w:rsidRPr="002A46A8">
        <w:rPr>
          <w:rFonts w:hint="eastAsia"/>
          <w:bCs/>
          <w:szCs w:val="30"/>
        </w:rPr>
        <w:t>指标的总体情况、分布情况</w:t>
      </w:r>
      <w:r>
        <w:rPr>
          <w:rFonts w:hint="eastAsia"/>
          <w:bCs/>
          <w:szCs w:val="30"/>
        </w:rPr>
        <w:t>；</w:t>
      </w:r>
      <w:r w:rsidRPr="002A46A8">
        <w:rPr>
          <w:rFonts w:hint="eastAsia"/>
          <w:bCs/>
          <w:szCs w:val="30"/>
        </w:rPr>
        <w:t>表现</w:t>
      </w:r>
      <w:r>
        <w:rPr>
          <w:rFonts w:hint="eastAsia"/>
          <w:bCs/>
          <w:szCs w:val="30"/>
        </w:rPr>
        <w:t>位于前列（如前1</w:t>
      </w:r>
      <w:r>
        <w:rPr>
          <w:bCs/>
          <w:szCs w:val="30"/>
        </w:rPr>
        <w:t>0</w:t>
      </w:r>
      <w:r>
        <w:rPr>
          <w:rFonts w:hint="eastAsia"/>
          <w:bCs/>
          <w:szCs w:val="30"/>
        </w:rPr>
        <w:t>%）</w:t>
      </w:r>
      <w:r w:rsidRPr="002A46A8">
        <w:rPr>
          <w:rFonts w:hint="eastAsia"/>
          <w:bCs/>
          <w:szCs w:val="30"/>
        </w:rPr>
        <w:t>的机构类型</w:t>
      </w:r>
      <w:r w:rsidRPr="00F4081B">
        <w:rPr>
          <w:rFonts w:hint="eastAsia"/>
          <w:bCs/>
          <w:szCs w:val="30"/>
        </w:rPr>
        <w:t>或机构</w:t>
      </w:r>
      <w:r>
        <w:rPr>
          <w:rFonts w:hint="eastAsia"/>
          <w:bCs/>
          <w:szCs w:val="30"/>
        </w:rPr>
        <w:t>名单</w:t>
      </w:r>
      <w:r w:rsidRPr="002A46A8">
        <w:rPr>
          <w:rFonts w:hint="eastAsia"/>
          <w:bCs/>
          <w:szCs w:val="30"/>
        </w:rPr>
        <w:t>。</w:t>
      </w:r>
    </w:p>
    <w:p w:rsidR="00C46278" w:rsidRDefault="00C46278" w:rsidP="00C46278">
      <w:pPr>
        <w:ind w:firstLine="602"/>
        <w:rPr>
          <w:bCs/>
          <w:szCs w:val="30"/>
        </w:rPr>
      </w:pPr>
      <w:r>
        <w:rPr>
          <w:rFonts w:hint="eastAsia"/>
          <w:b/>
          <w:bCs/>
          <w:szCs w:val="30"/>
        </w:rPr>
        <w:lastRenderedPageBreak/>
        <w:t>7</w:t>
      </w:r>
      <w:r w:rsidRPr="009418BF">
        <w:rPr>
          <w:rFonts w:hint="eastAsia"/>
          <w:b/>
          <w:bCs/>
          <w:szCs w:val="30"/>
        </w:rPr>
        <w:t>、金融债（不含政策性金融债）。</w:t>
      </w:r>
      <w:r>
        <w:rPr>
          <w:rFonts w:hint="eastAsia"/>
          <w:bCs/>
          <w:szCs w:val="30"/>
        </w:rPr>
        <w:t>各项</w:t>
      </w:r>
      <w:r w:rsidRPr="002A46A8">
        <w:rPr>
          <w:rFonts w:hint="eastAsia"/>
          <w:bCs/>
          <w:szCs w:val="30"/>
        </w:rPr>
        <w:t>指标的总体情况、分布情况</w:t>
      </w:r>
      <w:r>
        <w:rPr>
          <w:rFonts w:hint="eastAsia"/>
          <w:bCs/>
          <w:szCs w:val="30"/>
        </w:rPr>
        <w:t>；</w:t>
      </w:r>
      <w:r w:rsidRPr="002A46A8">
        <w:rPr>
          <w:rFonts w:hint="eastAsia"/>
          <w:bCs/>
          <w:szCs w:val="30"/>
        </w:rPr>
        <w:t>表现</w:t>
      </w:r>
      <w:r>
        <w:rPr>
          <w:rFonts w:hint="eastAsia"/>
          <w:bCs/>
          <w:szCs w:val="30"/>
        </w:rPr>
        <w:t>位于前列（如前1</w:t>
      </w:r>
      <w:r>
        <w:rPr>
          <w:bCs/>
          <w:szCs w:val="30"/>
        </w:rPr>
        <w:t>0</w:t>
      </w:r>
      <w:r>
        <w:rPr>
          <w:rFonts w:hint="eastAsia"/>
          <w:bCs/>
          <w:szCs w:val="30"/>
        </w:rPr>
        <w:t>%）</w:t>
      </w:r>
      <w:r w:rsidRPr="002A46A8">
        <w:rPr>
          <w:rFonts w:hint="eastAsia"/>
          <w:bCs/>
          <w:szCs w:val="30"/>
        </w:rPr>
        <w:t>的机构类型</w:t>
      </w:r>
      <w:r w:rsidRPr="00F4081B">
        <w:rPr>
          <w:rFonts w:hint="eastAsia"/>
          <w:bCs/>
          <w:szCs w:val="30"/>
        </w:rPr>
        <w:t>或机构</w:t>
      </w:r>
      <w:r>
        <w:rPr>
          <w:rFonts w:hint="eastAsia"/>
          <w:bCs/>
          <w:szCs w:val="30"/>
        </w:rPr>
        <w:t>名单</w:t>
      </w:r>
      <w:r w:rsidRPr="002A46A8">
        <w:rPr>
          <w:rFonts w:hint="eastAsia"/>
          <w:bCs/>
          <w:szCs w:val="30"/>
        </w:rPr>
        <w:t>。</w:t>
      </w:r>
    </w:p>
    <w:p w:rsidR="00C46278" w:rsidRDefault="00C46278" w:rsidP="00C46278">
      <w:pPr>
        <w:ind w:firstLine="602"/>
        <w:rPr>
          <w:bCs/>
          <w:szCs w:val="30"/>
        </w:rPr>
      </w:pPr>
      <w:r>
        <w:rPr>
          <w:rFonts w:hint="eastAsia"/>
          <w:b/>
          <w:szCs w:val="30"/>
        </w:rPr>
        <w:t>8、资产支持证券。</w:t>
      </w:r>
      <w:r>
        <w:rPr>
          <w:rFonts w:hint="eastAsia"/>
          <w:bCs/>
          <w:szCs w:val="30"/>
        </w:rPr>
        <w:t>各项</w:t>
      </w:r>
      <w:r w:rsidRPr="002A46A8">
        <w:rPr>
          <w:rFonts w:hint="eastAsia"/>
          <w:bCs/>
          <w:szCs w:val="30"/>
        </w:rPr>
        <w:t>指标的总体情况、分布情况</w:t>
      </w:r>
      <w:r>
        <w:rPr>
          <w:rFonts w:hint="eastAsia"/>
          <w:bCs/>
          <w:szCs w:val="30"/>
        </w:rPr>
        <w:t>；</w:t>
      </w:r>
      <w:r w:rsidRPr="002A46A8">
        <w:rPr>
          <w:rFonts w:hint="eastAsia"/>
          <w:bCs/>
          <w:szCs w:val="30"/>
        </w:rPr>
        <w:t>表现</w:t>
      </w:r>
      <w:r>
        <w:rPr>
          <w:rFonts w:hint="eastAsia"/>
          <w:bCs/>
          <w:szCs w:val="30"/>
        </w:rPr>
        <w:t>位于前列（如前1</w:t>
      </w:r>
      <w:r>
        <w:rPr>
          <w:bCs/>
          <w:szCs w:val="30"/>
        </w:rPr>
        <w:t>0</w:t>
      </w:r>
      <w:r>
        <w:rPr>
          <w:rFonts w:hint="eastAsia"/>
          <w:bCs/>
          <w:szCs w:val="30"/>
        </w:rPr>
        <w:t>%）</w:t>
      </w:r>
      <w:r w:rsidRPr="002A46A8">
        <w:rPr>
          <w:rFonts w:hint="eastAsia"/>
          <w:bCs/>
          <w:szCs w:val="30"/>
        </w:rPr>
        <w:t>的机构类型</w:t>
      </w:r>
      <w:r w:rsidRPr="00F4081B">
        <w:rPr>
          <w:rFonts w:hint="eastAsia"/>
          <w:bCs/>
          <w:szCs w:val="30"/>
        </w:rPr>
        <w:t>或机构</w:t>
      </w:r>
      <w:r>
        <w:rPr>
          <w:rFonts w:hint="eastAsia"/>
          <w:bCs/>
          <w:szCs w:val="30"/>
        </w:rPr>
        <w:t>名单</w:t>
      </w:r>
      <w:r w:rsidRPr="002A46A8">
        <w:rPr>
          <w:rFonts w:hint="eastAsia"/>
          <w:bCs/>
          <w:szCs w:val="30"/>
        </w:rPr>
        <w:t>。</w:t>
      </w:r>
      <w:r>
        <w:rPr>
          <w:rFonts w:hint="eastAsia"/>
          <w:bCs/>
          <w:szCs w:val="30"/>
        </w:rPr>
        <w:t>双边报价点差指标不适用于本券种，采用双边报价价差替代。</w:t>
      </w:r>
    </w:p>
    <w:p w:rsidR="00C46278" w:rsidRPr="001B3061" w:rsidRDefault="00C46278" w:rsidP="00C46278">
      <w:pPr>
        <w:rPr>
          <w:szCs w:val="30"/>
        </w:rPr>
      </w:pPr>
      <w:r w:rsidRPr="001C2767">
        <w:rPr>
          <w:rFonts w:hint="eastAsia"/>
          <w:szCs w:val="30"/>
        </w:rPr>
        <w:t>各券种评价列示的机构不含出现以下情况的做市商：一是评价期内累计10个</w:t>
      </w:r>
      <w:r>
        <w:rPr>
          <w:rFonts w:hint="eastAsia"/>
          <w:szCs w:val="30"/>
        </w:rPr>
        <w:t>交易日</w:t>
      </w:r>
      <w:r w:rsidRPr="001C2767">
        <w:rPr>
          <w:rFonts w:hint="eastAsia"/>
          <w:szCs w:val="30"/>
        </w:rPr>
        <w:t>或以上未对该类券种开展有效报价的。二是对于双边报价时间和双边报价点差指标，双边报价笔数低于全部机构较小四分位数的；对于请求报价成交比例指标，回复报价总笔数</w:t>
      </w:r>
      <w:r>
        <w:rPr>
          <w:rFonts w:hint="eastAsia"/>
          <w:szCs w:val="30"/>
        </w:rPr>
        <w:t>或回复报价量</w:t>
      </w:r>
      <w:r w:rsidRPr="001C2767">
        <w:rPr>
          <w:rFonts w:hint="eastAsia"/>
          <w:szCs w:val="30"/>
        </w:rPr>
        <w:t>低于全部机构较小四分位数的。</w:t>
      </w:r>
    </w:p>
    <w:p w:rsidR="00C46278" w:rsidRDefault="00C46278" w:rsidP="00C46278">
      <w:pPr>
        <w:ind w:firstLine="602"/>
        <w:rPr>
          <w:b/>
          <w:szCs w:val="30"/>
        </w:rPr>
      </w:pPr>
      <w:r>
        <w:rPr>
          <w:rFonts w:hint="eastAsia"/>
          <w:b/>
          <w:szCs w:val="30"/>
        </w:rPr>
        <w:t>（三）特定</w:t>
      </w:r>
      <w:r w:rsidRPr="00206C53">
        <w:rPr>
          <w:rFonts w:hint="eastAsia"/>
          <w:b/>
          <w:szCs w:val="30"/>
        </w:rPr>
        <w:t>债券或对象</w:t>
      </w:r>
      <w:r>
        <w:rPr>
          <w:rFonts w:hint="eastAsia"/>
          <w:b/>
          <w:szCs w:val="30"/>
        </w:rPr>
        <w:t>做市交易情况</w:t>
      </w:r>
    </w:p>
    <w:p w:rsidR="00C46278" w:rsidRDefault="00C46278" w:rsidP="00C46278">
      <w:pPr>
        <w:ind w:firstLine="602"/>
        <w:rPr>
          <w:szCs w:val="30"/>
        </w:rPr>
      </w:pPr>
      <w:r>
        <w:rPr>
          <w:rFonts w:hint="eastAsia"/>
          <w:b/>
          <w:szCs w:val="30"/>
        </w:rPr>
        <w:t>1、</w:t>
      </w:r>
      <w:r w:rsidRPr="00206C53">
        <w:rPr>
          <w:rFonts w:hint="eastAsia"/>
          <w:b/>
          <w:szCs w:val="30"/>
        </w:rPr>
        <w:t>国债/政策性金融债</w:t>
      </w:r>
      <w:r>
        <w:rPr>
          <w:rFonts w:hint="eastAsia"/>
          <w:b/>
          <w:szCs w:val="30"/>
        </w:rPr>
        <w:t>老券。</w:t>
      </w:r>
      <w:r>
        <w:rPr>
          <w:rFonts w:hint="eastAsia"/>
          <w:szCs w:val="30"/>
        </w:rPr>
        <w:t>评价做市商在评价期内对</w:t>
      </w:r>
      <w:r w:rsidRPr="00AA7E1E">
        <w:rPr>
          <w:rFonts w:hint="eastAsia"/>
          <w:szCs w:val="30"/>
        </w:rPr>
        <w:t>首次发行时间距</w:t>
      </w:r>
      <w:r>
        <w:rPr>
          <w:rFonts w:hint="eastAsia"/>
          <w:szCs w:val="30"/>
        </w:rPr>
        <w:t>评价期</w:t>
      </w:r>
      <w:r w:rsidRPr="00AA7E1E">
        <w:rPr>
          <w:rFonts w:hint="eastAsia"/>
          <w:szCs w:val="30"/>
        </w:rPr>
        <w:t>年度末两年及以上</w:t>
      </w:r>
      <w:r>
        <w:rPr>
          <w:rFonts w:hint="eastAsia"/>
          <w:szCs w:val="30"/>
        </w:rPr>
        <w:t>国债/政策性金融债的做市情况。</w:t>
      </w:r>
    </w:p>
    <w:p w:rsidR="00C46278" w:rsidRDefault="00C46278" w:rsidP="00C46278">
      <w:pPr>
        <w:ind w:firstLine="602"/>
        <w:rPr>
          <w:szCs w:val="30"/>
        </w:rPr>
      </w:pPr>
      <w:r w:rsidRPr="00892F3C">
        <w:rPr>
          <w:b/>
          <w:szCs w:val="30"/>
        </w:rPr>
        <w:t>2</w:t>
      </w:r>
      <w:r w:rsidRPr="00892F3C">
        <w:rPr>
          <w:rFonts w:hint="eastAsia"/>
          <w:b/>
          <w:szCs w:val="30"/>
        </w:rPr>
        <w:t>、</w:t>
      </w:r>
      <w:r w:rsidRPr="00052E92">
        <w:rPr>
          <w:rFonts w:hint="eastAsia"/>
          <w:b/>
          <w:szCs w:val="30"/>
        </w:rPr>
        <w:t>公司信用类债券</w:t>
      </w:r>
      <w:r w:rsidRPr="00892F3C">
        <w:rPr>
          <w:rFonts w:hint="eastAsia"/>
          <w:b/>
          <w:szCs w:val="30"/>
        </w:rPr>
        <w:t>。</w:t>
      </w:r>
      <w:r>
        <w:rPr>
          <w:rFonts w:hint="eastAsia"/>
          <w:szCs w:val="30"/>
        </w:rPr>
        <w:t>评价做市商在评价期内对</w:t>
      </w:r>
      <w:r w:rsidRPr="00E52045">
        <w:rPr>
          <w:rFonts w:hint="eastAsia"/>
          <w:szCs w:val="30"/>
        </w:rPr>
        <w:t>中长期限公司信用类债券，做市商所承销债券，以及其他特色债券的做市情</w:t>
      </w:r>
      <w:r>
        <w:rPr>
          <w:rFonts w:hint="eastAsia"/>
          <w:szCs w:val="30"/>
        </w:rPr>
        <w:t>况。</w:t>
      </w:r>
    </w:p>
    <w:p w:rsidR="00C46278" w:rsidRDefault="00C46278" w:rsidP="00C46278">
      <w:pPr>
        <w:ind w:firstLine="602"/>
        <w:rPr>
          <w:szCs w:val="30"/>
        </w:rPr>
      </w:pPr>
      <w:r>
        <w:rPr>
          <w:b/>
          <w:szCs w:val="30"/>
        </w:rPr>
        <w:t>3</w:t>
      </w:r>
      <w:r>
        <w:rPr>
          <w:rFonts w:hint="eastAsia"/>
          <w:b/>
          <w:szCs w:val="30"/>
        </w:rPr>
        <w:t>、境外投资人交易。</w:t>
      </w:r>
      <w:r>
        <w:rPr>
          <w:rFonts w:hint="eastAsia"/>
          <w:szCs w:val="30"/>
        </w:rPr>
        <w:t>评价各做市商与境外投资人的请求报价和对话报价等成交情况，包括但不限于成交笔数、成交量、成交债券类型、待偿期分布、机构贡献度。</w:t>
      </w:r>
    </w:p>
    <w:p w:rsidR="00C46278" w:rsidRDefault="00C46278" w:rsidP="00C46278">
      <w:pPr>
        <w:ind w:firstLine="602"/>
        <w:rPr>
          <w:b/>
          <w:szCs w:val="30"/>
        </w:rPr>
      </w:pPr>
      <w:r w:rsidRPr="00206C53">
        <w:rPr>
          <w:rFonts w:hint="eastAsia"/>
          <w:b/>
          <w:szCs w:val="30"/>
        </w:rPr>
        <w:t>（四）违规情况</w:t>
      </w:r>
    </w:p>
    <w:p w:rsidR="00C46278" w:rsidRDefault="00C46278" w:rsidP="00C46278">
      <w:pPr>
        <w:rPr>
          <w:szCs w:val="30"/>
        </w:rPr>
      </w:pPr>
      <w:r w:rsidRPr="00206C53">
        <w:rPr>
          <w:rFonts w:hint="eastAsia"/>
          <w:szCs w:val="30"/>
        </w:rPr>
        <w:t>披露评价期内</w:t>
      </w:r>
      <w:r>
        <w:rPr>
          <w:rFonts w:hint="eastAsia"/>
          <w:szCs w:val="30"/>
        </w:rPr>
        <w:t>做市商的</w:t>
      </w:r>
      <w:r w:rsidRPr="00206C53">
        <w:rPr>
          <w:rFonts w:hint="eastAsia"/>
          <w:szCs w:val="30"/>
        </w:rPr>
        <w:t>做市业务</w:t>
      </w:r>
      <w:r>
        <w:rPr>
          <w:rFonts w:hint="eastAsia"/>
          <w:szCs w:val="30"/>
        </w:rPr>
        <w:t>及交易相关</w:t>
      </w:r>
      <w:r w:rsidRPr="00206C53">
        <w:rPr>
          <w:rFonts w:hint="eastAsia"/>
          <w:szCs w:val="30"/>
        </w:rPr>
        <w:t>违规或不当行为情况。</w:t>
      </w:r>
    </w:p>
    <w:p w:rsidR="00C46278" w:rsidRPr="001B3061" w:rsidRDefault="00C46278" w:rsidP="00C46278">
      <w:pPr>
        <w:ind w:firstLine="602"/>
        <w:rPr>
          <w:b/>
          <w:szCs w:val="30"/>
        </w:rPr>
      </w:pPr>
      <w:r w:rsidRPr="001C2767">
        <w:rPr>
          <w:rFonts w:hint="eastAsia"/>
          <w:b/>
          <w:szCs w:val="30"/>
        </w:rPr>
        <w:t>四、评价管理</w:t>
      </w:r>
    </w:p>
    <w:p w:rsidR="0037104C" w:rsidRPr="00DE529A" w:rsidRDefault="00C46278" w:rsidP="00DE529A">
      <w:pPr>
        <w:widowControl/>
        <w:rPr>
          <w:szCs w:val="30"/>
        </w:rPr>
      </w:pPr>
      <w:r w:rsidRPr="003556F1">
        <w:rPr>
          <w:rFonts w:hint="eastAsia"/>
          <w:szCs w:val="30"/>
        </w:rPr>
        <w:lastRenderedPageBreak/>
        <w:t>按季度将做市评价情况应用于做市</w:t>
      </w:r>
      <w:r>
        <w:rPr>
          <w:rFonts w:hint="eastAsia"/>
          <w:szCs w:val="30"/>
        </w:rPr>
        <w:t>业务权限动态</w:t>
      </w:r>
      <w:r w:rsidRPr="003556F1">
        <w:rPr>
          <w:rFonts w:hint="eastAsia"/>
          <w:szCs w:val="30"/>
        </w:rPr>
        <w:t>管理。</w:t>
      </w:r>
    </w:p>
    <w:sectPr w:rsidR="0037104C" w:rsidRPr="00DE529A" w:rsidSect="008F51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3EB" w:rsidRDefault="000633EB" w:rsidP="00347F34">
      <w:r>
        <w:separator/>
      </w:r>
    </w:p>
  </w:endnote>
  <w:endnote w:type="continuationSeparator" w:id="1">
    <w:p w:rsidR="000633EB" w:rsidRDefault="000633EB" w:rsidP="00347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41C" w:rsidRDefault="00AC487A" w:rsidP="00FA1BEF">
    <w:pPr>
      <w:pStyle w:val="a5"/>
      <w:ind w:firstLine="360"/>
      <w:jc w:val="center"/>
    </w:pPr>
    <w:r>
      <w:fldChar w:fldCharType="begin"/>
    </w:r>
    <w:r w:rsidR="00604EE2">
      <w:instrText xml:space="preserve"> PAGE   \* MERGEFORMAT </w:instrText>
    </w:r>
    <w:r>
      <w:fldChar w:fldCharType="separate"/>
    </w:r>
    <w:r w:rsidR="00DE529A" w:rsidRPr="00DE529A">
      <w:rPr>
        <w:noProof/>
        <w:lang w:val="zh-CN"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41C" w:rsidRDefault="00AC487A" w:rsidP="00FA1BEF">
    <w:pPr>
      <w:pStyle w:val="a5"/>
      <w:ind w:firstLineChars="0" w:firstLine="0"/>
      <w:jc w:val="center"/>
    </w:pPr>
    <w:r>
      <w:fldChar w:fldCharType="begin"/>
    </w:r>
    <w:r w:rsidR="00604EE2">
      <w:instrText xml:space="preserve"> PAGE   \* MERGEFORMAT </w:instrText>
    </w:r>
    <w:r>
      <w:fldChar w:fldCharType="separate"/>
    </w:r>
    <w:r w:rsidR="00DE529A" w:rsidRPr="00DE529A">
      <w:rPr>
        <w:noProof/>
        <w:lang w:val="zh-CN"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EF" w:rsidRDefault="00FA1BEF" w:rsidP="00FA1BEF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3EB" w:rsidRDefault="000633EB" w:rsidP="00347F34">
      <w:r>
        <w:separator/>
      </w:r>
    </w:p>
  </w:footnote>
  <w:footnote w:type="continuationSeparator" w:id="1">
    <w:p w:rsidR="000633EB" w:rsidRDefault="000633EB" w:rsidP="00347F34">
      <w:r>
        <w:continuationSeparator/>
      </w:r>
    </w:p>
  </w:footnote>
  <w:footnote w:id="2">
    <w:p w:rsidR="001A53E8" w:rsidRDefault="001A53E8" w:rsidP="001A53E8">
      <w:pPr>
        <w:pStyle w:val="af7"/>
        <w:spacing w:line="240" w:lineRule="auto"/>
        <w:ind w:firstLine="360"/>
      </w:pPr>
      <w:r w:rsidRPr="00D64B71">
        <w:rPr>
          <w:rStyle w:val="af8"/>
        </w:rPr>
        <w:footnoteRef/>
      </w:r>
      <w:r w:rsidRPr="00D64B71">
        <w:t xml:space="preserve"> </w:t>
      </w:r>
      <w:r w:rsidRPr="00325461">
        <w:rPr>
          <w:rFonts w:hint="eastAsia"/>
        </w:rPr>
        <w:t>评价对象包括在《关于完善银行间债券市场现券做市商管理有关事宜的公告》</w:t>
      </w:r>
      <w:r>
        <w:rPr>
          <w:rFonts w:hint="eastAsia"/>
        </w:rPr>
        <w:t>实施前已开展做市业务，且在实施后与交易平台签署协议的做市商和尝试做市机构。评价对象不含试开展做市业务的金融机构。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EF" w:rsidRDefault="00FA1BEF" w:rsidP="00FA1BEF">
    <w:pPr>
      <w:pStyle w:val="a4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41C" w:rsidRDefault="0092141C" w:rsidP="00314AB7">
    <w:pPr>
      <w:pStyle w:val="a4"/>
      <w:pBdr>
        <w:bottom w:val="none" w:sz="0" w:space="0" w:color="auto"/>
      </w:pBdr>
      <w:ind w:firstLine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EF" w:rsidRDefault="00FA1BEF" w:rsidP="00FA1BEF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A1782"/>
    <w:multiLevelType w:val="hybridMultilevel"/>
    <w:tmpl w:val="B90A635C"/>
    <w:lvl w:ilvl="0" w:tplc="E50244BE">
      <w:start w:val="1"/>
      <w:numFmt w:val="chineseCountingThousand"/>
      <w:lvlText w:val="第%1条"/>
      <w:lvlJc w:val="left"/>
      <w:pPr>
        <w:ind w:left="988" w:hanging="420"/>
      </w:pPr>
      <w:rPr>
        <w:rFonts w:eastAsia="仿宋_GB2312" w:hint="eastAsia"/>
        <w:b/>
        <w:i w:val="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02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22A"/>
    <w:rsid w:val="00001550"/>
    <w:rsid w:val="00004D87"/>
    <w:rsid w:val="0001109F"/>
    <w:rsid w:val="000403E5"/>
    <w:rsid w:val="00045544"/>
    <w:rsid w:val="00055C52"/>
    <w:rsid w:val="000633EB"/>
    <w:rsid w:val="00065EAE"/>
    <w:rsid w:val="000664DE"/>
    <w:rsid w:val="0007035A"/>
    <w:rsid w:val="00076D36"/>
    <w:rsid w:val="000778E1"/>
    <w:rsid w:val="0008276F"/>
    <w:rsid w:val="00091E1C"/>
    <w:rsid w:val="0009378D"/>
    <w:rsid w:val="000953EC"/>
    <w:rsid w:val="00095922"/>
    <w:rsid w:val="00095C34"/>
    <w:rsid w:val="000972B5"/>
    <w:rsid w:val="00097E75"/>
    <w:rsid w:val="000A115B"/>
    <w:rsid w:val="000A432F"/>
    <w:rsid w:val="000B74ED"/>
    <w:rsid w:val="000B794A"/>
    <w:rsid w:val="000C0846"/>
    <w:rsid w:val="000D08D9"/>
    <w:rsid w:val="000D5032"/>
    <w:rsid w:val="000D5FF9"/>
    <w:rsid w:val="000D6F7A"/>
    <w:rsid w:val="000E1319"/>
    <w:rsid w:val="000E229C"/>
    <w:rsid w:val="000E22E1"/>
    <w:rsid w:val="000E5678"/>
    <w:rsid w:val="000E5690"/>
    <w:rsid w:val="000F035D"/>
    <w:rsid w:val="000F1221"/>
    <w:rsid w:val="000F7131"/>
    <w:rsid w:val="00100A87"/>
    <w:rsid w:val="00100F1E"/>
    <w:rsid w:val="00101F4F"/>
    <w:rsid w:val="0010437F"/>
    <w:rsid w:val="00105206"/>
    <w:rsid w:val="00106313"/>
    <w:rsid w:val="001219C5"/>
    <w:rsid w:val="00121F2D"/>
    <w:rsid w:val="0012310E"/>
    <w:rsid w:val="00124D2F"/>
    <w:rsid w:val="001258C1"/>
    <w:rsid w:val="001265F2"/>
    <w:rsid w:val="00126C2A"/>
    <w:rsid w:val="00127100"/>
    <w:rsid w:val="001369C6"/>
    <w:rsid w:val="00136DCB"/>
    <w:rsid w:val="0014371E"/>
    <w:rsid w:val="00146DF0"/>
    <w:rsid w:val="0015395A"/>
    <w:rsid w:val="00157AC9"/>
    <w:rsid w:val="001800C1"/>
    <w:rsid w:val="001A4FC6"/>
    <w:rsid w:val="001A53E8"/>
    <w:rsid w:val="001A6A43"/>
    <w:rsid w:val="001B0AAC"/>
    <w:rsid w:val="001B4466"/>
    <w:rsid w:val="001C4F16"/>
    <w:rsid w:val="001C6FA5"/>
    <w:rsid w:val="001E1BCD"/>
    <w:rsid w:val="001E29A2"/>
    <w:rsid w:val="001E2FF0"/>
    <w:rsid w:val="001E643B"/>
    <w:rsid w:val="001F087D"/>
    <w:rsid w:val="001F149D"/>
    <w:rsid w:val="001F67C9"/>
    <w:rsid w:val="0020323A"/>
    <w:rsid w:val="00207B61"/>
    <w:rsid w:val="00211865"/>
    <w:rsid w:val="00226590"/>
    <w:rsid w:val="002268C4"/>
    <w:rsid w:val="00234D28"/>
    <w:rsid w:val="00244047"/>
    <w:rsid w:val="00245333"/>
    <w:rsid w:val="00253600"/>
    <w:rsid w:val="002615E4"/>
    <w:rsid w:val="00261648"/>
    <w:rsid w:val="00265453"/>
    <w:rsid w:val="002723AA"/>
    <w:rsid w:val="00282DBC"/>
    <w:rsid w:val="002849FE"/>
    <w:rsid w:val="00285302"/>
    <w:rsid w:val="00291225"/>
    <w:rsid w:val="00293061"/>
    <w:rsid w:val="002A53F4"/>
    <w:rsid w:val="002A7C5D"/>
    <w:rsid w:val="002B1856"/>
    <w:rsid w:val="002B2281"/>
    <w:rsid w:val="002B77B9"/>
    <w:rsid w:val="002C0A4F"/>
    <w:rsid w:val="002C5239"/>
    <w:rsid w:val="002C725A"/>
    <w:rsid w:val="002D48EB"/>
    <w:rsid w:val="002D77D2"/>
    <w:rsid w:val="002E2C5B"/>
    <w:rsid w:val="002E7AE4"/>
    <w:rsid w:val="002F169A"/>
    <w:rsid w:val="002F74A7"/>
    <w:rsid w:val="00300139"/>
    <w:rsid w:val="0031048D"/>
    <w:rsid w:val="00312FC3"/>
    <w:rsid w:val="00314942"/>
    <w:rsid w:val="00314AB7"/>
    <w:rsid w:val="00340A60"/>
    <w:rsid w:val="00344A1A"/>
    <w:rsid w:val="00347F34"/>
    <w:rsid w:val="00357814"/>
    <w:rsid w:val="003651C9"/>
    <w:rsid w:val="0037104C"/>
    <w:rsid w:val="003710F6"/>
    <w:rsid w:val="003715B2"/>
    <w:rsid w:val="0037266C"/>
    <w:rsid w:val="00374804"/>
    <w:rsid w:val="0037619F"/>
    <w:rsid w:val="00376587"/>
    <w:rsid w:val="00385663"/>
    <w:rsid w:val="00395A23"/>
    <w:rsid w:val="003965BF"/>
    <w:rsid w:val="003C04AC"/>
    <w:rsid w:val="003C5EA0"/>
    <w:rsid w:val="003D7B87"/>
    <w:rsid w:val="003E3568"/>
    <w:rsid w:val="003E3CAE"/>
    <w:rsid w:val="003E7CA9"/>
    <w:rsid w:val="003F050B"/>
    <w:rsid w:val="003F19A3"/>
    <w:rsid w:val="003F68E5"/>
    <w:rsid w:val="00400AC1"/>
    <w:rsid w:val="00400DCA"/>
    <w:rsid w:val="00401BD2"/>
    <w:rsid w:val="00403A39"/>
    <w:rsid w:val="004063B2"/>
    <w:rsid w:val="00414724"/>
    <w:rsid w:val="00420525"/>
    <w:rsid w:val="00421A28"/>
    <w:rsid w:val="0043444C"/>
    <w:rsid w:val="0043490D"/>
    <w:rsid w:val="004402DE"/>
    <w:rsid w:val="00442563"/>
    <w:rsid w:val="0044586C"/>
    <w:rsid w:val="00446501"/>
    <w:rsid w:val="0044682D"/>
    <w:rsid w:val="00450093"/>
    <w:rsid w:val="00451EEE"/>
    <w:rsid w:val="00454ADB"/>
    <w:rsid w:val="00456E73"/>
    <w:rsid w:val="00464950"/>
    <w:rsid w:val="00465551"/>
    <w:rsid w:val="00471FD1"/>
    <w:rsid w:val="00480B0B"/>
    <w:rsid w:val="00481591"/>
    <w:rsid w:val="00483A01"/>
    <w:rsid w:val="00485D23"/>
    <w:rsid w:val="00485E70"/>
    <w:rsid w:val="00486F87"/>
    <w:rsid w:val="004A4890"/>
    <w:rsid w:val="004B256E"/>
    <w:rsid w:val="004B67F1"/>
    <w:rsid w:val="004E0A70"/>
    <w:rsid w:val="004E1008"/>
    <w:rsid w:val="004E11FC"/>
    <w:rsid w:val="004E1498"/>
    <w:rsid w:val="004E3AD9"/>
    <w:rsid w:val="004E3EC5"/>
    <w:rsid w:val="004E4AF5"/>
    <w:rsid w:val="004F1264"/>
    <w:rsid w:val="004F2A26"/>
    <w:rsid w:val="004F3664"/>
    <w:rsid w:val="004F75D7"/>
    <w:rsid w:val="004F772C"/>
    <w:rsid w:val="005011F3"/>
    <w:rsid w:val="005034F1"/>
    <w:rsid w:val="005122AE"/>
    <w:rsid w:val="0051332E"/>
    <w:rsid w:val="00513FFB"/>
    <w:rsid w:val="00516676"/>
    <w:rsid w:val="00517D05"/>
    <w:rsid w:val="005226A7"/>
    <w:rsid w:val="00525D44"/>
    <w:rsid w:val="00536541"/>
    <w:rsid w:val="00537BF3"/>
    <w:rsid w:val="00544120"/>
    <w:rsid w:val="00545354"/>
    <w:rsid w:val="00553FE7"/>
    <w:rsid w:val="00555016"/>
    <w:rsid w:val="0056144B"/>
    <w:rsid w:val="00562CF4"/>
    <w:rsid w:val="00573C15"/>
    <w:rsid w:val="0057531D"/>
    <w:rsid w:val="005768AD"/>
    <w:rsid w:val="00580A57"/>
    <w:rsid w:val="00582946"/>
    <w:rsid w:val="00583083"/>
    <w:rsid w:val="005854D7"/>
    <w:rsid w:val="00597829"/>
    <w:rsid w:val="005A3CE1"/>
    <w:rsid w:val="005A6BDD"/>
    <w:rsid w:val="005C15E1"/>
    <w:rsid w:val="005D160A"/>
    <w:rsid w:val="005D1AFF"/>
    <w:rsid w:val="005D2658"/>
    <w:rsid w:val="005D2C2D"/>
    <w:rsid w:val="005D32D3"/>
    <w:rsid w:val="005E0E66"/>
    <w:rsid w:val="005E1412"/>
    <w:rsid w:val="005E5624"/>
    <w:rsid w:val="005F3553"/>
    <w:rsid w:val="00603D1E"/>
    <w:rsid w:val="0060430D"/>
    <w:rsid w:val="00604EE2"/>
    <w:rsid w:val="00611257"/>
    <w:rsid w:val="006130B4"/>
    <w:rsid w:val="00622145"/>
    <w:rsid w:val="0063184B"/>
    <w:rsid w:val="00632240"/>
    <w:rsid w:val="006326FC"/>
    <w:rsid w:val="006329B6"/>
    <w:rsid w:val="0063304D"/>
    <w:rsid w:val="00636738"/>
    <w:rsid w:val="006368AC"/>
    <w:rsid w:val="00637F6C"/>
    <w:rsid w:val="00641DCE"/>
    <w:rsid w:val="006477E3"/>
    <w:rsid w:val="006538A8"/>
    <w:rsid w:val="0065637D"/>
    <w:rsid w:val="0066153B"/>
    <w:rsid w:val="006625FF"/>
    <w:rsid w:val="00671F44"/>
    <w:rsid w:val="00672E26"/>
    <w:rsid w:val="00673030"/>
    <w:rsid w:val="0067526F"/>
    <w:rsid w:val="00683FC7"/>
    <w:rsid w:val="00686C7E"/>
    <w:rsid w:val="00691214"/>
    <w:rsid w:val="006929A1"/>
    <w:rsid w:val="006941E2"/>
    <w:rsid w:val="00697189"/>
    <w:rsid w:val="006A2A0A"/>
    <w:rsid w:val="006A6A42"/>
    <w:rsid w:val="006A6F79"/>
    <w:rsid w:val="006B0A76"/>
    <w:rsid w:val="006C1629"/>
    <w:rsid w:val="006C38B5"/>
    <w:rsid w:val="006C5FF1"/>
    <w:rsid w:val="006C6B6A"/>
    <w:rsid w:val="006D6829"/>
    <w:rsid w:val="006D77EA"/>
    <w:rsid w:val="006E1E14"/>
    <w:rsid w:val="006E2538"/>
    <w:rsid w:val="006E3D31"/>
    <w:rsid w:val="006F1D22"/>
    <w:rsid w:val="006F1E5F"/>
    <w:rsid w:val="006F2905"/>
    <w:rsid w:val="006F2F1B"/>
    <w:rsid w:val="00700B69"/>
    <w:rsid w:val="00702FD8"/>
    <w:rsid w:val="00711282"/>
    <w:rsid w:val="00713146"/>
    <w:rsid w:val="007177CC"/>
    <w:rsid w:val="00721928"/>
    <w:rsid w:val="00721CBA"/>
    <w:rsid w:val="007305A8"/>
    <w:rsid w:val="00734102"/>
    <w:rsid w:val="00734D94"/>
    <w:rsid w:val="00737CA5"/>
    <w:rsid w:val="00743266"/>
    <w:rsid w:val="007463CD"/>
    <w:rsid w:val="00762C33"/>
    <w:rsid w:val="007644D2"/>
    <w:rsid w:val="00766DDC"/>
    <w:rsid w:val="007722FC"/>
    <w:rsid w:val="00772B11"/>
    <w:rsid w:val="00786676"/>
    <w:rsid w:val="00790D59"/>
    <w:rsid w:val="00791507"/>
    <w:rsid w:val="007936EE"/>
    <w:rsid w:val="00795ED7"/>
    <w:rsid w:val="007A4E29"/>
    <w:rsid w:val="007A5157"/>
    <w:rsid w:val="007A5925"/>
    <w:rsid w:val="007B2E97"/>
    <w:rsid w:val="007C62EB"/>
    <w:rsid w:val="007C71C9"/>
    <w:rsid w:val="007D41E5"/>
    <w:rsid w:val="007D5169"/>
    <w:rsid w:val="007D5ACF"/>
    <w:rsid w:val="007D6648"/>
    <w:rsid w:val="007D6A4B"/>
    <w:rsid w:val="007E0BDA"/>
    <w:rsid w:val="007E2874"/>
    <w:rsid w:val="007E757B"/>
    <w:rsid w:val="007F430A"/>
    <w:rsid w:val="00805184"/>
    <w:rsid w:val="0080688D"/>
    <w:rsid w:val="008079F7"/>
    <w:rsid w:val="00817FA3"/>
    <w:rsid w:val="00820989"/>
    <w:rsid w:val="00820B2E"/>
    <w:rsid w:val="00821960"/>
    <w:rsid w:val="00826963"/>
    <w:rsid w:val="00832344"/>
    <w:rsid w:val="00833728"/>
    <w:rsid w:val="0083424A"/>
    <w:rsid w:val="00845300"/>
    <w:rsid w:val="008464CC"/>
    <w:rsid w:val="0085204B"/>
    <w:rsid w:val="00862CEA"/>
    <w:rsid w:val="00864839"/>
    <w:rsid w:val="00864A8E"/>
    <w:rsid w:val="00873065"/>
    <w:rsid w:val="008742BF"/>
    <w:rsid w:val="00874865"/>
    <w:rsid w:val="00875EF0"/>
    <w:rsid w:val="00884775"/>
    <w:rsid w:val="008863FD"/>
    <w:rsid w:val="008922D6"/>
    <w:rsid w:val="008941CF"/>
    <w:rsid w:val="008A2450"/>
    <w:rsid w:val="008A3F00"/>
    <w:rsid w:val="008A7520"/>
    <w:rsid w:val="008B4398"/>
    <w:rsid w:val="008C4423"/>
    <w:rsid w:val="008D4E16"/>
    <w:rsid w:val="008E02E4"/>
    <w:rsid w:val="008E4889"/>
    <w:rsid w:val="008F13A5"/>
    <w:rsid w:val="008F196C"/>
    <w:rsid w:val="008F2CA8"/>
    <w:rsid w:val="008F51D7"/>
    <w:rsid w:val="008F69D3"/>
    <w:rsid w:val="008F724C"/>
    <w:rsid w:val="00901481"/>
    <w:rsid w:val="00912037"/>
    <w:rsid w:val="00912F6C"/>
    <w:rsid w:val="00914276"/>
    <w:rsid w:val="00915B54"/>
    <w:rsid w:val="0092141C"/>
    <w:rsid w:val="0092320E"/>
    <w:rsid w:val="00925DFE"/>
    <w:rsid w:val="00927377"/>
    <w:rsid w:val="00931390"/>
    <w:rsid w:val="009317FA"/>
    <w:rsid w:val="00932D2D"/>
    <w:rsid w:val="00934395"/>
    <w:rsid w:val="00936D8D"/>
    <w:rsid w:val="00940F7C"/>
    <w:rsid w:val="00943D8C"/>
    <w:rsid w:val="00947B62"/>
    <w:rsid w:val="0095174E"/>
    <w:rsid w:val="00957A96"/>
    <w:rsid w:val="00957DDE"/>
    <w:rsid w:val="00965A7D"/>
    <w:rsid w:val="00974155"/>
    <w:rsid w:val="0097689C"/>
    <w:rsid w:val="00981876"/>
    <w:rsid w:val="009834DF"/>
    <w:rsid w:val="009977E3"/>
    <w:rsid w:val="009A3DB7"/>
    <w:rsid w:val="009B2FEC"/>
    <w:rsid w:val="009B451A"/>
    <w:rsid w:val="009C0F13"/>
    <w:rsid w:val="009C104A"/>
    <w:rsid w:val="009C4F8B"/>
    <w:rsid w:val="009E08F3"/>
    <w:rsid w:val="009E42F2"/>
    <w:rsid w:val="009E722A"/>
    <w:rsid w:val="009F57F4"/>
    <w:rsid w:val="00A02563"/>
    <w:rsid w:val="00A02B92"/>
    <w:rsid w:val="00A1045C"/>
    <w:rsid w:val="00A1608A"/>
    <w:rsid w:val="00A22B5E"/>
    <w:rsid w:val="00A237AD"/>
    <w:rsid w:val="00A24EAF"/>
    <w:rsid w:val="00A256C7"/>
    <w:rsid w:val="00A27D30"/>
    <w:rsid w:val="00A300BF"/>
    <w:rsid w:val="00A30FAD"/>
    <w:rsid w:val="00A36FBA"/>
    <w:rsid w:val="00A41112"/>
    <w:rsid w:val="00A44E5D"/>
    <w:rsid w:val="00A51909"/>
    <w:rsid w:val="00A53D68"/>
    <w:rsid w:val="00A5544D"/>
    <w:rsid w:val="00A6571E"/>
    <w:rsid w:val="00A65DB9"/>
    <w:rsid w:val="00A72204"/>
    <w:rsid w:val="00A73EE8"/>
    <w:rsid w:val="00A86708"/>
    <w:rsid w:val="00A9760A"/>
    <w:rsid w:val="00AA2012"/>
    <w:rsid w:val="00AA7DAB"/>
    <w:rsid w:val="00AB4344"/>
    <w:rsid w:val="00AC00BD"/>
    <w:rsid w:val="00AC1F3D"/>
    <w:rsid w:val="00AC26CC"/>
    <w:rsid w:val="00AC3BA5"/>
    <w:rsid w:val="00AC4247"/>
    <w:rsid w:val="00AC487A"/>
    <w:rsid w:val="00AD089D"/>
    <w:rsid w:val="00AD2FBE"/>
    <w:rsid w:val="00AD7177"/>
    <w:rsid w:val="00AE32C0"/>
    <w:rsid w:val="00AF5D8A"/>
    <w:rsid w:val="00AF73DB"/>
    <w:rsid w:val="00B00601"/>
    <w:rsid w:val="00B02681"/>
    <w:rsid w:val="00B02BC5"/>
    <w:rsid w:val="00B04BB4"/>
    <w:rsid w:val="00B1306B"/>
    <w:rsid w:val="00B1464C"/>
    <w:rsid w:val="00B1775C"/>
    <w:rsid w:val="00B21C38"/>
    <w:rsid w:val="00B24BC1"/>
    <w:rsid w:val="00B2635D"/>
    <w:rsid w:val="00B26AC5"/>
    <w:rsid w:val="00B2779D"/>
    <w:rsid w:val="00B3094A"/>
    <w:rsid w:val="00B34663"/>
    <w:rsid w:val="00B362B5"/>
    <w:rsid w:val="00B451C0"/>
    <w:rsid w:val="00B4542B"/>
    <w:rsid w:val="00B46B8A"/>
    <w:rsid w:val="00B57A47"/>
    <w:rsid w:val="00B60D6F"/>
    <w:rsid w:val="00B60FA5"/>
    <w:rsid w:val="00B6180C"/>
    <w:rsid w:val="00B61E1D"/>
    <w:rsid w:val="00B6602D"/>
    <w:rsid w:val="00B759D6"/>
    <w:rsid w:val="00B8167E"/>
    <w:rsid w:val="00B842EC"/>
    <w:rsid w:val="00B87319"/>
    <w:rsid w:val="00B957B3"/>
    <w:rsid w:val="00BA093E"/>
    <w:rsid w:val="00BA0B0C"/>
    <w:rsid w:val="00BA4904"/>
    <w:rsid w:val="00BB0274"/>
    <w:rsid w:val="00BB6875"/>
    <w:rsid w:val="00BC24DC"/>
    <w:rsid w:val="00BD1709"/>
    <w:rsid w:val="00BD1769"/>
    <w:rsid w:val="00BE0874"/>
    <w:rsid w:val="00BE7543"/>
    <w:rsid w:val="00BF69F9"/>
    <w:rsid w:val="00BF6DE9"/>
    <w:rsid w:val="00C10C43"/>
    <w:rsid w:val="00C20773"/>
    <w:rsid w:val="00C231BC"/>
    <w:rsid w:val="00C27B16"/>
    <w:rsid w:val="00C31BAB"/>
    <w:rsid w:val="00C321DB"/>
    <w:rsid w:val="00C322C1"/>
    <w:rsid w:val="00C35B3D"/>
    <w:rsid w:val="00C42454"/>
    <w:rsid w:val="00C42672"/>
    <w:rsid w:val="00C46278"/>
    <w:rsid w:val="00C47ED8"/>
    <w:rsid w:val="00C51A8F"/>
    <w:rsid w:val="00C521A6"/>
    <w:rsid w:val="00C52B11"/>
    <w:rsid w:val="00C57D22"/>
    <w:rsid w:val="00C6159C"/>
    <w:rsid w:val="00C61C51"/>
    <w:rsid w:val="00C66F9E"/>
    <w:rsid w:val="00C75F28"/>
    <w:rsid w:val="00C8501A"/>
    <w:rsid w:val="00C86448"/>
    <w:rsid w:val="00C93137"/>
    <w:rsid w:val="00C9372A"/>
    <w:rsid w:val="00C96614"/>
    <w:rsid w:val="00C97592"/>
    <w:rsid w:val="00CA7DFC"/>
    <w:rsid w:val="00CC0D95"/>
    <w:rsid w:val="00CC2AB2"/>
    <w:rsid w:val="00CC4361"/>
    <w:rsid w:val="00CD175D"/>
    <w:rsid w:val="00CE2013"/>
    <w:rsid w:val="00CE2B36"/>
    <w:rsid w:val="00CE4DBD"/>
    <w:rsid w:val="00CE69DD"/>
    <w:rsid w:val="00CF438B"/>
    <w:rsid w:val="00D00045"/>
    <w:rsid w:val="00D003E7"/>
    <w:rsid w:val="00D0095B"/>
    <w:rsid w:val="00D04B26"/>
    <w:rsid w:val="00D230CF"/>
    <w:rsid w:val="00D235D5"/>
    <w:rsid w:val="00D24DC1"/>
    <w:rsid w:val="00D275CD"/>
    <w:rsid w:val="00D27632"/>
    <w:rsid w:val="00D27A38"/>
    <w:rsid w:val="00D3184D"/>
    <w:rsid w:val="00D32950"/>
    <w:rsid w:val="00D33F08"/>
    <w:rsid w:val="00D51E2A"/>
    <w:rsid w:val="00D54E00"/>
    <w:rsid w:val="00D60CE9"/>
    <w:rsid w:val="00D75969"/>
    <w:rsid w:val="00D77315"/>
    <w:rsid w:val="00D87CFF"/>
    <w:rsid w:val="00D954E3"/>
    <w:rsid w:val="00DA2BAA"/>
    <w:rsid w:val="00DA4091"/>
    <w:rsid w:val="00DA4E98"/>
    <w:rsid w:val="00DA5A05"/>
    <w:rsid w:val="00DC1AD1"/>
    <w:rsid w:val="00DC29EB"/>
    <w:rsid w:val="00DC3005"/>
    <w:rsid w:val="00DD03F4"/>
    <w:rsid w:val="00DD30FE"/>
    <w:rsid w:val="00DE4A88"/>
    <w:rsid w:val="00DE529A"/>
    <w:rsid w:val="00DF6BEF"/>
    <w:rsid w:val="00E0069C"/>
    <w:rsid w:val="00E00B97"/>
    <w:rsid w:val="00E0483E"/>
    <w:rsid w:val="00E06CED"/>
    <w:rsid w:val="00E20D93"/>
    <w:rsid w:val="00E219E3"/>
    <w:rsid w:val="00E244CD"/>
    <w:rsid w:val="00E269E7"/>
    <w:rsid w:val="00E278AB"/>
    <w:rsid w:val="00E37492"/>
    <w:rsid w:val="00E37935"/>
    <w:rsid w:val="00E41F89"/>
    <w:rsid w:val="00E45170"/>
    <w:rsid w:val="00E45193"/>
    <w:rsid w:val="00E47618"/>
    <w:rsid w:val="00E479B0"/>
    <w:rsid w:val="00E51F0B"/>
    <w:rsid w:val="00E62984"/>
    <w:rsid w:val="00E62A25"/>
    <w:rsid w:val="00E721FF"/>
    <w:rsid w:val="00E73880"/>
    <w:rsid w:val="00E7614A"/>
    <w:rsid w:val="00E80972"/>
    <w:rsid w:val="00E82F4B"/>
    <w:rsid w:val="00E85F88"/>
    <w:rsid w:val="00E86AFD"/>
    <w:rsid w:val="00E874F6"/>
    <w:rsid w:val="00E87C75"/>
    <w:rsid w:val="00E9628C"/>
    <w:rsid w:val="00EA27E3"/>
    <w:rsid w:val="00EA3A2E"/>
    <w:rsid w:val="00EB0D59"/>
    <w:rsid w:val="00EB48A5"/>
    <w:rsid w:val="00EC0910"/>
    <w:rsid w:val="00EC0E8F"/>
    <w:rsid w:val="00EC483F"/>
    <w:rsid w:val="00ED2BD7"/>
    <w:rsid w:val="00EE1539"/>
    <w:rsid w:val="00EF0591"/>
    <w:rsid w:val="00EF3F4A"/>
    <w:rsid w:val="00EF7E2D"/>
    <w:rsid w:val="00F01EE8"/>
    <w:rsid w:val="00F04844"/>
    <w:rsid w:val="00F062B6"/>
    <w:rsid w:val="00F14758"/>
    <w:rsid w:val="00F168DA"/>
    <w:rsid w:val="00F16E51"/>
    <w:rsid w:val="00F247E7"/>
    <w:rsid w:val="00F344BE"/>
    <w:rsid w:val="00F53A90"/>
    <w:rsid w:val="00F6321E"/>
    <w:rsid w:val="00F640D0"/>
    <w:rsid w:val="00F74783"/>
    <w:rsid w:val="00F761F8"/>
    <w:rsid w:val="00F76DF7"/>
    <w:rsid w:val="00F82A77"/>
    <w:rsid w:val="00F86C61"/>
    <w:rsid w:val="00FA180F"/>
    <w:rsid w:val="00FA1BEF"/>
    <w:rsid w:val="00FA7AFF"/>
    <w:rsid w:val="00FB1E9A"/>
    <w:rsid w:val="00FB5422"/>
    <w:rsid w:val="00FB58A6"/>
    <w:rsid w:val="00FC118F"/>
    <w:rsid w:val="00FC2DA5"/>
    <w:rsid w:val="00FD314A"/>
    <w:rsid w:val="00FD3CC6"/>
    <w:rsid w:val="00FD76E3"/>
    <w:rsid w:val="00FE2F48"/>
    <w:rsid w:val="00FE3D6F"/>
    <w:rsid w:val="00FE6275"/>
    <w:rsid w:val="00FF46FF"/>
    <w:rsid w:val="00FF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B7"/>
    <w:pPr>
      <w:widowControl w:val="0"/>
      <w:ind w:firstLine="600"/>
    </w:pPr>
    <w:rPr>
      <w:rFonts w:ascii="仿宋_GB2312" w:eastAsia="仿宋_GB2312"/>
      <w:sz w:val="30"/>
    </w:rPr>
  </w:style>
  <w:style w:type="paragraph" w:styleId="1">
    <w:name w:val="heading 1"/>
    <w:basedOn w:val="a"/>
    <w:next w:val="a"/>
    <w:link w:val="1Char"/>
    <w:uiPriority w:val="9"/>
    <w:qFormat/>
    <w:rsid w:val="00314AB7"/>
    <w:pPr>
      <w:ind w:firstLine="602"/>
      <w:outlineLvl w:val="0"/>
    </w:pPr>
    <w:rPr>
      <w:rFonts w:asciiTheme="minorHAnsi"/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14AB7"/>
    <w:pPr>
      <w:ind w:firstLine="602"/>
      <w:outlineLvl w:val="1"/>
    </w:pPr>
    <w:rPr>
      <w:rFonts w:asciiTheme="majorHAnsi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14AB7"/>
    <w:pPr>
      <w:ind w:firstLine="602"/>
      <w:outlineLvl w:val="2"/>
    </w:pPr>
    <w:rPr>
      <w:rFonts w:asciiTheme="minorHAnsi"/>
      <w:b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14AB7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14AB7"/>
    <w:pPr>
      <w:keepNext/>
      <w:keepLines/>
      <w:spacing w:before="280" w:after="290" w:line="376" w:lineRule="atLeast"/>
      <w:outlineLvl w:val="4"/>
    </w:pPr>
    <w:rPr>
      <w:rFonts w:asciiTheme="minorHAnsi" w:eastAsiaTheme="minorEastAsia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14AB7"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14AB7"/>
    <w:pPr>
      <w:keepNext/>
      <w:keepLines/>
      <w:spacing w:before="240" w:after="64" w:line="320" w:lineRule="atLeast"/>
      <w:outlineLvl w:val="6"/>
    </w:pPr>
    <w:rPr>
      <w:rFonts w:asciiTheme="minorHAnsi" w:eastAsiaTheme="minorEastAsia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14AB7"/>
    <w:pPr>
      <w:keepNext/>
      <w:keepLines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14AB7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72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722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47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47F3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47F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47F3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14AB7"/>
    <w:rPr>
      <w:rFonts w:eastAsia="仿宋_GB2312"/>
      <w:b/>
      <w:bCs/>
      <w:kern w:val="44"/>
      <w:sz w:val="30"/>
      <w:szCs w:val="44"/>
    </w:rPr>
  </w:style>
  <w:style w:type="paragraph" w:styleId="a6">
    <w:name w:val="List Paragraph"/>
    <w:basedOn w:val="a"/>
    <w:uiPriority w:val="34"/>
    <w:qFormat/>
    <w:rsid w:val="00314AB7"/>
    <w:pPr>
      <w:ind w:firstLine="420"/>
    </w:pPr>
  </w:style>
  <w:style w:type="paragraph" w:styleId="a7">
    <w:name w:val="Normal (Web)"/>
    <w:basedOn w:val="a"/>
    <w:uiPriority w:val="99"/>
    <w:unhideWhenUsed/>
    <w:rsid w:val="00E20D93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E20D93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styleId="a8">
    <w:name w:val="Body Text Indent"/>
    <w:basedOn w:val="a"/>
    <w:link w:val="Char2"/>
    <w:rsid w:val="00E20D93"/>
    <w:pPr>
      <w:spacing w:line="600" w:lineRule="atLeast"/>
      <w:ind w:left="882" w:hangingChars="315" w:hanging="882"/>
    </w:pPr>
    <w:rPr>
      <w:rFonts w:ascii="Times New Roman" w:hAnsi="Times New Roman"/>
      <w:sz w:val="28"/>
      <w:szCs w:val="24"/>
    </w:rPr>
  </w:style>
  <w:style w:type="character" w:customStyle="1" w:styleId="Char2">
    <w:name w:val="正文文本缩进 Char"/>
    <w:basedOn w:val="a0"/>
    <w:link w:val="a8"/>
    <w:rsid w:val="00E20D93"/>
    <w:rPr>
      <w:rFonts w:ascii="Times New Roman" w:eastAsia="宋体" w:hAnsi="Times New Roman" w:cs="Times New Roman"/>
      <w:sz w:val="28"/>
      <w:szCs w:val="24"/>
    </w:rPr>
  </w:style>
  <w:style w:type="character" w:customStyle="1" w:styleId="msonormal0">
    <w:name w:val="msonormal"/>
    <w:basedOn w:val="a0"/>
    <w:rsid w:val="00E20D93"/>
  </w:style>
  <w:style w:type="paragraph" w:styleId="a9">
    <w:name w:val="Date"/>
    <w:basedOn w:val="a"/>
    <w:next w:val="a"/>
    <w:link w:val="Char3"/>
    <w:uiPriority w:val="99"/>
    <w:semiHidden/>
    <w:unhideWhenUsed/>
    <w:rsid w:val="004E3EC5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4E3EC5"/>
    <w:rPr>
      <w:kern w:val="2"/>
      <w:sz w:val="21"/>
      <w:szCs w:val="22"/>
    </w:rPr>
  </w:style>
  <w:style w:type="paragraph" w:styleId="aa">
    <w:name w:val="Title"/>
    <w:basedOn w:val="a"/>
    <w:next w:val="a"/>
    <w:link w:val="Char4"/>
    <w:uiPriority w:val="10"/>
    <w:qFormat/>
    <w:rsid w:val="00314AB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a"/>
    <w:uiPriority w:val="10"/>
    <w:rsid w:val="00314AB7"/>
    <w:rPr>
      <w:rFonts w:asciiTheme="majorHAnsi" w:eastAsia="宋体" w:hAnsiTheme="majorHAnsi" w:cstheme="majorBidi"/>
      <w:b/>
      <w:bCs/>
      <w:sz w:val="32"/>
      <w:szCs w:val="32"/>
    </w:rPr>
  </w:style>
  <w:style w:type="paragraph" w:styleId="ab">
    <w:name w:val="Document Map"/>
    <w:basedOn w:val="a"/>
    <w:link w:val="Char5"/>
    <w:uiPriority w:val="99"/>
    <w:semiHidden/>
    <w:unhideWhenUsed/>
    <w:rsid w:val="004F1264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b"/>
    <w:uiPriority w:val="99"/>
    <w:semiHidden/>
    <w:rsid w:val="004F1264"/>
    <w:rPr>
      <w:rFonts w:ascii="宋体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14AB7"/>
    <w:rPr>
      <w:rFonts w:asciiTheme="majorHAnsi" w:eastAsia="仿宋_GB2312" w:hAnsiTheme="majorHAnsi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rsid w:val="00314AB7"/>
    <w:rPr>
      <w:rFonts w:eastAsia="仿宋_GB2312"/>
      <w:b/>
      <w:bCs/>
      <w:sz w:val="30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14AB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14AB7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314AB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314AB7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314AB7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314AB7"/>
    <w:rPr>
      <w:rFonts w:asciiTheme="majorHAnsi" w:eastAsiaTheme="majorEastAsia" w:hAnsiTheme="majorHAnsi" w:cstheme="majorBidi"/>
      <w:szCs w:val="21"/>
    </w:rPr>
  </w:style>
  <w:style w:type="paragraph" w:styleId="ac">
    <w:name w:val="Subtitle"/>
    <w:basedOn w:val="a"/>
    <w:next w:val="a"/>
    <w:link w:val="Char6"/>
    <w:uiPriority w:val="11"/>
    <w:qFormat/>
    <w:rsid w:val="00314AB7"/>
    <w:pPr>
      <w:spacing w:before="240" w:after="60" w:line="312" w:lineRule="atLeast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6">
    <w:name w:val="副标题 Char"/>
    <w:basedOn w:val="a0"/>
    <w:link w:val="ac"/>
    <w:uiPriority w:val="11"/>
    <w:rsid w:val="00314AB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d">
    <w:name w:val="Strong"/>
    <w:basedOn w:val="a0"/>
    <w:uiPriority w:val="22"/>
    <w:qFormat/>
    <w:rsid w:val="00314AB7"/>
    <w:rPr>
      <w:b/>
      <w:bCs/>
    </w:rPr>
  </w:style>
  <w:style w:type="character" w:styleId="ae">
    <w:name w:val="Emphasis"/>
    <w:basedOn w:val="a0"/>
    <w:uiPriority w:val="20"/>
    <w:qFormat/>
    <w:rsid w:val="00314AB7"/>
    <w:rPr>
      <w:i/>
      <w:iCs/>
    </w:rPr>
  </w:style>
  <w:style w:type="paragraph" w:styleId="af">
    <w:name w:val="No Spacing"/>
    <w:basedOn w:val="a"/>
    <w:uiPriority w:val="1"/>
    <w:qFormat/>
    <w:rsid w:val="00314AB7"/>
    <w:pPr>
      <w:spacing w:line="240" w:lineRule="auto"/>
    </w:pPr>
  </w:style>
  <w:style w:type="paragraph" w:styleId="af0">
    <w:name w:val="Quote"/>
    <w:basedOn w:val="a"/>
    <w:next w:val="a"/>
    <w:link w:val="Char7"/>
    <w:uiPriority w:val="29"/>
    <w:qFormat/>
    <w:rsid w:val="00314AB7"/>
    <w:rPr>
      <w:rFonts w:asciiTheme="minorHAnsi" w:eastAsiaTheme="minorEastAsia"/>
      <w:i/>
      <w:iCs/>
      <w:color w:val="000000" w:themeColor="text1"/>
      <w:sz w:val="21"/>
    </w:rPr>
  </w:style>
  <w:style w:type="character" w:customStyle="1" w:styleId="Char7">
    <w:name w:val="引用 Char"/>
    <w:basedOn w:val="a0"/>
    <w:link w:val="af0"/>
    <w:uiPriority w:val="29"/>
    <w:rsid w:val="00314AB7"/>
    <w:rPr>
      <w:i/>
      <w:iCs/>
      <w:color w:val="000000" w:themeColor="text1"/>
    </w:rPr>
  </w:style>
  <w:style w:type="paragraph" w:styleId="af1">
    <w:name w:val="Intense Quote"/>
    <w:basedOn w:val="a"/>
    <w:next w:val="a"/>
    <w:link w:val="Char8"/>
    <w:uiPriority w:val="30"/>
    <w:qFormat/>
    <w:rsid w:val="00314A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  <w:sz w:val="21"/>
    </w:rPr>
  </w:style>
  <w:style w:type="character" w:customStyle="1" w:styleId="Char8">
    <w:name w:val="明显引用 Char"/>
    <w:basedOn w:val="a0"/>
    <w:link w:val="af1"/>
    <w:uiPriority w:val="30"/>
    <w:rsid w:val="00314AB7"/>
    <w:rPr>
      <w:b/>
      <w:bCs/>
      <w:i/>
      <w:iCs/>
      <w:color w:val="4F81BD" w:themeColor="accent1"/>
    </w:rPr>
  </w:style>
  <w:style w:type="character" w:styleId="af2">
    <w:name w:val="Subtle Emphasis"/>
    <w:uiPriority w:val="19"/>
    <w:qFormat/>
    <w:rsid w:val="00314AB7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314AB7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314AB7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314AB7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314AB7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314AB7"/>
    <w:pPr>
      <w:outlineLvl w:val="9"/>
    </w:pPr>
    <w:rPr>
      <w:rFonts w:ascii="仿宋_GB2312"/>
    </w:rPr>
  </w:style>
  <w:style w:type="paragraph" w:styleId="af7">
    <w:name w:val="footnote text"/>
    <w:basedOn w:val="a"/>
    <w:link w:val="Char9"/>
    <w:uiPriority w:val="99"/>
    <w:semiHidden/>
    <w:unhideWhenUsed/>
    <w:rsid w:val="009C0F13"/>
    <w:pPr>
      <w:snapToGrid w:val="0"/>
    </w:pPr>
    <w:rPr>
      <w:sz w:val="18"/>
      <w:szCs w:val="18"/>
    </w:rPr>
  </w:style>
  <w:style w:type="character" w:customStyle="1" w:styleId="Char9">
    <w:name w:val="脚注文本 Char"/>
    <w:basedOn w:val="a0"/>
    <w:link w:val="af7"/>
    <w:uiPriority w:val="99"/>
    <w:semiHidden/>
    <w:qFormat/>
    <w:rsid w:val="009C0F13"/>
    <w:rPr>
      <w:rFonts w:ascii="仿宋_GB2312" w:eastAsia="仿宋_GB2312"/>
      <w:sz w:val="18"/>
      <w:szCs w:val="18"/>
    </w:rPr>
  </w:style>
  <w:style w:type="character" w:styleId="af8">
    <w:name w:val="footnote reference"/>
    <w:basedOn w:val="a0"/>
    <w:uiPriority w:val="99"/>
    <w:semiHidden/>
    <w:unhideWhenUsed/>
    <w:rsid w:val="009C0F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7A34B-CC24-4FA9-BA16-122ABEEC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374</Words>
  <Characters>2134</Characters>
  <Application>Microsoft Office Word</Application>
  <DocSecurity>0</DocSecurity>
  <Lines>17</Lines>
  <Paragraphs>5</Paragraphs>
  <ScaleCrop>false</ScaleCrop>
  <Company>Microsoft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胡世聪</cp:lastModifiedBy>
  <cp:revision>16</cp:revision>
  <cp:lastPrinted>2021-01-15T06:58:00Z</cp:lastPrinted>
  <dcterms:created xsi:type="dcterms:W3CDTF">2021-01-08T01:59:00Z</dcterms:created>
  <dcterms:modified xsi:type="dcterms:W3CDTF">2021-01-15T09:23:00Z</dcterms:modified>
</cp:coreProperties>
</file>