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401" w:rsidRDefault="00EB0401" w:rsidP="00EB0401">
      <w:pPr>
        <w:spacing w:line="560" w:lineRule="exact"/>
        <w:ind w:right="147"/>
        <w:rPr>
          <w:rFonts w:ascii="宋体" w:eastAsia="宋体" w:hAnsi="宋体" w:cs="Calibri"/>
          <w:b/>
          <w:kern w:val="0"/>
          <w:sz w:val="36"/>
          <w:szCs w:val="36"/>
        </w:rPr>
      </w:pPr>
      <w:r w:rsidRPr="00C11345">
        <w:rPr>
          <w:rFonts w:ascii="仿宋_GB2312" w:eastAsia="仿宋_GB2312" w:hAnsi="Times New Roman" w:hint="eastAsia"/>
          <w:sz w:val="30"/>
          <w:szCs w:val="30"/>
        </w:rPr>
        <w:t>附件</w:t>
      </w:r>
      <w:r>
        <w:rPr>
          <w:rFonts w:ascii="仿宋_GB2312" w:eastAsia="仿宋_GB2312" w:hAnsi="Times New Roman" w:hint="eastAsia"/>
          <w:sz w:val="30"/>
          <w:szCs w:val="30"/>
        </w:rPr>
        <w:t>2</w:t>
      </w:r>
      <w:r w:rsidRPr="00C11345">
        <w:rPr>
          <w:rFonts w:ascii="仿宋_GB2312" w:eastAsia="仿宋_GB2312" w:hAnsi="Times New Roman" w:hint="eastAsia"/>
          <w:sz w:val="30"/>
          <w:szCs w:val="30"/>
        </w:rPr>
        <w:t>：</w:t>
      </w:r>
    </w:p>
    <w:p w:rsidR="00EB0401" w:rsidRDefault="00EB0401" w:rsidP="00EB0401">
      <w:pPr>
        <w:adjustRightInd w:val="0"/>
        <w:snapToGrid w:val="0"/>
        <w:spacing w:line="560" w:lineRule="exact"/>
        <w:ind w:right="147" w:firstLine="601"/>
        <w:jc w:val="center"/>
        <w:rPr>
          <w:rFonts w:ascii="宋体" w:eastAsia="宋体" w:hAnsi="宋体" w:cs="Calibri"/>
          <w:b/>
          <w:kern w:val="0"/>
          <w:sz w:val="36"/>
          <w:szCs w:val="36"/>
        </w:rPr>
      </w:pPr>
      <w:r w:rsidRPr="004B3BD5">
        <w:rPr>
          <w:rFonts w:ascii="宋体" w:eastAsia="宋体" w:hAnsi="宋体" w:cs="Calibri" w:hint="eastAsia"/>
          <w:b/>
          <w:kern w:val="0"/>
          <w:sz w:val="36"/>
          <w:szCs w:val="36"/>
        </w:rPr>
        <w:t>非金融企业中期票据业务指引</w:t>
      </w:r>
    </w:p>
    <w:p w:rsidR="00EB0401" w:rsidRPr="003F243A" w:rsidRDefault="00EB0401" w:rsidP="00EB0401">
      <w:pPr>
        <w:adjustRightInd w:val="0"/>
        <w:snapToGrid w:val="0"/>
        <w:spacing w:line="560" w:lineRule="exact"/>
        <w:ind w:right="147"/>
        <w:jc w:val="center"/>
        <w:rPr>
          <w:rFonts w:ascii="仿宋_GB2312" w:eastAsia="仿宋_GB2312" w:hAnsi="宋体"/>
          <w:sz w:val="24"/>
          <w:szCs w:val="24"/>
        </w:rPr>
      </w:pPr>
      <w:r w:rsidRPr="003F243A">
        <w:rPr>
          <w:rFonts w:ascii="仿宋_GB2312" w:eastAsia="仿宋_GB2312" w:hAnsi="宋体" w:hint="eastAsia"/>
          <w:sz w:val="24"/>
          <w:szCs w:val="24"/>
        </w:rPr>
        <w:t>（2008年4月15日第一届常务理事会第二次会议审议通过，</w:t>
      </w:r>
      <w:r w:rsidRPr="001374B4">
        <w:rPr>
          <w:rFonts w:ascii="仿宋_GB2312" w:eastAsia="仿宋_GB2312" w:hAnsi="宋体"/>
          <w:sz w:val="24"/>
          <w:szCs w:val="24"/>
        </w:rPr>
        <w:t>2020</w:t>
      </w:r>
      <w:r w:rsidRPr="001374B4">
        <w:rPr>
          <w:rFonts w:ascii="仿宋_GB2312" w:eastAsia="仿宋_GB2312" w:hAnsi="宋体" w:hint="eastAsia"/>
          <w:sz w:val="24"/>
          <w:szCs w:val="24"/>
        </w:rPr>
        <w:t>年</w:t>
      </w:r>
      <w:r w:rsidRPr="001374B4">
        <w:rPr>
          <w:rFonts w:ascii="仿宋_GB2312" w:eastAsia="仿宋_GB2312" w:hAnsi="宋体"/>
          <w:sz w:val="24"/>
          <w:szCs w:val="24"/>
        </w:rPr>
        <w:t>4</w:t>
      </w:r>
      <w:r w:rsidRPr="001374B4">
        <w:rPr>
          <w:rFonts w:ascii="仿宋_GB2312" w:eastAsia="仿宋_GB2312" w:hAnsi="宋体" w:hint="eastAsia"/>
          <w:sz w:val="24"/>
          <w:szCs w:val="24"/>
        </w:rPr>
        <w:t>月</w:t>
      </w:r>
      <w:r w:rsidRPr="001374B4">
        <w:rPr>
          <w:rFonts w:ascii="仿宋_GB2312" w:eastAsia="仿宋_GB2312" w:hAnsi="宋体"/>
          <w:sz w:val="24"/>
          <w:szCs w:val="24"/>
        </w:rPr>
        <w:t>30</w:t>
      </w:r>
      <w:r w:rsidRPr="001374B4">
        <w:rPr>
          <w:rFonts w:ascii="仿宋_GB2312" w:eastAsia="仿宋_GB2312" w:hAnsi="宋体" w:hint="eastAsia"/>
          <w:sz w:val="24"/>
          <w:szCs w:val="24"/>
        </w:rPr>
        <w:t>日第五届常务理事会第十五次会议修订</w:t>
      </w:r>
      <w:r>
        <w:rPr>
          <w:rFonts w:ascii="仿宋_GB2312" w:eastAsia="仿宋_GB2312" w:hAnsi="宋体" w:hint="eastAsia"/>
          <w:sz w:val="24"/>
          <w:szCs w:val="24"/>
        </w:rPr>
        <w:t>，</w:t>
      </w:r>
      <w:r w:rsidRPr="003F243A">
        <w:rPr>
          <w:rFonts w:ascii="仿宋_GB2312" w:eastAsia="仿宋_GB2312" w:hAnsi="宋体" w:hint="eastAsia"/>
          <w:sz w:val="24"/>
          <w:szCs w:val="24"/>
        </w:rPr>
        <w:t>2021年2月9日第三届理事会第十三次会议修订）</w:t>
      </w:r>
    </w:p>
    <w:p w:rsidR="00EB0401" w:rsidRPr="003F243A" w:rsidRDefault="00EB0401" w:rsidP="00EB0401">
      <w:pPr>
        <w:adjustRightInd w:val="0"/>
        <w:snapToGrid w:val="0"/>
        <w:spacing w:line="560" w:lineRule="exact"/>
        <w:ind w:right="147" w:firstLine="601"/>
        <w:jc w:val="center"/>
        <w:rPr>
          <w:rFonts w:ascii="仿宋_GB2312" w:eastAsia="仿宋_GB2312" w:hAnsi="宋体"/>
          <w:b/>
          <w:sz w:val="24"/>
          <w:szCs w:val="24"/>
        </w:rPr>
      </w:pP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t>第一条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为规范非金融企业在银行间债券市场发行中期票据的行为，根据中国人民银行《银行间债券市场非金融企业债务融资工具管理办法》（中国人民银行令〔2008〕第1号）及中国银行间市场交易商协会（以下简称交易商协会）相关自律规则，制定本指引。</w:t>
      </w: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t>第二条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本指引所称中期票据，是指具有法人资格的非金融企业（以下简称企业）在银行间债券市场发行的，约定在一定期限还本付息的债务融资工具。</w:t>
      </w: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t>第三条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企业发行中期票据应依据《非金融企业债务融资工具注册发行规则》在交易商协会注册。</w:t>
      </w: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t>第四条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企业发行中期票据所募集的资金应用于符合国家法律法规及政策要求的企业生产经营活动，并在发行文件中明确披露</w:t>
      </w:r>
      <w:proofErr w:type="gramStart"/>
      <w:r w:rsidRPr="00E70529">
        <w:rPr>
          <w:rFonts w:ascii="仿宋_GB2312" w:eastAsia="仿宋_GB2312" w:hAnsi="宋体" w:hint="eastAsia"/>
          <w:kern w:val="0"/>
          <w:sz w:val="30"/>
          <w:szCs w:val="30"/>
        </w:rPr>
        <w:t>具体资金</w:t>
      </w:r>
      <w:proofErr w:type="gramEnd"/>
      <w:r w:rsidRPr="00E70529">
        <w:rPr>
          <w:rFonts w:ascii="仿宋_GB2312" w:eastAsia="仿宋_GB2312" w:hAnsi="宋体" w:hint="eastAsia"/>
          <w:kern w:val="0"/>
          <w:sz w:val="30"/>
          <w:szCs w:val="30"/>
        </w:rPr>
        <w:t>用途。企业在中期票据存续期内变更募集资金用途应提前披露。</w:t>
      </w: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t>第五条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企业发行中期票据应按交易商协会《银行间债券市场非金融企业债务融资工具信息披露规则》在银行间债券市场披露信息。</w:t>
      </w: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t>第六条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企业发行中期票据应由符合条件的承销机构承销。</w:t>
      </w:r>
    </w:p>
    <w:p w:rsidR="00EB0401" w:rsidRPr="00E70529" w:rsidRDefault="00EB0401" w:rsidP="00EB0401">
      <w:pPr>
        <w:widowControl/>
        <w:adjustRightInd w:val="0"/>
        <w:snapToGrid w:val="0"/>
        <w:spacing w:line="560" w:lineRule="exact"/>
        <w:ind w:firstLine="601"/>
        <w:rPr>
          <w:rFonts w:ascii="仿宋_GB2312" w:eastAsia="仿宋_GB2312" w:hAnsi="宋体"/>
          <w:kern w:val="0"/>
          <w:sz w:val="30"/>
          <w:szCs w:val="30"/>
        </w:rPr>
      </w:pPr>
      <w:r w:rsidRPr="005F7F39">
        <w:rPr>
          <w:rFonts w:ascii="仿宋_GB2312" w:eastAsia="仿宋_GB2312" w:hAnsi="宋体" w:hint="eastAsia"/>
          <w:b/>
          <w:kern w:val="0"/>
          <w:sz w:val="30"/>
          <w:szCs w:val="30"/>
        </w:rPr>
        <w:lastRenderedPageBreak/>
        <w:t>第七条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本指引由交易商协会秘书处负责解释。</w:t>
      </w:r>
    </w:p>
    <w:p w:rsidR="00000000" w:rsidRDefault="00EB0401" w:rsidP="00EB0401">
      <w:pPr>
        <w:ind w:firstLineChars="198" w:firstLine="596"/>
      </w:pPr>
      <w:r w:rsidRPr="005F7F39">
        <w:rPr>
          <w:rFonts w:ascii="仿宋_GB2312" w:eastAsia="仿宋_GB2312" w:hAnsi="宋体" w:hint="eastAsia"/>
          <w:b/>
          <w:kern w:val="0"/>
          <w:sz w:val="30"/>
          <w:szCs w:val="30"/>
        </w:rPr>
        <w:t>第八条</w:t>
      </w:r>
      <w:r w:rsidRPr="00E70529">
        <w:rPr>
          <w:rFonts w:ascii="仿宋_GB2312" w:eastAsia="仿宋_GB2312" w:hAnsi="宋体"/>
          <w:kern w:val="0"/>
          <w:sz w:val="30"/>
          <w:szCs w:val="30"/>
        </w:rPr>
        <w:t> </w:t>
      </w:r>
      <w:r w:rsidRPr="00E70529">
        <w:rPr>
          <w:rFonts w:ascii="仿宋_GB2312" w:eastAsia="仿宋_GB2312" w:hAnsi="宋体" w:hint="eastAsia"/>
          <w:kern w:val="0"/>
          <w:sz w:val="30"/>
          <w:szCs w:val="30"/>
        </w:rPr>
        <w:t>本指引自公布之日起施行。</w:t>
      </w:r>
    </w:p>
    <w:sectPr w:rsidR="000000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401" w:rsidRDefault="00EB0401" w:rsidP="00EB0401">
      <w:r>
        <w:separator/>
      </w:r>
    </w:p>
  </w:endnote>
  <w:endnote w:type="continuationSeparator" w:id="1">
    <w:p w:rsidR="00EB0401" w:rsidRDefault="00EB0401" w:rsidP="00EB04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401" w:rsidRDefault="00EB0401" w:rsidP="00EB0401">
      <w:r>
        <w:separator/>
      </w:r>
    </w:p>
  </w:footnote>
  <w:footnote w:type="continuationSeparator" w:id="1">
    <w:p w:rsidR="00EB0401" w:rsidRDefault="00EB0401" w:rsidP="00EB04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0401"/>
    <w:rsid w:val="00DC605B"/>
    <w:rsid w:val="00EB04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4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04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0401"/>
    <w:rPr>
      <w:sz w:val="18"/>
      <w:szCs w:val="18"/>
    </w:rPr>
  </w:style>
  <w:style w:type="paragraph" w:styleId="a4">
    <w:name w:val="footer"/>
    <w:basedOn w:val="a"/>
    <w:link w:val="Char0"/>
    <w:uiPriority w:val="99"/>
    <w:semiHidden/>
    <w:unhideWhenUsed/>
    <w:rsid w:val="00EB04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B04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Words>
  <Characters>463</Characters>
  <Application>Microsoft Office Word</Application>
  <DocSecurity>0</DocSecurity>
  <Lines>3</Lines>
  <Paragraphs>1</Paragraphs>
  <ScaleCrop>false</ScaleCrop>
  <Company/>
  <LinksUpToDate>false</LinksUpToDate>
  <CharactersWithSpaces>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dc:creator>
  <cp:keywords/>
  <dc:description/>
  <cp:lastModifiedBy>hl</cp:lastModifiedBy>
  <cp:revision>4</cp:revision>
  <dcterms:created xsi:type="dcterms:W3CDTF">2021-03-26T08:04:00Z</dcterms:created>
  <dcterms:modified xsi:type="dcterms:W3CDTF">2021-03-26T08:04:00Z</dcterms:modified>
</cp:coreProperties>
</file>