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0"/>
          <w:szCs w:val="30"/>
        </w:rPr>
      </w:pPr>
      <w:r>
        <w:rPr>
          <w:rFonts w:hint="eastAsia" w:ascii="仿宋_GB2312" w:eastAsia="仿宋_GB2312"/>
          <w:sz w:val="30"/>
          <w:szCs w:val="30"/>
        </w:rPr>
        <w:t>附件3：</w:t>
      </w:r>
    </w:p>
    <w:p>
      <w:pPr>
        <w:spacing w:line="560" w:lineRule="exact"/>
        <w:jc w:val="center"/>
        <w:rPr>
          <w:b/>
          <w:sz w:val="44"/>
          <w:szCs w:val="44"/>
        </w:rPr>
      </w:pPr>
    </w:p>
    <w:p>
      <w:pPr>
        <w:spacing w:line="560" w:lineRule="exact"/>
        <w:jc w:val="center"/>
        <w:rPr>
          <w:b/>
          <w:sz w:val="44"/>
          <w:szCs w:val="44"/>
        </w:rPr>
      </w:pPr>
    </w:p>
    <w:p>
      <w:pPr>
        <w:spacing w:line="560" w:lineRule="exact"/>
        <w:jc w:val="center"/>
        <w:rPr>
          <w:rFonts w:hint="eastAsia"/>
          <w:b/>
          <w:sz w:val="44"/>
          <w:szCs w:val="44"/>
        </w:rPr>
      </w:pPr>
      <w:r>
        <w:rPr>
          <w:rFonts w:hint="eastAsia"/>
          <w:b/>
          <w:sz w:val="44"/>
          <w:szCs w:val="44"/>
        </w:rPr>
        <w:t>资产支持商业票据募集说明书</w:t>
      </w:r>
    </w:p>
    <w:p>
      <w:pPr>
        <w:widowControl/>
        <w:snapToGrid w:val="0"/>
        <w:spacing w:line="560" w:lineRule="exact"/>
        <w:jc w:val="center"/>
        <w:textAlignment w:val="baseline"/>
        <w:rPr>
          <w:rFonts w:ascii="仿宋_GB2312"/>
          <w:b/>
          <w:kern w:val="0"/>
          <w:sz w:val="44"/>
          <w:szCs w:val="44"/>
        </w:rPr>
      </w:pPr>
      <w:r>
        <w:rPr>
          <w:rFonts w:hint="eastAsia"/>
          <w:b/>
          <w:sz w:val="44"/>
          <w:szCs w:val="44"/>
        </w:rPr>
        <w:t>（参考文本）</w:t>
      </w:r>
    </w:p>
    <w:p>
      <w:pPr>
        <w:widowControl/>
        <w:jc w:val="center"/>
        <w:rPr>
          <w:rFonts w:ascii="仿宋_GB2312" w:eastAsia="仿宋_GB2312"/>
          <w:b/>
          <w:kern w:val="0"/>
          <w:sz w:val="32"/>
          <w:szCs w:val="28"/>
        </w:rPr>
      </w:pPr>
      <w:r>
        <w:rPr>
          <w:rFonts w:hint="eastAsia" w:ascii="仿宋_GB2312" w:eastAsia="仿宋_GB2312"/>
          <w:b/>
          <w:kern w:val="0"/>
          <w:sz w:val="32"/>
          <w:szCs w:val="28"/>
        </w:rPr>
        <w:t>（2021版）</w:t>
      </w:r>
    </w:p>
    <w:p>
      <w:pPr>
        <w:widowControl/>
        <w:snapToGrid w:val="0"/>
        <w:spacing w:after="240" w:afterLines="100" w:line="360" w:lineRule="auto"/>
        <w:jc w:val="center"/>
        <w:rPr>
          <w:rFonts w:ascii="仿宋_GB2312" w:eastAsia="仿宋_GB2312"/>
          <w:kern w:val="0"/>
          <w:sz w:val="44"/>
          <w:szCs w:val="36"/>
        </w:rPr>
      </w:pPr>
    </w:p>
    <w:p>
      <w:pPr>
        <w:widowControl/>
        <w:snapToGrid w:val="0"/>
        <w:spacing w:after="240" w:afterLines="100" w:line="360" w:lineRule="auto"/>
        <w:jc w:val="center"/>
        <w:rPr>
          <w:rFonts w:ascii="仿宋_GB2312" w:eastAsia="仿宋_GB2312"/>
          <w:kern w:val="0"/>
          <w:sz w:val="44"/>
          <w:szCs w:val="36"/>
        </w:rPr>
      </w:pPr>
    </w:p>
    <w:p>
      <w:pPr>
        <w:widowControl/>
        <w:snapToGrid w:val="0"/>
        <w:spacing w:after="240" w:afterLines="100" w:line="360" w:lineRule="auto"/>
        <w:jc w:val="center"/>
        <w:rPr>
          <w:rFonts w:ascii="仿宋_GB2312" w:eastAsia="仿宋_GB2312"/>
          <w:kern w:val="0"/>
          <w:sz w:val="44"/>
          <w:szCs w:val="36"/>
        </w:rPr>
      </w:pPr>
    </w:p>
    <w:p>
      <w:pPr>
        <w:widowControl/>
        <w:snapToGrid w:val="0"/>
        <w:spacing w:after="240" w:afterLines="100" w:line="360" w:lineRule="auto"/>
        <w:jc w:val="center"/>
        <w:rPr>
          <w:rFonts w:ascii="仿宋_GB2312" w:eastAsia="仿宋_GB2312"/>
          <w:kern w:val="0"/>
          <w:sz w:val="44"/>
          <w:szCs w:val="36"/>
        </w:rPr>
      </w:pPr>
    </w:p>
    <w:p>
      <w:pPr>
        <w:widowControl/>
        <w:snapToGrid w:val="0"/>
        <w:spacing w:after="240" w:afterLines="100" w:line="360" w:lineRule="auto"/>
        <w:jc w:val="center"/>
        <w:rPr>
          <w:rFonts w:ascii="仿宋_GB2312" w:eastAsia="仿宋_GB2312"/>
          <w:kern w:val="0"/>
          <w:sz w:val="44"/>
          <w:szCs w:val="36"/>
        </w:rPr>
      </w:pPr>
    </w:p>
    <w:p>
      <w:pPr>
        <w:widowControl/>
        <w:snapToGrid w:val="0"/>
        <w:spacing w:after="240" w:afterLines="100" w:line="360" w:lineRule="auto"/>
        <w:jc w:val="center"/>
        <w:rPr>
          <w:rFonts w:ascii="仿宋_GB2312" w:eastAsia="仿宋_GB2312"/>
          <w:kern w:val="0"/>
          <w:sz w:val="44"/>
          <w:szCs w:val="36"/>
        </w:rPr>
      </w:pPr>
    </w:p>
    <w:p>
      <w:pPr>
        <w:widowControl/>
        <w:snapToGrid w:val="0"/>
        <w:spacing w:line="360" w:lineRule="auto"/>
        <w:jc w:val="center"/>
        <w:rPr>
          <w:rFonts w:ascii="仿宋_GB2312" w:eastAsia="仿宋_GB2312"/>
          <w:b/>
          <w:kern w:val="0"/>
          <w:sz w:val="32"/>
          <w:szCs w:val="36"/>
        </w:rPr>
      </w:pPr>
      <w:r>
        <w:rPr>
          <w:rFonts w:hint="eastAsia" w:ascii="仿宋_GB2312" w:eastAsia="仿宋_GB2312"/>
          <w:b/>
          <w:kern w:val="0"/>
          <w:sz w:val="32"/>
          <w:szCs w:val="36"/>
        </w:rPr>
        <w:t>中国银行间市场交易商协会</w:t>
      </w:r>
    </w:p>
    <w:p>
      <w:pPr>
        <w:widowControl/>
        <w:jc w:val="center"/>
        <w:rPr>
          <w:rFonts w:hint="eastAsia" w:ascii="仿宋_GB2312" w:eastAsia="仿宋_GB2312"/>
          <w:b/>
          <w:kern w:val="0"/>
          <w:sz w:val="32"/>
          <w:szCs w:val="36"/>
        </w:rPr>
      </w:pPr>
      <w:r>
        <w:rPr>
          <w:rFonts w:hint="eastAsia" w:ascii="仿宋_GB2312" w:eastAsia="仿宋_GB2312"/>
          <w:b/>
          <w:kern w:val="0"/>
          <w:sz w:val="32"/>
          <w:szCs w:val="36"/>
        </w:rPr>
        <w:t>2021年</w:t>
      </w:r>
      <w:r>
        <w:rPr>
          <w:rFonts w:hint="eastAsia" w:ascii="仿宋_GB2312" w:eastAsia="仿宋_GB2312"/>
          <w:b/>
          <w:kern w:val="0"/>
          <w:sz w:val="32"/>
          <w:szCs w:val="36"/>
          <w:lang w:val="en-US" w:eastAsia="zh-CN"/>
        </w:rPr>
        <w:t>11</w:t>
      </w:r>
      <w:r>
        <w:rPr>
          <w:rFonts w:hint="eastAsia" w:ascii="仿宋_GB2312" w:eastAsia="仿宋_GB2312"/>
          <w:b/>
          <w:kern w:val="0"/>
          <w:sz w:val="32"/>
          <w:szCs w:val="36"/>
        </w:rPr>
        <w:t>月</w:t>
      </w:r>
    </w:p>
    <w:p>
      <w:pPr>
        <w:autoSpaceDE w:val="0"/>
        <w:autoSpaceDN w:val="0"/>
        <w:adjustRightInd w:val="0"/>
        <w:spacing w:before="120" w:beforeLines="50" w:after="120" w:afterLines="50" w:line="300" w:lineRule="auto"/>
        <w:jc w:val="center"/>
        <w:rPr>
          <w:rFonts w:hint="eastAsia" w:ascii="楷体_GB2312" w:hAnsi="楷体_GB2312" w:eastAsia="楷体_GB2312" w:cs="楷体_GB2312"/>
          <w:b/>
          <w:bCs/>
          <w:kern w:val="0"/>
          <w:sz w:val="32"/>
          <w:szCs w:val="32"/>
        </w:rPr>
      </w:pPr>
      <w:r>
        <w:rPr>
          <w:rFonts w:hint="eastAsia" w:ascii="仿宋_GB2312" w:eastAsia="仿宋_GB2312"/>
          <w:b/>
          <w:kern w:val="0"/>
          <w:sz w:val="32"/>
          <w:szCs w:val="36"/>
        </w:rPr>
        <w:br w:type="page"/>
      </w:r>
      <w:r>
        <w:rPr>
          <w:rFonts w:hint="eastAsia" w:ascii="楷体_GB2312" w:hAnsi="楷体_GB2312" w:eastAsia="楷体_GB2312" w:cs="楷体_GB2312"/>
          <w:b/>
          <w:bCs/>
          <w:kern w:val="0"/>
          <w:sz w:val="32"/>
          <w:szCs w:val="32"/>
        </w:rPr>
        <w:t>目录</w:t>
      </w:r>
    </w:p>
    <w:p>
      <w:pPr>
        <w:pStyle w:val="26"/>
        <w:keepNext w:val="0"/>
        <w:keepLines w:val="0"/>
        <w:pageBreakBefore w:val="0"/>
        <w:widowControl/>
        <w:tabs>
          <w:tab w:val="right" w:leader="dot" w:pos="8300"/>
        </w:tabs>
        <w:kinsoku/>
        <w:wordWrap/>
        <w:overflowPunct/>
        <w:topLinePunct w:val="0"/>
        <w:autoSpaceDE/>
        <w:autoSpaceDN/>
        <w:bidi w:val="0"/>
        <w:adjustRightInd/>
        <w:snapToGrid/>
        <w:spacing w:after="0" w:afterLines="0" w:line="300" w:lineRule="auto"/>
        <w:textAlignment w:val="auto"/>
        <w:rPr>
          <w:b/>
          <w:bCs w:val="0"/>
          <w:sz w:val="32"/>
          <w:szCs w:val="32"/>
        </w:rPr>
      </w:pPr>
      <w:bookmarkStart w:id="0" w:name="_Toc10062"/>
      <w:bookmarkStart w:id="1" w:name="_Toc29989"/>
      <w:bookmarkStart w:id="2" w:name="_Toc67402882"/>
      <w:r>
        <w:rPr>
          <w:rFonts w:hint="eastAsia" w:ascii="楷体_GB2312" w:hAnsi="楷体_GB2312" w:eastAsia="楷体_GB2312" w:cs="楷体_GB2312"/>
          <w:b/>
          <w:bCs w:val="0"/>
          <w:sz w:val="32"/>
          <w:szCs w:val="32"/>
        </w:rPr>
        <w:fldChar w:fldCharType="begin"/>
      </w:r>
      <w:r>
        <w:rPr>
          <w:rFonts w:hint="eastAsia" w:ascii="楷体_GB2312" w:hAnsi="楷体_GB2312" w:eastAsia="楷体_GB2312" w:cs="楷体_GB2312"/>
          <w:b/>
          <w:bCs w:val="0"/>
          <w:sz w:val="32"/>
          <w:szCs w:val="32"/>
        </w:rPr>
        <w:instrText xml:space="preserve">TOC \o "1-1" \h \u </w:instrText>
      </w:r>
      <w:r>
        <w:rPr>
          <w:rFonts w:hint="eastAsia" w:ascii="楷体_GB2312" w:hAnsi="楷体_GB2312" w:eastAsia="楷体_GB2312" w:cs="楷体_GB2312"/>
          <w:b/>
          <w:bCs w:val="0"/>
          <w:sz w:val="32"/>
          <w:szCs w:val="32"/>
        </w:rPr>
        <w:fldChar w:fldCharType="separate"/>
      </w:r>
      <w:r>
        <w:rPr>
          <w:rFonts w:hint="eastAsia" w:ascii="楷体_GB2312" w:hAnsi="楷体_GB2312" w:eastAsia="楷体_GB2312" w:cs="楷体_GB2312"/>
          <w:b/>
          <w:bCs w:val="0"/>
          <w:sz w:val="32"/>
          <w:szCs w:val="32"/>
        </w:rPr>
        <w:fldChar w:fldCharType="begin"/>
      </w:r>
      <w:r>
        <w:rPr>
          <w:rFonts w:hint="eastAsia" w:ascii="楷体_GB2312" w:hAnsi="楷体_GB2312" w:eastAsia="楷体_GB2312" w:cs="楷体_GB2312"/>
          <w:b/>
          <w:bCs w:val="0"/>
          <w:sz w:val="32"/>
          <w:szCs w:val="32"/>
        </w:rPr>
        <w:instrText xml:space="preserve"> HYPERLINK \l _Toc31438 </w:instrText>
      </w:r>
      <w:r>
        <w:rPr>
          <w:rFonts w:hint="eastAsia" w:ascii="楷体_GB2312" w:hAnsi="楷体_GB2312" w:eastAsia="楷体_GB2312" w:cs="楷体_GB2312"/>
          <w:b/>
          <w:bCs w:val="0"/>
          <w:sz w:val="32"/>
          <w:szCs w:val="32"/>
        </w:rPr>
        <w:fldChar w:fldCharType="separate"/>
      </w:r>
      <w:r>
        <w:rPr>
          <w:rFonts w:hint="eastAsia" w:ascii="楷体_GB2312" w:hAnsi="楷体_GB2312" w:eastAsia="楷体_GB2312" w:cs="楷体_GB2312"/>
          <w:b/>
          <w:bCs w:val="0"/>
          <w:kern w:val="0"/>
          <w:sz w:val="32"/>
          <w:szCs w:val="32"/>
        </w:rPr>
        <w:t>第一部分 使用说明</w:t>
      </w:r>
      <w:r>
        <w:rPr>
          <w:b/>
          <w:bCs w:val="0"/>
          <w:sz w:val="32"/>
          <w:szCs w:val="32"/>
        </w:rPr>
        <w:tab/>
      </w:r>
      <w:r>
        <w:rPr>
          <w:b/>
          <w:bCs w:val="0"/>
          <w:sz w:val="32"/>
          <w:szCs w:val="32"/>
        </w:rPr>
        <w:fldChar w:fldCharType="begin"/>
      </w:r>
      <w:r>
        <w:rPr>
          <w:b/>
          <w:bCs w:val="0"/>
          <w:sz w:val="32"/>
          <w:szCs w:val="32"/>
        </w:rPr>
        <w:instrText xml:space="preserve"> PAGEREF _Toc31438 \h </w:instrText>
      </w:r>
      <w:r>
        <w:rPr>
          <w:b/>
          <w:bCs w:val="0"/>
          <w:sz w:val="32"/>
          <w:szCs w:val="32"/>
        </w:rPr>
        <w:fldChar w:fldCharType="separate"/>
      </w:r>
      <w:r>
        <w:rPr>
          <w:b/>
          <w:bCs w:val="0"/>
          <w:sz w:val="32"/>
          <w:szCs w:val="32"/>
        </w:rPr>
        <w:t>1</w:t>
      </w:r>
      <w:r>
        <w:rPr>
          <w:b/>
          <w:bCs w:val="0"/>
          <w:sz w:val="32"/>
          <w:szCs w:val="32"/>
        </w:rPr>
        <w:fldChar w:fldCharType="end"/>
      </w:r>
      <w:r>
        <w:rPr>
          <w:rFonts w:hint="eastAsia" w:ascii="楷体_GB2312" w:hAnsi="楷体_GB2312" w:eastAsia="楷体_GB2312" w:cs="楷体_GB2312"/>
          <w:b/>
          <w:bCs w:val="0"/>
          <w:sz w:val="32"/>
          <w:szCs w:val="32"/>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after="0" w:afterLines="0" w:line="300" w:lineRule="auto"/>
        <w:textAlignment w:val="auto"/>
        <w:rPr>
          <w:b/>
          <w:bCs w:val="0"/>
          <w:sz w:val="32"/>
          <w:szCs w:val="32"/>
        </w:rPr>
      </w:pPr>
      <w:r>
        <w:rPr>
          <w:rFonts w:hint="eastAsia" w:ascii="楷体_GB2312" w:hAnsi="楷体_GB2312" w:eastAsia="楷体_GB2312" w:cs="楷体_GB2312"/>
          <w:b/>
          <w:bCs w:val="0"/>
          <w:sz w:val="32"/>
          <w:szCs w:val="32"/>
        </w:rPr>
        <w:fldChar w:fldCharType="begin"/>
      </w:r>
      <w:r>
        <w:rPr>
          <w:rFonts w:hint="eastAsia" w:ascii="楷体_GB2312" w:hAnsi="楷体_GB2312" w:eastAsia="楷体_GB2312" w:cs="楷体_GB2312"/>
          <w:b/>
          <w:bCs w:val="0"/>
          <w:sz w:val="32"/>
          <w:szCs w:val="32"/>
        </w:rPr>
        <w:instrText xml:space="preserve"> HYPERLINK \l _Toc22576 </w:instrText>
      </w:r>
      <w:r>
        <w:rPr>
          <w:rFonts w:hint="eastAsia" w:ascii="楷体_GB2312" w:hAnsi="楷体_GB2312" w:eastAsia="楷体_GB2312" w:cs="楷体_GB2312"/>
          <w:b/>
          <w:bCs w:val="0"/>
          <w:sz w:val="32"/>
          <w:szCs w:val="32"/>
        </w:rPr>
        <w:fldChar w:fldCharType="separate"/>
      </w:r>
      <w:r>
        <w:rPr>
          <w:rFonts w:hint="eastAsia" w:ascii="楷体_GB2312" w:hAnsi="楷体_GB2312" w:eastAsia="楷体_GB2312" w:cs="楷体_GB2312"/>
          <w:b/>
          <w:bCs w:val="0"/>
          <w:kern w:val="0"/>
          <w:sz w:val="32"/>
          <w:szCs w:val="32"/>
        </w:rPr>
        <w:t xml:space="preserve">第二部分 </w:t>
      </w:r>
      <w:r>
        <w:rPr>
          <w:rFonts w:hint="eastAsia" w:ascii="楷体_GB2312" w:hAnsi="楷体_GB2312" w:eastAsia="楷体_GB2312" w:cs="楷体_GB2312"/>
          <w:b/>
          <w:bCs w:val="0"/>
          <w:kern w:val="0"/>
          <w:sz w:val="32"/>
          <w:szCs w:val="32"/>
          <w:lang w:val="en-US" w:eastAsia="zh-CN"/>
        </w:rPr>
        <w:t>募集说明书（参考文本）</w:t>
      </w:r>
      <w:r>
        <w:rPr>
          <w:b/>
          <w:bCs w:val="0"/>
          <w:sz w:val="32"/>
          <w:szCs w:val="32"/>
        </w:rPr>
        <w:tab/>
      </w:r>
      <w:r>
        <w:rPr>
          <w:rFonts w:hint="eastAsia"/>
          <w:b/>
          <w:bCs w:val="0"/>
          <w:sz w:val="32"/>
          <w:szCs w:val="32"/>
          <w:lang w:val="en-US" w:eastAsia="zh-CN"/>
        </w:rPr>
        <w:t>5</w:t>
      </w:r>
      <w:r>
        <w:rPr>
          <w:rFonts w:hint="eastAsia" w:ascii="楷体_GB2312" w:hAnsi="楷体_GB2312" w:eastAsia="楷体_GB2312" w:cs="楷体_GB2312"/>
          <w:b/>
          <w:bCs w:val="0"/>
          <w:sz w:val="32"/>
          <w:szCs w:val="32"/>
        </w:rPr>
        <w:fldChar w:fldCharType="end"/>
      </w:r>
    </w:p>
    <w:p>
      <w:pPr>
        <w:pStyle w:val="26"/>
        <w:keepNext w:val="0"/>
        <w:keepLines w:val="0"/>
        <w:pageBreakBefore w:val="0"/>
        <w:widowControl/>
        <w:tabs>
          <w:tab w:val="right" w:leader="dot" w:pos="8300"/>
        </w:tabs>
        <w:kinsoku/>
        <w:wordWrap/>
        <w:overflowPunct/>
        <w:topLinePunct w:val="0"/>
        <w:autoSpaceDE/>
        <w:autoSpaceDN/>
        <w:bidi w:val="0"/>
        <w:adjustRightInd/>
        <w:snapToGrid/>
        <w:spacing w:after="0" w:afterLines="0" w:line="300" w:lineRule="auto"/>
        <w:textAlignment w:val="auto"/>
        <w:rPr>
          <w:rFonts w:hint="eastAsia" w:eastAsia="楷体_GB2312"/>
          <w:b/>
          <w:bCs w:val="0"/>
          <w:sz w:val="32"/>
          <w:szCs w:val="32"/>
          <w:lang w:val="en-US" w:eastAsia="zh-CN"/>
        </w:rPr>
      </w:pPr>
      <w:r>
        <w:rPr>
          <w:rFonts w:hint="eastAsia" w:ascii="楷体_GB2312" w:hAnsi="楷体_GB2312" w:eastAsia="楷体_GB2312" w:cs="楷体_GB2312"/>
          <w:b/>
          <w:bCs w:val="0"/>
          <w:sz w:val="32"/>
          <w:szCs w:val="32"/>
        </w:rPr>
        <w:fldChar w:fldCharType="begin"/>
      </w:r>
      <w:r>
        <w:rPr>
          <w:rFonts w:hint="eastAsia" w:ascii="楷体_GB2312" w:hAnsi="楷体_GB2312" w:eastAsia="楷体_GB2312" w:cs="楷体_GB2312"/>
          <w:b/>
          <w:bCs w:val="0"/>
          <w:sz w:val="32"/>
          <w:szCs w:val="32"/>
        </w:rPr>
        <w:instrText xml:space="preserve"> HYPERLINK \l _Toc28708 </w:instrText>
      </w:r>
      <w:r>
        <w:rPr>
          <w:rFonts w:hint="eastAsia" w:ascii="楷体_GB2312" w:hAnsi="楷体_GB2312" w:eastAsia="楷体_GB2312" w:cs="楷体_GB2312"/>
          <w:b/>
          <w:bCs w:val="0"/>
          <w:sz w:val="32"/>
          <w:szCs w:val="32"/>
        </w:rPr>
        <w:fldChar w:fldCharType="separate"/>
      </w:r>
      <w:r>
        <w:rPr>
          <w:rFonts w:hint="eastAsia" w:ascii="楷体_GB2312" w:hAnsi="楷体_GB2312" w:eastAsia="楷体_GB2312" w:cs="楷体_GB2312"/>
          <w:b/>
          <w:bCs w:val="0"/>
          <w:kern w:val="0"/>
          <w:sz w:val="32"/>
          <w:szCs w:val="32"/>
        </w:rPr>
        <w:t>第</w:t>
      </w:r>
      <w:r>
        <w:rPr>
          <w:rFonts w:hint="eastAsia" w:ascii="楷体_GB2312" w:hAnsi="楷体_GB2312" w:eastAsia="楷体_GB2312" w:cs="楷体_GB2312"/>
          <w:b/>
          <w:bCs w:val="0"/>
          <w:kern w:val="0"/>
          <w:sz w:val="32"/>
          <w:szCs w:val="32"/>
          <w:lang w:val="en-US" w:eastAsia="zh-CN"/>
        </w:rPr>
        <w:t>三</w:t>
      </w:r>
      <w:r>
        <w:rPr>
          <w:rFonts w:hint="eastAsia" w:ascii="楷体_GB2312" w:hAnsi="楷体_GB2312" w:eastAsia="楷体_GB2312" w:cs="楷体_GB2312"/>
          <w:b/>
          <w:bCs w:val="0"/>
          <w:kern w:val="0"/>
          <w:sz w:val="32"/>
          <w:szCs w:val="32"/>
        </w:rPr>
        <w:t xml:space="preserve">部分 </w:t>
      </w:r>
      <w:r>
        <w:rPr>
          <w:rFonts w:hint="eastAsia" w:ascii="楷体_GB2312" w:hAnsi="楷体_GB2312" w:eastAsia="楷体_GB2312" w:cs="楷体_GB2312"/>
          <w:b/>
          <w:bCs w:val="0"/>
          <w:kern w:val="0"/>
          <w:sz w:val="32"/>
          <w:szCs w:val="32"/>
          <w:lang w:val="en-US" w:eastAsia="zh-CN"/>
        </w:rPr>
        <w:t>定向募集说明书（参考文本）</w:t>
      </w:r>
      <w:r>
        <w:rPr>
          <w:b/>
          <w:bCs w:val="0"/>
          <w:sz w:val="32"/>
          <w:szCs w:val="32"/>
        </w:rPr>
        <w:tab/>
      </w:r>
      <w:r>
        <w:rPr>
          <w:rFonts w:hint="eastAsia"/>
          <w:b/>
          <w:bCs w:val="0"/>
          <w:sz w:val="32"/>
          <w:szCs w:val="32"/>
          <w:lang w:val="en-US" w:eastAsia="zh-CN"/>
        </w:rPr>
        <w:t>5</w:t>
      </w:r>
      <w:r>
        <w:rPr>
          <w:rFonts w:hint="eastAsia" w:ascii="楷体_GB2312" w:hAnsi="楷体_GB2312" w:eastAsia="楷体_GB2312" w:cs="楷体_GB2312"/>
          <w:b/>
          <w:bCs w:val="0"/>
          <w:sz w:val="32"/>
          <w:szCs w:val="32"/>
        </w:rPr>
        <w:fldChar w:fldCharType="end"/>
      </w:r>
      <w:r>
        <w:rPr>
          <w:rFonts w:hint="eastAsia" w:eastAsia="宋体"/>
          <w:b/>
          <w:bCs w:val="0"/>
          <w:sz w:val="32"/>
          <w:szCs w:val="32"/>
          <w:lang w:val="en-US" w:eastAsia="zh-CN"/>
        </w:rPr>
        <w:t>6</w:t>
      </w:r>
    </w:p>
    <w:p>
      <w:pPr>
        <w:pStyle w:val="26"/>
        <w:keepNext w:val="0"/>
        <w:keepLines w:val="0"/>
        <w:pageBreakBefore w:val="0"/>
        <w:widowControl/>
        <w:tabs>
          <w:tab w:val="right" w:leader="dot" w:pos="8300"/>
        </w:tabs>
        <w:kinsoku/>
        <w:wordWrap/>
        <w:overflowPunct/>
        <w:topLinePunct w:val="0"/>
        <w:autoSpaceDE/>
        <w:autoSpaceDN/>
        <w:bidi w:val="0"/>
        <w:adjustRightInd/>
        <w:snapToGrid/>
        <w:spacing w:after="0" w:afterLines="0" w:line="300" w:lineRule="auto"/>
        <w:textAlignment w:val="auto"/>
        <w:rPr>
          <w:rFonts w:hint="default" w:eastAsia="楷体_GB2312"/>
          <w:b/>
          <w:bCs w:val="0"/>
          <w:sz w:val="32"/>
          <w:szCs w:val="32"/>
          <w:lang w:val="en-US" w:eastAsia="zh-CN"/>
        </w:rPr>
      </w:pPr>
      <w:r>
        <w:rPr>
          <w:rFonts w:hint="eastAsia" w:ascii="楷体_GB2312" w:hAnsi="楷体_GB2312" w:eastAsia="楷体_GB2312" w:cs="楷体_GB2312"/>
          <w:b/>
          <w:bCs w:val="0"/>
          <w:sz w:val="32"/>
          <w:szCs w:val="32"/>
        </w:rPr>
        <w:fldChar w:fldCharType="begin"/>
      </w:r>
      <w:r>
        <w:rPr>
          <w:rFonts w:hint="eastAsia" w:ascii="楷体_GB2312" w:hAnsi="楷体_GB2312" w:eastAsia="楷体_GB2312" w:cs="楷体_GB2312"/>
          <w:b/>
          <w:bCs w:val="0"/>
          <w:sz w:val="32"/>
          <w:szCs w:val="32"/>
        </w:rPr>
        <w:instrText xml:space="preserve"> HYPERLINK \l _Toc13356 </w:instrText>
      </w:r>
      <w:r>
        <w:rPr>
          <w:rFonts w:hint="eastAsia" w:ascii="楷体_GB2312" w:hAnsi="楷体_GB2312" w:eastAsia="楷体_GB2312" w:cs="楷体_GB2312"/>
          <w:b/>
          <w:bCs w:val="0"/>
          <w:sz w:val="32"/>
          <w:szCs w:val="32"/>
        </w:rPr>
        <w:fldChar w:fldCharType="separate"/>
      </w:r>
      <w:r>
        <w:rPr>
          <w:rFonts w:hint="eastAsia" w:ascii="楷体_GB2312" w:hAnsi="楷体_GB2312" w:eastAsia="楷体_GB2312" w:cs="楷体_GB2312"/>
          <w:b/>
          <w:bCs w:val="0"/>
          <w:kern w:val="0"/>
          <w:sz w:val="32"/>
          <w:szCs w:val="32"/>
          <w:lang w:val="en-US" w:eastAsia="zh-CN"/>
        </w:rPr>
        <w:t>第四部分 定向发行协议（参考文本）</w:t>
      </w:r>
      <w:r>
        <w:rPr>
          <w:b/>
          <w:bCs w:val="0"/>
          <w:sz w:val="32"/>
          <w:szCs w:val="32"/>
        </w:rPr>
        <w:tab/>
      </w:r>
      <w:r>
        <w:rPr>
          <w:rFonts w:hint="eastAsia"/>
          <w:b/>
          <w:bCs w:val="0"/>
          <w:sz w:val="32"/>
          <w:szCs w:val="32"/>
          <w:lang w:val="en-US" w:eastAsia="zh-CN"/>
        </w:rPr>
        <w:t>1</w:t>
      </w:r>
      <w:r>
        <w:rPr>
          <w:rFonts w:hint="eastAsia" w:ascii="楷体_GB2312" w:hAnsi="楷体_GB2312" w:eastAsia="楷体_GB2312" w:cs="楷体_GB2312"/>
          <w:b/>
          <w:bCs w:val="0"/>
          <w:sz w:val="32"/>
          <w:szCs w:val="32"/>
        </w:rPr>
        <w:fldChar w:fldCharType="end"/>
      </w:r>
      <w:r>
        <w:rPr>
          <w:rFonts w:hint="eastAsia" w:eastAsia="宋体"/>
          <w:b/>
          <w:bCs w:val="0"/>
          <w:sz w:val="32"/>
          <w:szCs w:val="32"/>
          <w:lang w:val="en-US" w:eastAsia="zh-CN"/>
        </w:rPr>
        <w:t>07</w:t>
      </w:r>
    </w:p>
    <w:p>
      <w:pPr>
        <w:keepNext w:val="0"/>
        <w:keepLines w:val="0"/>
        <w:pageBreakBefore w:val="0"/>
        <w:widowControl/>
        <w:kinsoku/>
        <w:wordWrap/>
        <w:overflowPunct/>
        <w:topLinePunct w:val="0"/>
        <w:autoSpaceDE/>
        <w:autoSpaceDN/>
        <w:bidi w:val="0"/>
        <w:adjustRightInd/>
        <w:snapToGrid/>
        <w:spacing w:after="0" w:line="300" w:lineRule="auto"/>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
          <w:bCs w:val="0"/>
          <w:sz w:val="32"/>
          <w:szCs w:val="32"/>
        </w:rPr>
        <w:fldChar w:fldCharType="end"/>
      </w:r>
      <w:bookmarkStart w:id="3" w:name="_Toc338"/>
      <w:bookmarkStart w:id="4" w:name="_Toc22926"/>
    </w:p>
    <w:p>
      <w:pPr>
        <w:widowControl/>
        <w:jc w:val="center"/>
        <w:outlineLvl w:val="0"/>
        <w:rPr>
          <w:rFonts w:hint="eastAsia" w:ascii="楷体_GB2312" w:hAnsi="楷体_GB2312" w:eastAsia="楷体_GB2312" w:cs="楷体_GB2312"/>
          <w:b/>
          <w:bCs/>
          <w:kern w:val="0"/>
          <w:sz w:val="30"/>
          <w:szCs w:val="30"/>
        </w:rPr>
        <w:sectPr>
          <w:headerReference r:id="rId5" w:type="default"/>
          <w:footnotePr>
            <w:numRestart w:val="eachPage"/>
          </w:footnotePr>
          <w:type w:val="continuous"/>
          <w:pgSz w:w="11900" w:h="16838"/>
          <w:pgMar w:top="1440" w:right="1800" w:bottom="1440" w:left="1800" w:header="850" w:footer="992" w:gutter="0"/>
          <w:pgBorders>
            <w:top w:val="none" w:sz="0" w:space="0"/>
            <w:left w:val="none" w:sz="0" w:space="0"/>
            <w:bottom w:val="none" w:sz="0" w:space="0"/>
            <w:right w:val="none" w:sz="0" w:space="0"/>
          </w:pgBorders>
          <w:pgNumType w:start="1"/>
          <w:cols w:space="720" w:num="1"/>
          <w:docGrid w:linePitch="286" w:charSpace="0"/>
        </w:sectPr>
      </w:pPr>
    </w:p>
    <w:p>
      <w:pPr>
        <w:widowControl/>
        <w:jc w:val="center"/>
        <w:outlineLvl w:val="0"/>
        <w:rPr>
          <w:rFonts w:hint="eastAsia" w:ascii="楷体_GB2312" w:hAnsi="楷体_GB2312" w:eastAsia="楷体_GB2312" w:cs="楷体_GB2312"/>
          <w:b/>
          <w:bCs/>
          <w:kern w:val="0"/>
          <w:sz w:val="30"/>
          <w:szCs w:val="30"/>
        </w:rPr>
      </w:pPr>
      <w:bookmarkStart w:id="5" w:name="_Toc31438"/>
      <w:r>
        <w:rPr>
          <w:rFonts w:hint="eastAsia" w:ascii="楷体_GB2312" w:hAnsi="楷体_GB2312" w:eastAsia="楷体_GB2312" w:cs="楷体_GB2312"/>
          <w:b/>
          <w:bCs/>
          <w:kern w:val="0"/>
          <w:sz w:val="30"/>
          <w:szCs w:val="30"/>
        </w:rPr>
        <w:t>第一部分 使用说明</w:t>
      </w:r>
      <w:bookmarkEnd w:id="0"/>
      <w:bookmarkEnd w:id="1"/>
      <w:bookmarkEnd w:id="3"/>
      <w:bookmarkEnd w:id="4"/>
      <w:bookmarkEnd w:id="5"/>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2" w:firstLineChars="200"/>
        <w:textAlignment w:val="baseline"/>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一、制定背景</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2020年6月，在人民银行的指导下，中国银行间市场交易商协会（以下简称“交易商协会”）充分依托广大市场成员，深入贯彻落实党中央、国务院关于构建新发展格局、推动高质量发展有关政策精神，与供应链金融结合，创新推出资产支持商业票据（以下简称“ABCP”），积极落实“六稳”、“六保”工作部署。</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b/>
          <w:sz w:val="24"/>
          <w:szCs w:val="24"/>
        </w:rPr>
      </w:pPr>
      <w:r>
        <w:rPr>
          <w:rFonts w:hint="eastAsia" w:ascii="楷体_GB2312" w:hAnsi="楷体_GB2312" w:eastAsia="楷体_GB2312" w:cs="楷体_GB2312"/>
          <w:sz w:val="24"/>
          <w:szCs w:val="24"/>
        </w:rPr>
        <w:t>ABCP推出以来，受到实体企业、投资人等市场机构普遍欢迎。为促进ABCP市场高质量发展，加强投资人保护，发挥市场自律功能，交易商协会根据《中华人民共和国信托法》、《中华人民共和国民法典》、《非金融企业资产支持票据指引》等有关法律法规和自律规则，起草并推出《资产支持商业票据募集说明书（参考文本）》等系列文本，在资产支持票据（以下简称“ABN”）信息披露表格体系基础上，按照重要性、针对性原则进一步细化ABCP特有信息披露要求。</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2" w:firstLineChars="200"/>
        <w:textAlignment w:val="baseline"/>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二、主要内容</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《资产支持商业票据募集说明书（参考文本）》（以下简称“本参考文本”）按发行方式分为募集说明书、定向募集说明书</w:t>
      </w:r>
      <w:r>
        <w:rPr>
          <w:rFonts w:hint="eastAsia" w:ascii="楷体_GB2312" w:hAnsi="楷体_GB2312" w:eastAsia="楷体_GB2312" w:cs="楷体_GB2312"/>
          <w:sz w:val="24"/>
          <w:szCs w:val="24"/>
          <w:lang w:val="en-US" w:eastAsia="zh-CN"/>
        </w:rPr>
        <w:t>和</w:t>
      </w:r>
      <w:r>
        <w:rPr>
          <w:rFonts w:hint="eastAsia" w:ascii="楷体_GB2312" w:hAnsi="楷体_GB2312" w:eastAsia="楷体_GB2312" w:cs="楷体_GB2312"/>
          <w:sz w:val="24"/>
          <w:szCs w:val="24"/>
        </w:rPr>
        <w:t>定向发行协议</w:t>
      </w:r>
      <w:r>
        <w:rPr>
          <w:rFonts w:hint="eastAsia" w:ascii="楷体_GB2312" w:hAnsi="楷体_GB2312" w:eastAsia="楷体_GB2312" w:cs="楷体_GB2312"/>
          <w:sz w:val="24"/>
          <w:szCs w:val="24"/>
          <w:lang w:val="en-US" w:eastAsia="zh-CN"/>
        </w:rPr>
        <w:t>三个版本。其中（定向）募集说明书版本</w:t>
      </w:r>
      <w:r>
        <w:rPr>
          <w:rFonts w:hint="eastAsia" w:ascii="楷体_GB2312" w:hAnsi="楷体_GB2312" w:eastAsia="楷体_GB2312" w:cs="楷体_GB2312"/>
          <w:sz w:val="24"/>
          <w:szCs w:val="24"/>
        </w:rPr>
        <w:t>包括封面、声明与承诺、重要提示以及释义、资产支持商业票据的基本情况、风险提示及说明等十八个章节</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定向发行协议版本</w:t>
      </w:r>
      <w:r>
        <w:rPr>
          <w:rFonts w:hint="eastAsia" w:ascii="楷体_GB2312" w:hAnsi="楷体_GB2312" w:eastAsia="楷体_GB2312" w:cs="楷体_GB2312"/>
          <w:sz w:val="24"/>
          <w:szCs w:val="24"/>
        </w:rPr>
        <w:t>包括协议正文</w:t>
      </w:r>
      <w:r>
        <w:rPr>
          <w:rFonts w:hint="eastAsia" w:ascii="楷体_GB2312" w:hAnsi="楷体_GB2312" w:eastAsia="楷体_GB2312" w:cs="楷体_GB2312"/>
          <w:sz w:val="24"/>
          <w:szCs w:val="24"/>
          <w:lang w:val="en-US" w:eastAsia="zh-CN"/>
        </w:rPr>
        <w:t>和信息披露文件附件两部分，协议正文包括封面、释义、协议的构成与效力等级、定向资产支持商业票据的发行与认购等十八项条款。信息披露文件附件包括重要提示、</w:t>
      </w:r>
      <w:r>
        <w:rPr>
          <w:rFonts w:hint="eastAsia" w:ascii="楷体_GB2312" w:hAnsi="楷体_GB2312" w:eastAsia="楷体_GB2312" w:cs="楷体_GB2312"/>
          <w:sz w:val="24"/>
          <w:szCs w:val="24"/>
        </w:rPr>
        <w:t>资产支持商业票据</w:t>
      </w:r>
      <w:r>
        <w:rPr>
          <w:rFonts w:hint="eastAsia" w:ascii="楷体_GB2312" w:hAnsi="楷体_GB2312" w:eastAsia="楷体_GB2312" w:cs="楷体_GB2312"/>
          <w:sz w:val="24"/>
          <w:szCs w:val="24"/>
          <w:lang w:val="en-US" w:eastAsia="zh-CN"/>
        </w:rPr>
        <w:t>的</w:t>
      </w:r>
      <w:r>
        <w:rPr>
          <w:rFonts w:hint="eastAsia" w:ascii="楷体_GB2312" w:hAnsi="楷体_GB2312" w:eastAsia="楷体_GB2312" w:cs="楷体_GB2312"/>
          <w:sz w:val="24"/>
          <w:szCs w:val="24"/>
        </w:rPr>
        <w:t>基本情况、风险提示及说明</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资产支持商业票据</w:t>
      </w:r>
      <w:r>
        <w:rPr>
          <w:rFonts w:hint="eastAsia" w:ascii="楷体_GB2312" w:hAnsi="楷体_GB2312" w:eastAsia="楷体_GB2312" w:cs="楷体_GB2312"/>
          <w:sz w:val="24"/>
          <w:szCs w:val="24"/>
          <w:lang w:val="en-US" w:eastAsia="zh-CN"/>
        </w:rPr>
        <w:t>的交易结构</w:t>
      </w:r>
      <w:r>
        <w:rPr>
          <w:rFonts w:hint="eastAsia" w:ascii="楷体_GB2312" w:hAnsi="楷体_GB2312" w:eastAsia="楷体_GB2312" w:cs="楷体_GB2312"/>
          <w:sz w:val="24"/>
          <w:szCs w:val="24"/>
        </w:rPr>
        <w:t>等十</w:t>
      </w:r>
      <w:r>
        <w:rPr>
          <w:rFonts w:hint="eastAsia" w:ascii="楷体_GB2312" w:hAnsi="楷体_GB2312" w:eastAsia="楷体_GB2312" w:cs="楷体_GB2312"/>
          <w:sz w:val="24"/>
          <w:szCs w:val="24"/>
          <w:lang w:val="en-US" w:eastAsia="zh-CN"/>
        </w:rPr>
        <w:t>三</w:t>
      </w:r>
      <w:r>
        <w:rPr>
          <w:rFonts w:hint="eastAsia" w:ascii="楷体_GB2312" w:hAnsi="楷体_GB2312" w:eastAsia="楷体_GB2312" w:cs="楷体_GB2312"/>
          <w:sz w:val="24"/>
          <w:szCs w:val="24"/>
        </w:rPr>
        <w:t>个章节。</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结合ABCP产品特点，</w:t>
      </w:r>
      <w:r>
        <w:rPr>
          <w:rFonts w:hint="eastAsia" w:ascii="楷体_GB2312" w:hAnsi="楷体_GB2312" w:eastAsia="楷体_GB2312" w:cs="楷体_GB2312"/>
          <w:sz w:val="24"/>
          <w:szCs w:val="24"/>
          <w:lang w:val="en-US" w:eastAsia="zh-CN"/>
        </w:rPr>
        <w:t>本参考文本</w:t>
      </w:r>
      <w:r>
        <w:rPr>
          <w:rFonts w:hint="eastAsia" w:ascii="楷体_GB2312" w:hAnsi="楷体_GB2312" w:eastAsia="楷体_GB2312" w:cs="楷体_GB2312"/>
          <w:sz w:val="24"/>
          <w:szCs w:val="24"/>
        </w:rPr>
        <w:t>在资产证券化产品常规信息披露基础上，具体针对性内容包括：</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1、关于滚动发行机制相关信息披露要求。在“重要提示”章节，披露投资人有关滚动发行事项授权</w:t>
      </w:r>
      <w:r>
        <w:rPr>
          <w:rFonts w:hint="eastAsia" w:ascii="楷体_GB2312" w:hAnsi="楷体_GB2312" w:eastAsia="楷体_GB2312" w:cs="楷体_GB2312"/>
          <w:sz w:val="24"/>
          <w:szCs w:val="24"/>
          <w:lang w:val="en-US" w:eastAsia="zh-CN"/>
        </w:rPr>
        <w:t>和确认</w:t>
      </w:r>
      <w:r>
        <w:rPr>
          <w:rFonts w:hint="eastAsia" w:ascii="楷体_GB2312" w:hAnsi="楷体_GB2312" w:eastAsia="楷体_GB2312" w:cs="楷体_GB2312"/>
          <w:sz w:val="24"/>
          <w:szCs w:val="24"/>
        </w:rPr>
        <w:t>等提示；在“封面”、“资产支持商业票据的基本情况”、“风险提示及说明”、“</w:t>
      </w:r>
      <w:r>
        <w:rPr>
          <w:rFonts w:hint="eastAsia" w:ascii="楷体_GB2312" w:hAnsi="楷体_GB2312" w:eastAsia="楷体_GB2312" w:cs="楷体_GB2312"/>
          <w:sz w:val="24"/>
          <w:szCs w:val="24"/>
          <w:lang w:val="en-US" w:eastAsia="zh-CN"/>
        </w:rPr>
        <w:t>资产支持商业票据</w:t>
      </w:r>
      <w:r>
        <w:rPr>
          <w:rFonts w:hint="eastAsia" w:ascii="楷体_GB2312" w:hAnsi="楷体_GB2312" w:eastAsia="楷体_GB2312" w:cs="楷体_GB2312"/>
          <w:sz w:val="24"/>
          <w:szCs w:val="24"/>
        </w:rPr>
        <w:t>的交易结构”等章节分别细化滚动发行信息披露要求。</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2、关于追加交付资产、回购资产等机制相关信息披露要求。在“重要提示”、“风险提示及说明”等章节就追加交付、回购资产等机制对应风险进行披露；在“</w:t>
      </w:r>
      <w:r>
        <w:rPr>
          <w:rFonts w:hint="eastAsia" w:ascii="楷体_GB2312" w:hAnsi="楷体_GB2312" w:eastAsia="楷体_GB2312" w:cs="楷体_GB2312"/>
          <w:sz w:val="24"/>
          <w:szCs w:val="24"/>
          <w:lang w:val="en-US" w:eastAsia="zh-CN"/>
        </w:rPr>
        <w:t>资产支持商业票据</w:t>
      </w:r>
      <w:r>
        <w:rPr>
          <w:rFonts w:hint="eastAsia" w:ascii="楷体_GB2312" w:hAnsi="楷体_GB2312" w:eastAsia="楷体_GB2312" w:cs="楷体_GB2312"/>
          <w:sz w:val="24"/>
          <w:szCs w:val="24"/>
        </w:rPr>
        <w:t>的交易结构”对追加交付、回购资产具体安排进行披露。</w:t>
      </w:r>
    </w:p>
    <w:p>
      <w:pPr>
        <w:pStyle w:val="2"/>
        <w:keepNext w:val="0"/>
        <w:keepLines w:val="0"/>
        <w:pageBreakBefore w:val="0"/>
        <w:kinsoku/>
        <w:wordWrap/>
        <w:overflowPunct/>
        <w:topLinePunct w:val="0"/>
        <w:autoSpaceDE/>
        <w:autoSpaceDN/>
        <w:bidi w:val="0"/>
        <w:adjustRightInd/>
        <w:spacing w:before="144" w:beforeLines="50" w:after="144" w:afterLines="50" w:line="240" w:lineRule="atLeast"/>
        <w:ind w:firstLine="480"/>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3、关于ABCP流动性支持机制</w:t>
      </w:r>
      <w:r>
        <w:rPr>
          <w:rStyle w:val="48"/>
          <w:rFonts w:ascii="楷体_GB2312" w:hAnsi="楷体_GB2312" w:eastAsia="楷体_GB2312" w:cs="楷体_GB2312"/>
          <w:sz w:val="24"/>
          <w:szCs w:val="24"/>
        </w:rPr>
        <w:footnoteReference w:id="0"/>
      </w:r>
      <w:r>
        <w:rPr>
          <w:rFonts w:hint="eastAsia" w:ascii="楷体_GB2312" w:hAnsi="楷体_GB2312" w:eastAsia="楷体_GB2312" w:cs="楷体_GB2312"/>
          <w:sz w:val="24"/>
          <w:szCs w:val="24"/>
        </w:rPr>
        <w:t>相关信息披露要求。在“风险提示及说明”</w:t>
      </w:r>
      <w:r>
        <w:rPr>
          <w:rFonts w:hint="eastAsia" w:ascii="楷体_GB2312" w:hAnsi="楷体_GB2312" w:eastAsia="楷体_GB2312" w:cs="楷体_GB2312"/>
          <w:sz w:val="24"/>
          <w:szCs w:val="24"/>
          <w:lang w:val="en-US" w:eastAsia="zh-CN"/>
        </w:rPr>
        <w:t>章节</w:t>
      </w:r>
      <w:r>
        <w:rPr>
          <w:rFonts w:hint="eastAsia" w:ascii="楷体_GB2312" w:hAnsi="楷体_GB2312" w:eastAsia="楷体_GB2312" w:cs="楷体_GB2312"/>
          <w:sz w:val="24"/>
          <w:szCs w:val="24"/>
        </w:rPr>
        <w:t>就差额支付承诺人履约风险进行披露；在“</w:t>
      </w:r>
      <w:r>
        <w:rPr>
          <w:rFonts w:hint="eastAsia" w:ascii="楷体_GB2312" w:hAnsi="楷体_GB2312" w:eastAsia="楷体_GB2312" w:cs="楷体_GB2312"/>
          <w:sz w:val="24"/>
          <w:szCs w:val="24"/>
          <w:lang w:val="en-US" w:eastAsia="zh-CN"/>
        </w:rPr>
        <w:t>资产支持商业票据</w:t>
      </w:r>
      <w:r>
        <w:rPr>
          <w:rFonts w:hint="eastAsia" w:ascii="楷体_GB2312" w:hAnsi="楷体_GB2312" w:eastAsia="楷体_GB2312" w:cs="楷体_GB2312"/>
          <w:sz w:val="24"/>
          <w:szCs w:val="24"/>
        </w:rPr>
        <w:t>的信用增级方式”</w:t>
      </w:r>
      <w:r>
        <w:rPr>
          <w:rFonts w:hint="eastAsia" w:ascii="楷体_GB2312" w:hAnsi="楷体_GB2312" w:eastAsia="楷体_GB2312" w:cs="楷体_GB2312"/>
          <w:sz w:val="24"/>
          <w:szCs w:val="24"/>
          <w:lang w:val="en-US" w:eastAsia="zh-CN"/>
        </w:rPr>
        <w:t>章节</w:t>
      </w:r>
      <w:r>
        <w:rPr>
          <w:rFonts w:hint="eastAsia" w:ascii="楷体_GB2312" w:hAnsi="楷体_GB2312" w:eastAsia="楷体_GB2312" w:cs="楷体_GB2312"/>
          <w:sz w:val="24"/>
          <w:szCs w:val="24"/>
        </w:rPr>
        <w:t>对差额支付安排的承诺对象、承诺范围、承诺期间、差额支付的启动条件、操作流程、生效条件等信息进行披露；在“发起机构、信用增级机构（如有）、发行载体管理机构及相关中介机构的基本情况”</w:t>
      </w:r>
      <w:r>
        <w:rPr>
          <w:rFonts w:hint="eastAsia" w:ascii="楷体_GB2312" w:hAnsi="楷体_GB2312" w:eastAsia="楷体_GB2312" w:cs="楷体_GB2312"/>
          <w:sz w:val="24"/>
          <w:szCs w:val="24"/>
          <w:lang w:val="en-US" w:eastAsia="zh-CN"/>
        </w:rPr>
        <w:t>章节就</w:t>
      </w:r>
      <w:r>
        <w:rPr>
          <w:rFonts w:hint="eastAsia" w:ascii="楷体_GB2312" w:hAnsi="楷体_GB2312" w:eastAsia="楷体_GB2312" w:cs="楷体_GB2312"/>
          <w:sz w:val="24"/>
          <w:szCs w:val="24"/>
        </w:rPr>
        <w:t>差额支付承诺人作为信用增级机构对基本情况进行披露；在“信息披露安排</w:t>
      </w:r>
      <w:r>
        <w:rPr>
          <w:rFonts w:hint="eastAsia" w:ascii="楷体_GB2312" w:hAnsi="楷体_GB2312" w:eastAsia="楷体_GB2312" w:cs="楷体_GB2312"/>
          <w:sz w:val="24"/>
          <w:szCs w:val="24"/>
          <w:lang w:val="en-US" w:eastAsia="zh-CN"/>
        </w:rPr>
        <w:t>/信息披露</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val="en-US" w:eastAsia="zh-CN"/>
        </w:rPr>
        <w:t>章节或条款</w:t>
      </w:r>
      <w:r>
        <w:rPr>
          <w:rFonts w:hint="eastAsia" w:ascii="楷体_GB2312" w:hAnsi="楷体_GB2312" w:eastAsia="楷体_GB2312" w:cs="楷体_GB2312"/>
          <w:sz w:val="24"/>
          <w:szCs w:val="24"/>
        </w:rPr>
        <w:t>对存续期内定期和重大事项信息披露进行约定。</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4、关于ABCP主要交易机制流程披露要求。为明确前后两期ABCP之间交易机制流程勾稽关系，在“</w:t>
      </w:r>
      <w:r>
        <w:rPr>
          <w:rFonts w:hint="eastAsia" w:ascii="楷体_GB2312" w:hAnsi="楷体_GB2312" w:eastAsia="楷体_GB2312" w:cs="楷体_GB2312"/>
          <w:sz w:val="24"/>
          <w:szCs w:val="24"/>
          <w:lang w:val="en-US" w:eastAsia="zh-CN"/>
        </w:rPr>
        <w:t>资产支持商业票据</w:t>
      </w:r>
      <w:r>
        <w:rPr>
          <w:rFonts w:hint="eastAsia" w:ascii="楷体_GB2312" w:hAnsi="楷体_GB2312" w:eastAsia="楷体_GB2312" w:cs="楷体_GB2312"/>
          <w:sz w:val="24"/>
          <w:szCs w:val="24"/>
        </w:rPr>
        <w:t>的交易结构”</w:t>
      </w:r>
      <w:r>
        <w:rPr>
          <w:rFonts w:hint="eastAsia" w:ascii="楷体_GB2312" w:hAnsi="楷体_GB2312" w:eastAsia="楷体_GB2312" w:cs="楷体_GB2312"/>
          <w:sz w:val="24"/>
          <w:szCs w:val="24"/>
          <w:lang w:val="en-US" w:eastAsia="zh-CN"/>
        </w:rPr>
        <w:t>章节</w:t>
      </w:r>
      <w:r>
        <w:rPr>
          <w:rFonts w:hint="eastAsia" w:ascii="楷体_GB2312" w:hAnsi="楷体_GB2312" w:eastAsia="楷体_GB2312" w:cs="楷体_GB2312"/>
          <w:sz w:val="24"/>
          <w:szCs w:val="24"/>
        </w:rPr>
        <w:t>以列表方式直观展现滚动发行、追加交付资产、回购资产安排等机制流程，便于投资人清晰易懂地获取ABCP兑付相关重要信息。</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2" w:firstLineChars="200"/>
        <w:textAlignment w:val="baseline"/>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三、填写说明</w:t>
      </w:r>
      <w:r>
        <w:rPr>
          <w:rFonts w:hint="eastAsia" w:ascii="楷体_GB2312" w:hAnsi="楷体_GB2312" w:eastAsia="楷体_GB2312" w:cs="楷体_GB2312"/>
          <w:b/>
          <w:sz w:val="24"/>
          <w:szCs w:val="24"/>
        </w:rPr>
        <w:tab/>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1、参考文本遵循自主自愿使用原则，并非交易商协会要求市场机构在资产支持商业票据业务中必须使用的文本，仅供市场机构参考。</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2、具体内容填写说明如下：</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bCs/>
          <w:sz w:val="24"/>
          <w:szCs w:val="24"/>
        </w:rPr>
        <w:t>（1）</w:t>
      </w:r>
      <w:r>
        <w:rPr>
          <w:rFonts w:hint="eastAsia" w:ascii="楷体_GB2312" w:hAnsi="楷体_GB2312" w:eastAsia="楷体_GB2312" w:cs="楷体_GB2312"/>
          <w:sz w:val="24"/>
          <w:szCs w:val="24"/>
        </w:rPr>
        <w:t>“【  】”中应当填写阿拉伯数字,小数保留位数视具体情况而定（如有）；“【</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】”中应当按提示填写名称或相应文字，部分“【</w:t>
      </w:r>
      <w:r>
        <w:rPr>
          <w:rFonts w:hint="eastAsia" w:ascii="楷体_GB2312" w:hAnsi="楷体_GB2312" w:eastAsia="楷体_GB2312" w:cs="楷体_GB2312"/>
          <w:sz w:val="24"/>
          <w:szCs w:val="24"/>
          <w:u w:val="single"/>
        </w:rPr>
        <w:t xml:space="preserve">  </w:t>
      </w:r>
      <w:r>
        <w:rPr>
          <w:rFonts w:hint="eastAsia" w:ascii="楷体_GB2312" w:hAnsi="楷体_GB2312" w:eastAsia="楷体_GB2312" w:cs="楷体_GB2312"/>
          <w:sz w:val="24"/>
          <w:szCs w:val="24"/>
        </w:rPr>
        <w:t>】”中已给出选项并用“/”分隔，</w:t>
      </w:r>
      <w:r>
        <w:rPr>
          <w:rFonts w:hint="eastAsia" w:ascii="楷体_GB2312" w:hAnsi="楷体_GB2312" w:eastAsia="楷体_GB2312" w:cs="楷体_GB2312"/>
          <w:sz w:val="24"/>
          <w:szCs w:val="24"/>
          <w:lang w:val="en-US" w:eastAsia="zh-CN"/>
        </w:rPr>
        <w:t>应</w:t>
      </w:r>
      <w:r>
        <w:rPr>
          <w:rFonts w:hint="eastAsia" w:ascii="楷体_GB2312" w:hAnsi="楷体_GB2312" w:eastAsia="楷体_GB2312" w:cs="楷体_GB2312"/>
          <w:sz w:val="24"/>
          <w:szCs w:val="24"/>
        </w:rPr>
        <w:t>根据项目实际情况进行选用。</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bCs/>
          <w:sz w:val="24"/>
          <w:szCs w:val="24"/>
        </w:rPr>
        <w:t>（2）</w:t>
      </w:r>
      <w:r>
        <w:rPr>
          <w:rFonts w:hint="eastAsia" w:ascii="楷体_GB2312" w:hAnsi="楷体_GB2312" w:eastAsia="楷体_GB2312" w:cs="楷体_GB2312"/>
          <w:sz w:val="24"/>
          <w:szCs w:val="24"/>
        </w:rPr>
        <w:t>参考文本中相关章节或条款后带有“（如有）”字样的，发起机构、发行载体应根据实际情况填写，如不存在章节或条款所述情形的，应当删除此章节或条款及“（如有）”字样。</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bCs/>
          <w:sz w:val="24"/>
          <w:szCs w:val="24"/>
        </w:rPr>
        <w:t>（3）</w:t>
      </w:r>
      <w:r>
        <w:rPr>
          <w:rFonts w:hint="eastAsia" w:ascii="楷体_GB2312" w:hAnsi="楷体_GB2312" w:eastAsia="楷体_GB2312" w:cs="楷体_GB2312"/>
          <w:sz w:val="24"/>
          <w:szCs w:val="24"/>
        </w:rPr>
        <w:t>“</w:t>
      </w:r>
      <w:r>
        <w:rPr>
          <w:rFonts w:hint="eastAsia" w:ascii="楷体_GB2312" w:hAnsi="楷体_GB2312" w:eastAsia="楷体_GB2312" w:cs="楷体_GB2312"/>
          <w:b/>
          <w:bCs/>
          <w:i/>
          <w:iCs/>
          <w:color w:val="FF0000"/>
          <w:sz w:val="24"/>
          <w:szCs w:val="24"/>
          <w:u w:val="single"/>
        </w:rPr>
        <w:t>红色斜体</w:t>
      </w:r>
      <w:r>
        <w:rPr>
          <w:rFonts w:hint="eastAsia" w:ascii="楷体_GB2312" w:hAnsi="楷体_GB2312" w:eastAsia="楷体_GB2312" w:cs="楷体_GB2312"/>
          <w:sz w:val="24"/>
          <w:szCs w:val="24"/>
        </w:rPr>
        <w:t>”字样为解释说明，仅供撰写参考，发起机构、发行载体应按照参考文本的提示补充相应内容。</w:t>
      </w:r>
    </w:p>
    <w:p>
      <w:pPr>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firstLineChars="200"/>
        <w:jc w:val="both"/>
        <w:textAlignment w:val="baseline"/>
        <w:rPr>
          <w:rFonts w:hint="eastAsia" w:ascii="楷体_GB2312" w:hAnsi="楷体_GB2312" w:eastAsia="楷体_GB2312" w:cs="楷体_GB2312"/>
          <w:sz w:val="24"/>
          <w:szCs w:val="24"/>
        </w:rPr>
      </w:pPr>
      <w:r>
        <w:rPr>
          <w:rFonts w:hint="eastAsia" w:ascii="楷体_GB2312" w:hAnsi="楷体_GB2312" w:eastAsia="楷体_GB2312" w:cs="楷体_GB2312"/>
          <w:bCs/>
          <w:sz w:val="24"/>
          <w:szCs w:val="24"/>
        </w:rPr>
        <w:t>（4）</w:t>
      </w:r>
      <w:r>
        <w:rPr>
          <w:rFonts w:hint="eastAsia" w:ascii="楷体_GB2312" w:hAnsi="楷体_GB2312" w:eastAsia="楷体_GB2312" w:cs="楷体_GB2312"/>
          <w:sz w:val="24"/>
          <w:szCs w:val="24"/>
        </w:rPr>
        <w:t>“</w:t>
      </w:r>
      <w:r>
        <w:rPr>
          <w:rFonts w:hint="eastAsia" w:ascii="楷体_GB2312" w:hAnsi="楷体_GB2312" w:eastAsia="楷体_GB2312" w:cs="楷体_GB2312"/>
          <w:b/>
          <w:bCs/>
          <w:color w:val="FF0000"/>
          <w:sz w:val="24"/>
          <w:szCs w:val="24"/>
        </w:rPr>
        <w:t>【红色文字】</w:t>
      </w:r>
      <w:r>
        <w:rPr>
          <w:rFonts w:hint="eastAsia" w:ascii="楷体_GB2312" w:hAnsi="楷体_GB2312" w:eastAsia="楷体_GB2312" w:cs="楷体_GB2312"/>
          <w:sz w:val="24"/>
          <w:szCs w:val="24"/>
        </w:rPr>
        <w:t>”为可选</w:t>
      </w:r>
      <w:r>
        <w:rPr>
          <w:rFonts w:hint="eastAsia" w:ascii="楷体_GB2312" w:hAnsi="楷体_GB2312" w:eastAsia="楷体_GB2312" w:cs="楷体_GB2312"/>
          <w:sz w:val="24"/>
          <w:szCs w:val="24"/>
          <w:lang w:val="en-US" w:eastAsia="zh-CN"/>
        </w:rPr>
        <w:t>情形</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val="en-US" w:eastAsia="zh-CN"/>
        </w:rPr>
        <w:t>应</w:t>
      </w:r>
      <w:r>
        <w:rPr>
          <w:rFonts w:hint="eastAsia" w:ascii="楷体_GB2312" w:hAnsi="楷体_GB2312" w:eastAsia="楷体_GB2312" w:cs="楷体_GB2312"/>
          <w:sz w:val="24"/>
          <w:szCs w:val="24"/>
        </w:rPr>
        <w:t>根据项目实际情况进行选择，若不选择添加的，应当删除括号及其内容。</w:t>
      </w:r>
    </w:p>
    <w:p>
      <w:pPr>
        <w:pStyle w:val="2"/>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480"/>
        <w:jc w:val="both"/>
        <w:textAlignment w:val="baseline"/>
        <w:rPr>
          <w:rFonts w:hint="eastAsia" w:ascii="楷体_GB2312" w:hAnsi="楷体_GB2312" w:eastAsia="楷体_GB2312" w:cs="楷体_GB2312"/>
          <w:bCs/>
          <w:kern w:val="2"/>
          <w:sz w:val="24"/>
          <w:szCs w:val="24"/>
        </w:rPr>
      </w:pPr>
      <w:r>
        <w:rPr>
          <w:rFonts w:hint="eastAsia" w:ascii="楷体_GB2312" w:hAnsi="楷体_GB2312" w:eastAsia="楷体_GB2312" w:cs="楷体_GB2312"/>
          <w:bCs/>
          <w:kern w:val="2"/>
          <w:sz w:val="24"/>
          <w:szCs w:val="24"/>
        </w:rPr>
        <w:t>（5）参考文本脚注中标明“（本脚注为提示性内容，添加使用时应删除）”的，使用时应当删除此脚注。</w:t>
      </w:r>
      <w:bookmarkEnd w:id="2"/>
    </w:p>
    <w:p>
      <w:pPr>
        <w:pStyle w:val="2"/>
        <w:ind w:firstLine="480"/>
        <w:rPr>
          <w:rFonts w:hint="eastAsia" w:ascii="楷体_GB2312" w:hAnsi="楷体_GB2312" w:eastAsia="楷体_GB2312" w:cs="楷体_GB2312"/>
          <w:bCs/>
          <w:kern w:val="2"/>
          <w:sz w:val="24"/>
          <w:szCs w:val="24"/>
        </w:rPr>
        <w:sectPr>
          <w:footerReference r:id="rId6" w:type="default"/>
          <w:footnotePr>
            <w:numRestart w:val="eachPage"/>
          </w:footnotePr>
          <w:pgSz w:w="11900" w:h="16838"/>
          <w:pgMar w:top="1440" w:right="1800" w:bottom="1440" w:left="1800" w:header="850" w:footer="992" w:gutter="0"/>
          <w:pgBorders>
            <w:top w:val="none" w:sz="0" w:space="0"/>
            <w:left w:val="none" w:sz="0" w:space="0"/>
            <w:bottom w:val="none" w:sz="0" w:space="0"/>
            <w:right w:val="none" w:sz="0" w:space="0"/>
          </w:pgBorders>
          <w:pgNumType w:start="1"/>
          <w:cols w:space="720" w:num="1"/>
          <w:docGrid w:linePitch="286" w:charSpace="0"/>
        </w:sectPr>
      </w:pPr>
    </w:p>
    <w:p>
      <w:pPr>
        <w:pStyle w:val="2"/>
        <w:ind w:firstLine="480"/>
        <w:rPr>
          <w:rFonts w:hint="eastAsia" w:ascii="楷体_GB2312" w:hAnsi="楷体_GB2312" w:eastAsia="楷体_GB2312" w:cs="楷体_GB2312"/>
          <w:bCs/>
          <w:kern w:val="2"/>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pStyle w:val="2"/>
        <w:ind w:firstLine="482"/>
        <w:rPr>
          <w:rFonts w:ascii="楷体_GB2312" w:hAnsi="楷体_GB2312" w:eastAsia="楷体_GB2312" w:cs="楷体_GB2312"/>
          <w:b/>
          <w:sz w:val="24"/>
          <w:szCs w:val="24"/>
        </w:rPr>
      </w:pPr>
    </w:p>
    <w:p>
      <w:pPr>
        <w:pStyle w:val="2"/>
        <w:ind w:firstLine="482"/>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keepNext w:val="0"/>
        <w:keepLines w:val="0"/>
        <w:pageBreakBefore w:val="0"/>
        <w:widowControl w:val="0"/>
        <w:kinsoku/>
        <w:wordWrap/>
        <w:overflowPunct/>
        <w:topLinePunct w:val="0"/>
        <w:autoSpaceDE w:val="0"/>
        <w:autoSpaceDN w:val="0"/>
        <w:bidi w:val="0"/>
        <w:adjustRightInd w:val="0"/>
        <w:snapToGrid/>
        <w:spacing w:after="0" w:line="300" w:lineRule="auto"/>
        <w:jc w:val="center"/>
        <w:textAlignment w:val="auto"/>
        <w:outlineLvl w:val="0"/>
        <w:rPr>
          <w:rFonts w:hint="default" w:ascii="楷体_GB2312" w:hAnsi="楷体_GB2312" w:eastAsia="楷体_GB2312" w:cs="楷体_GB2312"/>
          <w:b/>
          <w:bCs/>
          <w:kern w:val="0"/>
          <w:sz w:val="44"/>
          <w:szCs w:val="44"/>
          <w:lang w:val="en-US" w:eastAsia="zh-CN"/>
        </w:rPr>
      </w:pPr>
      <w:bookmarkStart w:id="6" w:name="_Toc1394"/>
      <w:bookmarkStart w:id="7" w:name="_Toc22973"/>
      <w:bookmarkStart w:id="8" w:name="_Toc14720"/>
      <w:bookmarkStart w:id="9" w:name="_Toc21210"/>
      <w:bookmarkStart w:id="10" w:name="_Toc10483"/>
      <w:bookmarkStart w:id="11" w:name="_Toc9233"/>
      <w:bookmarkStart w:id="12" w:name="_Toc29839"/>
      <w:bookmarkStart w:id="13" w:name="_Toc6599"/>
      <w:bookmarkStart w:id="14" w:name="_Toc19045"/>
      <w:bookmarkStart w:id="15" w:name="_Toc28779"/>
      <w:bookmarkStart w:id="16" w:name="_Toc22576"/>
      <w:r>
        <w:rPr>
          <w:rFonts w:hint="eastAsia" w:ascii="楷体_GB2312" w:hAnsi="楷体_GB2312" w:eastAsia="楷体_GB2312" w:cs="楷体_GB2312"/>
          <w:b/>
          <w:bCs/>
          <w:kern w:val="0"/>
          <w:sz w:val="44"/>
          <w:szCs w:val="44"/>
        </w:rPr>
        <w:t xml:space="preserve">第二部分 </w:t>
      </w:r>
      <w:bookmarkEnd w:id="6"/>
      <w:bookmarkEnd w:id="7"/>
      <w:bookmarkEnd w:id="8"/>
      <w:bookmarkEnd w:id="9"/>
      <w:bookmarkEnd w:id="10"/>
      <w:bookmarkEnd w:id="11"/>
      <w:bookmarkEnd w:id="12"/>
      <w:bookmarkEnd w:id="13"/>
      <w:bookmarkEnd w:id="14"/>
      <w:bookmarkEnd w:id="15"/>
      <w:r>
        <w:rPr>
          <w:rFonts w:hint="eastAsia" w:ascii="楷体_GB2312" w:hAnsi="楷体_GB2312" w:eastAsia="楷体_GB2312" w:cs="楷体_GB2312"/>
          <w:b/>
          <w:bCs/>
          <w:kern w:val="0"/>
          <w:sz w:val="44"/>
          <w:szCs w:val="44"/>
          <w:lang w:val="en-US" w:eastAsia="zh-CN"/>
        </w:rPr>
        <w:t>募集说明书（参考文本）</w:t>
      </w:r>
      <w:bookmarkEnd w:id="16"/>
    </w:p>
    <w:p>
      <w:pPr>
        <w:pStyle w:val="2"/>
        <w:ind w:firstLine="482"/>
        <w:jc w:val="both"/>
        <w:rPr>
          <w:rFonts w:ascii="楷体_GB2312" w:hAnsi="楷体_GB2312" w:eastAsia="楷体_GB2312" w:cs="楷体_GB2312"/>
          <w:b/>
          <w:sz w:val="24"/>
          <w:szCs w:val="24"/>
        </w:rPr>
      </w:pPr>
    </w:p>
    <w:p>
      <w:pPr>
        <w:pStyle w:val="2"/>
        <w:widowControl/>
        <w:snapToGrid w:val="0"/>
        <w:ind w:firstLine="0" w:firstLineChars="0"/>
        <w:jc w:val="center"/>
        <w:textAlignment w:val="baseline"/>
        <w:rPr>
          <w:rFonts w:hint="eastAsia" w:ascii="楷体_GB2312" w:hAnsi="楷体_GB2312" w:eastAsia="楷体_GB2312" w:cs="楷体_GB2312"/>
          <w:b/>
          <w:color w:val="000000"/>
          <w:kern w:val="2"/>
          <w:sz w:val="40"/>
          <w:szCs w:val="22"/>
        </w:rPr>
        <w:sectPr>
          <w:footerReference r:id="rId7" w:type="default"/>
          <w:footnotePr>
            <w:numRestart w:val="eachPage"/>
          </w:footnotePr>
          <w:pgSz w:w="11900" w:h="16838"/>
          <w:pgMar w:top="1440" w:right="1800" w:bottom="1440" w:left="1800" w:header="850" w:footer="992" w:gutter="0"/>
          <w:pgBorders>
            <w:top w:val="none" w:sz="0" w:space="0"/>
            <w:left w:val="none" w:sz="0" w:space="0"/>
            <w:bottom w:val="none" w:sz="0" w:space="0"/>
            <w:right w:val="none" w:sz="0" w:space="0"/>
          </w:pgBorders>
          <w:pgNumType w:start="1"/>
          <w:cols w:space="720" w:num="1"/>
          <w:docGrid w:linePitch="286" w:charSpace="0"/>
        </w:sectPr>
      </w:pPr>
    </w:p>
    <w:p>
      <w:pPr>
        <w:pStyle w:val="2"/>
        <w:keepNext w:val="0"/>
        <w:keepLines w:val="0"/>
        <w:pageBreakBefore w:val="0"/>
        <w:widowControl/>
        <w:kinsoku/>
        <w:wordWrap/>
        <w:overflowPunct/>
        <w:topLinePunct w:val="0"/>
        <w:autoSpaceDE/>
        <w:autoSpaceDN/>
        <w:bidi w:val="0"/>
        <w:adjustRightInd/>
        <w:snapToGrid w:val="0"/>
        <w:spacing w:before="144" w:beforeLines="50" w:after="144" w:afterLines="50" w:line="240" w:lineRule="atLeast"/>
        <w:ind w:firstLine="0" w:firstLineChars="0"/>
        <w:jc w:val="center"/>
        <w:textAlignment w:val="baseline"/>
        <w:rPr>
          <w:rFonts w:hint="eastAsia" w:ascii="楷体_GB2312" w:hAnsi="楷体_GB2312" w:eastAsia="楷体_GB2312" w:cs="楷体_GB2312"/>
          <w:b/>
          <w:color w:val="000000"/>
          <w:sz w:val="40"/>
          <w:szCs w:val="22"/>
        </w:rPr>
      </w:pPr>
      <w:r>
        <w:rPr>
          <w:rFonts w:hint="eastAsia" w:ascii="楷体_GB2312" w:hAnsi="楷体_GB2312" w:eastAsia="楷体_GB2312" w:cs="楷体_GB2312"/>
          <w:b/>
          <w:color w:val="000000"/>
          <w:kern w:val="2"/>
          <w:sz w:val="40"/>
          <w:szCs w:val="22"/>
        </w:rPr>
        <w:t>【</w:t>
      </w:r>
      <w:r>
        <w:rPr>
          <w:rFonts w:hint="eastAsia" w:ascii="楷体_GB2312" w:hAnsi="楷体_GB2312" w:eastAsia="楷体_GB2312" w:cs="楷体_GB2312"/>
          <w:b/>
          <w:i/>
          <w:iCs/>
          <w:color w:val="FF0000"/>
          <w:kern w:val="2"/>
          <w:sz w:val="40"/>
          <w:szCs w:val="22"/>
          <w:u w:val="single"/>
        </w:rPr>
        <w:t>发起机构</w:t>
      </w:r>
      <w:r>
        <w:rPr>
          <w:rFonts w:hint="eastAsia" w:ascii="楷体_GB2312" w:hAnsi="楷体_GB2312" w:eastAsia="楷体_GB2312" w:cs="楷体_GB2312"/>
          <w:b/>
          <w:color w:val="000000"/>
          <w:kern w:val="2"/>
          <w:sz w:val="40"/>
          <w:szCs w:val="22"/>
        </w:rPr>
        <w:t>】公司</w:t>
      </w:r>
      <w:r>
        <w:rPr>
          <w:rFonts w:hint="eastAsia" w:ascii="楷体_GB2312" w:hAnsi="楷体_GB2312" w:eastAsia="楷体_GB2312" w:cs="楷体_GB2312"/>
          <w:b/>
          <w:color w:val="000000"/>
          <w:sz w:val="40"/>
          <w:szCs w:val="22"/>
        </w:rPr>
        <w:t>【  】年度</w:t>
      </w:r>
    </w:p>
    <w:p>
      <w:pPr>
        <w:keepNext w:val="0"/>
        <w:keepLines w:val="0"/>
        <w:pageBreakBefore w:val="0"/>
        <w:kinsoku/>
        <w:wordWrap/>
        <w:overflowPunct/>
        <w:topLinePunct w:val="0"/>
        <w:autoSpaceDE/>
        <w:autoSpaceDN/>
        <w:bidi w:val="0"/>
        <w:adjustRightInd/>
        <w:spacing w:before="144" w:beforeLines="50" w:after="144" w:afterLines="50" w:line="240" w:lineRule="atLeast"/>
        <w:jc w:val="center"/>
        <w:rPr>
          <w:rFonts w:hint="eastAsia" w:ascii="楷体_GB2312" w:hAnsi="楷体_GB2312" w:eastAsia="楷体_GB2312" w:cs="楷体_GB2312"/>
          <w:b/>
          <w:color w:val="000000"/>
          <w:sz w:val="40"/>
        </w:rPr>
      </w:pPr>
      <w:r>
        <w:rPr>
          <w:rFonts w:hint="eastAsia" w:ascii="楷体_GB2312" w:hAnsi="楷体_GB2312" w:eastAsia="楷体_GB2312" w:cs="楷体_GB2312"/>
          <w:b/>
          <w:color w:val="000000"/>
          <w:sz w:val="40"/>
        </w:rPr>
        <w:t>【</w:t>
      </w:r>
      <w:r>
        <w:rPr>
          <w:rFonts w:hint="eastAsia" w:ascii="楷体_GB2312" w:hAnsi="楷体_GB2312" w:eastAsia="楷体_GB2312" w:cs="楷体_GB2312"/>
          <w:b/>
          <w:i/>
          <w:iCs/>
          <w:color w:val="FF0000"/>
          <w:sz w:val="40"/>
          <w:u w:val="single"/>
        </w:rPr>
        <w:t>项目标识</w:t>
      </w:r>
      <w:r>
        <w:rPr>
          <w:rFonts w:hint="eastAsia" w:ascii="楷体_GB2312" w:hAnsi="楷体_GB2312" w:eastAsia="楷体_GB2312" w:cs="楷体_GB2312"/>
          <w:b/>
          <w:color w:val="000000"/>
          <w:sz w:val="40"/>
        </w:rPr>
        <w:t>】第【</w:t>
      </w:r>
      <w:r>
        <w:rPr>
          <w:rFonts w:hint="eastAsia" w:ascii="楷体_GB2312" w:hAnsi="楷体_GB2312" w:eastAsia="楷体_GB2312" w:cs="楷体_GB2312"/>
          <w:b/>
          <w:color w:val="000000"/>
          <w:sz w:val="40"/>
          <w:u w:val="single"/>
        </w:rPr>
        <w:t xml:space="preserve">  </w:t>
      </w:r>
      <w:r>
        <w:rPr>
          <w:rFonts w:hint="eastAsia" w:ascii="楷体_GB2312" w:hAnsi="楷体_GB2312" w:eastAsia="楷体_GB2312" w:cs="楷体_GB2312"/>
          <w:b/>
          <w:color w:val="000000"/>
          <w:sz w:val="40"/>
        </w:rPr>
        <w:t>】期资产支持商业票据</w:t>
      </w:r>
    </w:p>
    <w:p>
      <w:pPr>
        <w:keepNext w:val="0"/>
        <w:keepLines w:val="0"/>
        <w:pageBreakBefore w:val="0"/>
        <w:kinsoku/>
        <w:wordWrap/>
        <w:overflowPunct/>
        <w:topLinePunct w:val="0"/>
        <w:autoSpaceDE/>
        <w:autoSpaceDN/>
        <w:bidi w:val="0"/>
        <w:adjustRightInd/>
        <w:spacing w:before="144" w:beforeLines="50" w:after="144" w:afterLines="50" w:line="240" w:lineRule="atLeast"/>
        <w:jc w:val="center"/>
        <w:rPr>
          <w:rFonts w:hint="eastAsia"/>
        </w:rPr>
      </w:pPr>
      <w:r>
        <w:rPr>
          <w:rFonts w:hint="eastAsia" w:ascii="楷体_GB2312" w:hAnsi="楷体_GB2312" w:eastAsia="楷体_GB2312" w:cs="楷体_GB2312"/>
          <w:b/>
          <w:color w:val="000000"/>
          <w:sz w:val="40"/>
        </w:rPr>
        <w:t>募集说明书</w:t>
      </w:r>
      <w:r>
        <w:rPr>
          <w:rStyle w:val="48"/>
          <w:rFonts w:hint="eastAsia" w:ascii="楷体_GB2312" w:hAnsi="楷体_GB2312" w:eastAsia="楷体_GB2312" w:cs="楷体_GB2312"/>
          <w:b/>
          <w:color w:val="000000"/>
          <w:sz w:val="40"/>
        </w:rPr>
        <w:footnoteReference w:id="1"/>
      </w:r>
    </w:p>
    <w:tbl>
      <w:tblPr>
        <w:tblStyle w:val="41"/>
        <w:tblW w:w="8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94"/>
        <w:gridCol w:w="5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发起机构</w:t>
            </w:r>
          </w:p>
        </w:tc>
        <w:tc>
          <w:tcPr>
            <w:tcW w:w="5638" w:type="dxa"/>
            <w:noWrap w:val="0"/>
            <w:vAlign w:val="center"/>
          </w:tcPr>
          <w:p>
            <w:pPr>
              <w:widowControl/>
              <w:spacing w:after="0" w:line="240" w:lineRule="auto"/>
              <w:jc w:val="center"/>
              <w:rPr>
                <w:rFonts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发行载体管理机构</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牵头主承销商</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联席主承销商（如有）</w:t>
            </w:r>
            <w:r>
              <w:rPr>
                <w:rStyle w:val="48"/>
                <w:rFonts w:hint="eastAsia" w:ascii="楷体_GB2312" w:hAnsi="楷体_GB2312" w:eastAsia="楷体_GB2312" w:cs="楷体_GB2312"/>
                <w:b/>
                <w:bCs/>
                <w:color w:val="000000"/>
                <w:kern w:val="0"/>
                <w:sz w:val="24"/>
                <w:szCs w:val="24"/>
              </w:rPr>
              <w:footnoteReference w:id="2"/>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簿记管理人</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注册金额</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人民币【  】亿元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本期发行金额</w:t>
            </w:r>
            <w:r>
              <w:rPr>
                <w:rStyle w:val="48"/>
                <w:rFonts w:hint="eastAsia" w:ascii="楷体_GB2312" w:hAnsi="楷体_GB2312" w:eastAsia="楷体_GB2312" w:cs="楷体_GB2312"/>
                <w:b/>
                <w:bCs/>
                <w:color w:val="000000"/>
                <w:kern w:val="0"/>
                <w:sz w:val="24"/>
                <w:szCs w:val="24"/>
              </w:rPr>
              <w:footnoteReference w:id="3"/>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人民币【  】亿元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基础资产类型</w:t>
            </w:r>
          </w:p>
        </w:tc>
        <w:tc>
          <w:tcPr>
            <w:tcW w:w="5638" w:type="dxa"/>
            <w:noWrap w:val="0"/>
            <w:vAlign w:val="center"/>
          </w:tcPr>
          <w:p>
            <w:pPr>
              <w:widowControl/>
              <w:spacing w:after="0" w:line="240" w:lineRule="auto"/>
              <w:jc w:val="center"/>
              <w:rPr>
                <w:rFonts w:ascii="楷体_GB2312" w:hAnsi="楷体_GB2312" w:eastAsia="楷体_GB2312" w:cs="楷体_GB2312"/>
                <w:color w:val="000000"/>
                <w:kern w:val="0"/>
                <w:sz w:val="24"/>
                <w:szCs w:val="24"/>
                <w:u w:val="dash"/>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应收账款/租赁债权/（其他）</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资产池类型</w:t>
            </w:r>
          </w:p>
        </w:tc>
        <w:tc>
          <w:tcPr>
            <w:tcW w:w="5638" w:type="dxa"/>
            <w:noWrap w:val="0"/>
            <w:vAlign w:val="center"/>
          </w:tcPr>
          <w:p>
            <w:pPr>
              <w:widowControl/>
              <w:spacing w:after="0" w:line="240" w:lineRule="auto"/>
              <w:jc w:val="center"/>
              <w:rPr>
                <w:rFonts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静态池/动态池</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信用增级机构</w:t>
            </w:r>
            <w:r>
              <w:rPr>
                <w:rStyle w:val="48"/>
                <w:rFonts w:hint="eastAsia" w:ascii="楷体_GB2312" w:hAnsi="楷体_GB2312" w:eastAsia="楷体_GB2312" w:cs="楷体_GB2312"/>
                <w:b/>
                <w:bCs/>
                <w:color w:val="000000"/>
                <w:kern w:val="0"/>
                <w:sz w:val="24"/>
                <w:szCs w:val="24"/>
              </w:rPr>
              <w:footnoteReference w:id="4"/>
            </w:r>
            <w:r>
              <w:rPr>
                <w:rFonts w:hint="eastAsia" w:ascii="楷体_GB2312" w:hAnsi="楷体_GB2312" w:eastAsia="楷体_GB2312" w:cs="楷体_GB2312"/>
                <w:b/>
                <w:bCs/>
                <w:color w:val="000000"/>
                <w:kern w:val="0"/>
                <w:sz w:val="24"/>
                <w:szCs w:val="24"/>
              </w:rPr>
              <w:t>（如有）</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bl>
    <w:p>
      <w:pPr>
        <w:spacing w:line="240" w:lineRule="auto"/>
        <w:rPr>
          <w:rFonts w:hint="eastAsia" w:ascii="楷体_GB2312" w:hAnsi="楷体_GB2312" w:eastAsia="楷体_GB2312" w:cs="楷体_GB2312"/>
        </w:rPr>
      </w:pPr>
    </w:p>
    <w:tbl>
      <w:tblPr>
        <w:tblStyle w:val="41"/>
        <w:tblW w:w="111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1"/>
        <w:gridCol w:w="1304"/>
        <w:gridCol w:w="1020"/>
        <w:gridCol w:w="1020"/>
        <w:gridCol w:w="737"/>
        <w:gridCol w:w="2438"/>
        <w:gridCol w:w="1701"/>
        <w:gridCol w:w="1020"/>
        <w:gridCol w:w="7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各档名称</w:t>
            </w:r>
            <w:r>
              <w:rPr>
                <w:rStyle w:val="48"/>
                <w:rFonts w:hint="eastAsia" w:ascii="楷体_GB2312" w:hAnsi="楷体_GB2312" w:eastAsia="楷体_GB2312" w:cs="楷体_GB2312"/>
                <w:b/>
                <w:color w:val="000000"/>
                <w:kern w:val="0"/>
                <w:szCs w:val="21"/>
              </w:rPr>
              <w:footnoteReference w:id="5"/>
            </w:r>
          </w:p>
        </w:tc>
        <w:tc>
          <w:tcPr>
            <w:tcW w:w="1304"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是否本期</w:t>
            </w:r>
          </w:p>
          <w:p>
            <w:pPr>
              <w:widowControl/>
              <w:spacing w:after="0" w:line="240" w:lineRule="auto"/>
              <w:jc w:val="center"/>
              <w:rPr>
                <w:szCs w:val="21"/>
              </w:rPr>
            </w:pPr>
            <w:r>
              <w:rPr>
                <w:rFonts w:hint="eastAsia" w:ascii="楷体_GB2312" w:hAnsi="楷体_GB2312" w:eastAsia="楷体_GB2312" w:cs="楷体_GB2312"/>
                <w:b/>
                <w:color w:val="000000"/>
                <w:kern w:val="0"/>
                <w:szCs w:val="21"/>
              </w:rPr>
              <w:t>发行</w:t>
            </w:r>
          </w:p>
        </w:tc>
        <w:tc>
          <w:tcPr>
            <w:tcW w:w="1020"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金额</w:t>
            </w:r>
          </w:p>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（亿元）</w:t>
            </w:r>
          </w:p>
        </w:tc>
        <w:tc>
          <w:tcPr>
            <w:tcW w:w="1020"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占比</w:t>
            </w:r>
          </w:p>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w:t>
            </w:r>
          </w:p>
        </w:tc>
        <w:tc>
          <w:tcPr>
            <w:tcW w:w="737" w:type="dxa"/>
            <w:noWrap w:val="0"/>
            <w:vAlign w:val="center"/>
          </w:tcPr>
          <w:p>
            <w:pPr>
              <w:widowControl/>
              <w:spacing w:after="0" w:line="240" w:lineRule="auto"/>
              <w:jc w:val="center"/>
              <w:rPr>
                <w:rFonts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期限</w:t>
            </w:r>
          </w:p>
        </w:tc>
        <w:tc>
          <w:tcPr>
            <w:tcW w:w="2438"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w:t>
            </w:r>
            <w:r>
              <w:rPr>
                <w:rFonts w:hint="eastAsia" w:ascii="楷体_GB2312" w:hAnsi="楷体_GB2312" w:eastAsia="楷体_GB2312" w:cs="楷体_GB2312"/>
                <w:b/>
                <w:color w:val="000000"/>
                <w:kern w:val="0"/>
                <w:szCs w:val="21"/>
                <w:u w:val="single"/>
              </w:rPr>
              <w:t>预期到期日/到期日</w:t>
            </w:r>
            <w:r>
              <w:rPr>
                <w:rFonts w:hint="eastAsia" w:ascii="楷体_GB2312" w:hAnsi="楷体_GB2312" w:eastAsia="楷体_GB2312" w:cs="楷体_GB2312"/>
                <w:b/>
                <w:color w:val="000000"/>
                <w:kern w:val="0"/>
                <w:szCs w:val="21"/>
              </w:rPr>
              <w:t>】</w:t>
            </w:r>
            <w:r>
              <w:rPr>
                <w:rStyle w:val="48"/>
                <w:rFonts w:hint="eastAsia" w:ascii="楷体_GB2312" w:hAnsi="楷体_GB2312" w:eastAsia="楷体_GB2312" w:cs="楷体_GB2312"/>
                <w:b/>
                <w:color w:val="000000"/>
                <w:kern w:val="0"/>
                <w:szCs w:val="21"/>
              </w:rPr>
              <w:footnoteReference w:id="6"/>
            </w:r>
          </w:p>
        </w:tc>
        <w:tc>
          <w:tcPr>
            <w:tcW w:w="1701"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还本付息方式</w:t>
            </w:r>
          </w:p>
        </w:tc>
        <w:tc>
          <w:tcPr>
            <w:tcW w:w="1020"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评级</w:t>
            </w:r>
          </w:p>
          <w:p>
            <w:pPr>
              <w:widowControl/>
              <w:spacing w:after="0" w:line="240" w:lineRule="auto"/>
              <w:jc w:val="center"/>
              <w:rPr>
                <w:rFonts w:hint="eastAsia" w:eastAsia="楷体_GB2312"/>
                <w:szCs w:val="21"/>
              </w:rPr>
            </w:pPr>
            <w:r>
              <w:rPr>
                <w:rFonts w:hint="eastAsia" w:ascii="楷体_GB2312" w:hAnsi="楷体_GB2312" w:eastAsia="楷体_GB2312" w:cs="楷体_GB2312"/>
                <w:b/>
                <w:color w:val="000000"/>
                <w:kern w:val="0"/>
                <w:szCs w:val="21"/>
              </w:rPr>
              <w:t>（如有）</w:t>
            </w:r>
          </w:p>
        </w:tc>
        <w:tc>
          <w:tcPr>
            <w:tcW w:w="737"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利率类型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优先级</w:t>
            </w:r>
          </w:p>
        </w:tc>
        <w:tc>
          <w:tcPr>
            <w:tcW w:w="1304"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本期发行/存续</w:t>
            </w: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43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c>
          <w:tcPr>
            <w:tcW w:w="170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737"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固定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次级</w:t>
            </w:r>
          </w:p>
        </w:tc>
        <w:tc>
          <w:tcPr>
            <w:tcW w:w="1304"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本期发行/存续</w:t>
            </w: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43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c>
          <w:tcPr>
            <w:tcW w:w="170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b/>
                <w:bCs/>
                <w:color w:val="000000"/>
                <w:kern w:val="0"/>
                <w:szCs w:val="21"/>
              </w:rPr>
              <w:t>合计</w:t>
            </w:r>
          </w:p>
        </w:tc>
        <w:tc>
          <w:tcPr>
            <w:tcW w:w="1304"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1020"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100%</w:t>
            </w:r>
          </w:p>
        </w:tc>
        <w:tc>
          <w:tcPr>
            <w:tcW w:w="737"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243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170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r>
    </w:tbl>
    <w:p>
      <w:pPr>
        <w:pStyle w:val="2"/>
        <w:ind w:firstLine="400"/>
        <w:rPr>
          <w:rFonts w:hint="eastAsia"/>
        </w:rPr>
      </w:pPr>
    </w:p>
    <w:p>
      <w:pPr>
        <w:spacing w:line="240" w:lineRule="auto"/>
        <w:jc w:val="center"/>
        <w:rPr>
          <w:rFonts w:hint="eastAsia" w:ascii="楷体_GB2312" w:hAnsi="楷体_GB2312" w:eastAsia="楷体_GB2312" w:cs="楷体_GB2312"/>
          <w:kern w:val="0"/>
          <w:sz w:val="28"/>
          <w:szCs w:val="28"/>
        </w:rPr>
      </w:pPr>
    </w:p>
    <w:p>
      <w:pPr>
        <w:pStyle w:val="2"/>
        <w:ind w:firstLine="400"/>
        <w:rPr>
          <w:rFonts w:hint="eastAsia"/>
        </w:rPr>
      </w:pPr>
    </w:p>
    <w:p>
      <w:pPr>
        <w:spacing w:line="240" w:lineRule="auto"/>
        <w:jc w:val="cente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二〇二【</w:t>
      </w:r>
      <w:r>
        <w:rPr>
          <w:rFonts w:hint="eastAsia" w:ascii="楷体_GB2312" w:hAnsi="楷体_GB2312" w:eastAsia="楷体_GB2312" w:cs="楷体_GB2312"/>
          <w:kern w:val="0"/>
          <w:sz w:val="28"/>
          <w:szCs w:val="28"/>
          <w:u w:val="single"/>
        </w:rPr>
        <w:t xml:space="preserve">  </w:t>
      </w:r>
      <w:r>
        <w:rPr>
          <w:rFonts w:hint="eastAsia" w:ascii="楷体_GB2312" w:hAnsi="楷体_GB2312" w:eastAsia="楷体_GB2312" w:cs="楷体_GB2312"/>
          <w:kern w:val="0"/>
          <w:sz w:val="28"/>
          <w:szCs w:val="28"/>
        </w:rPr>
        <w:t>】年【</w:t>
      </w:r>
      <w:r>
        <w:rPr>
          <w:rFonts w:hint="eastAsia" w:ascii="楷体_GB2312" w:hAnsi="楷体_GB2312" w:eastAsia="楷体_GB2312" w:cs="楷体_GB2312"/>
          <w:kern w:val="0"/>
          <w:sz w:val="28"/>
          <w:szCs w:val="28"/>
          <w:u w:val="single"/>
        </w:rPr>
        <w:t xml:space="preserve">  </w:t>
      </w:r>
      <w:r>
        <w:rPr>
          <w:rFonts w:hint="eastAsia" w:ascii="楷体_GB2312" w:hAnsi="楷体_GB2312" w:eastAsia="楷体_GB2312" w:cs="楷体_GB2312"/>
          <w:kern w:val="0"/>
          <w:sz w:val="28"/>
          <w:szCs w:val="28"/>
        </w:rPr>
        <w:t>】月</w:t>
      </w:r>
    </w:p>
    <w:p>
      <w:pPr>
        <w:pStyle w:val="2"/>
        <w:ind w:firstLine="400"/>
        <w:rPr>
          <w:rFonts w:hint="eastAsia"/>
        </w:rPr>
        <w:sectPr>
          <w:footerReference r:id="rId8" w:type="default"/>
          <w:footnotePr>
            <w:numRestart w:val="eachPage"/>
          </w:footnotePr>
          <w:pgSz w:w="11900" w:h="16838"/>
          <w:pgMar w:top="720" w:right="1803" w:bottom="720" w:left="1803" w:header="0" w:footer="0" w:gutter="0"/>
          <w:pgBorders>
            <w:top w:val="none" w:sz="0" w:space="0"/>
            <w:left w:val="none" w:sz="0" w:space="0"/>
            <w:bottom w:val="none" w:sz="0" w:space="0"/>
            <w:right w:val="none" w:sz="0" w:space="0"/>
          </w:pgBorders>
          <w:cols w:space="720" w:num="1"/>
          <w:docGrid w:linePitch="286" w:charSpace="0"/>
        </w:sectPr>
      </w:pP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jc w:val="center"/>
        <w:textAlignment w:val="auto"/>
        <w:outlineLvl w:val="1"/>
        <w:rPr>
          <w:rFonts w:hint="eastAsia" w:ascii="楷体_GB2312" w:hAnsi="楷体_GB2312" w:eastAsia="楷体_GB2312" w:cs="楷体_GB2312"/>
          <w:b/>
          <w:bCs/>
          <w:kern w:val="0"/>
          <w:sz w:val="30"/>
          <w:szCs w:val="30"/>
        </w:rPr>
      </w:pPr>
      <w:bookmarkStart w:id="17" w:name="_Toc532"/>
      <w:bookmarkStart w:id="18" w:name="_Toc17580"/>
      <w:bookmarkStart w:id="19" w:name="_Toc11764"/>
      <w:bookmarkStart w:id="20" w:name="_Toc28293"/>
      <w:r>
        <w:rPr>
          <w:rFonts w:hint="eastAsia" w:ascii="楷体_GB2312" w:hAnsi="楷体_GB2312" w:eastAsia="楷体_GB2312" w:cs="楷体_GB2312"/>
          <w:b/>
          <w:bCs/>
          <w:kern w:val="0"/>
          <w:sz w:val="30"/>
          <w:szCs w:val="30"/>
        </w:rPr>
        <w:t>声明与承诺</w:t>
      </w:r>
      <w:bookmarkEnd w:id="17"/>
      <w:bookmarkEnd w:id="18"/>
      <w:bookmarkEnd w:id="19"/>
      <w:bookmarkEnd w:id="20"/>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各方均了解本期资产支持商业票据已在交易商协会注册，注册不代表交易商协会对本期资产支持商业票据的投资价值作出任何评价，也不代表对本期资产支持商业票据的投资风险作出任何判断。</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发起机构及时、公平地履行信息披露义务，发起机构及全体董事、监事、高级管理人员或履行同等职责的人员保证募集说明书信息披露的真实、准确、完整，不存在虚假记载、误导性陈述或重大遗漏。董事、监事、高级管理人员或履行同等职责的人员不能保证所披露的信息真实、准确、完整的，作出相应声明并说明理由。</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发起机构等信息披露义务人未按照规定履行信息披露义务或所披露信息存在虚假记载、误导性陈述或重大遗漏，给资产支持商业票据投资人造成损失的，依法承担赔偿责任。发起机构的控股股东、实际控制人、董事、监事、高级管理人员和其他直接责任人员，依法与发起机构承担连带赔偿责任，但是能够证明自己没有过错的除外。</w:t>
      </w:r>
    </w:p>
    <w:p>
      <w:pPr>
        <w:pStyle w:val="2"/>
        <w:keepNext w:val="0"/>
        <w:keepLines w:val="0"/>
        <w:pageBreakBefore w:val="0"/>
        <w:widowControl w:val="0"/>
        <w:kinsoku/>
        <w:wordWrap/>
        <w:overflowPunct/>
        <w:topLinePunct w:val="0"/>
        <w:bidi w:val="0"/>
        <w:snapToGrid/>
        <w:spacing w:before="144" w:beforeLines="50" w:after="144" w:afterLines="50" w:line="240" w:lineRule="atLeast"/>
        <w:ind w:firstLine="48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发行载体管理机构及时、公平地履行信息披露义务，保证募集说明书信息披露的真实、准确、完整，不存在虚假记载、误导性陈述或重大遗漏。未按照规定履行信息披露义务或所披露信息存在虚假记载、误导性陈述或重大遗漏，给资产支持商业票据投资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发起机构、发行载体管理机构或其授权的机构已就募集说明书中引用中介机构意见的内容向相关中介机构进行了确认，中介机构确认募集说明书所引用的内容与其就本期资产支持商业票据发行出具的相关意见不存在矛盾，对所引用的内容无异议。中介机构未确认或无法保证一致性或对引用内容有异议的，发起机构、发行载体管理机构和相关中介机构应对异议情况进行披露。</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对预测性信息的陈述是基于募集说明书签署日的事件或信息，并基于当前的预期、假设、估计和预测，不存在误导投资人的故意。请投资人注意预测性存在固有的风险和不确定性，许多因素可能导致预测和实际结果存在偏差。投资人不应过度依赖前瞻性陈述。</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发起机构、发行载体管理机构根据法律法规的规定、交易商协会相关自律规则的规定和本募集说明书的约定履行义务，接受投资人监督，不因投资人和资产支持商业票据持有人的变化影响上述义务的履行。</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截至本募集说明书签署日，除已披露信息外，无其他影响兑付本期资产支持商业票据的重大事项。</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本募集说明书索引内容，投资人可通过规定的信息披露渠道查阅募集说明书、存续期信息披露等文件</w:t>
      </w:r>
      <w:r>
        <w:rPr>
          <w:rStyle w:val="48"/>
          <w:rFonts w:hint="eastAsia" w:ascii="楷体_GB2312" w:hAnsi="楷体_GB2312" w:eastAsia="楷体_GB2312" w:cs="楷体_GB2312"/>
          <w:kern w:val="0"/>
          <w:sz w:val="24"/>
          <w:szCs w:val="24"/>
        </w:rPr>
        <w:footnoteReference w:id="7"/>
      </w:r>
      <w:r>
        <w:rPr>
          <w:rFonts w:hint="eastAsia" w:ascii="楷体_GB2312" w:hAnsi="楷体_GB2312" w:eastAsia="楷体_GB2312" w:cs="楷体_GB2312"/>
          <w:kern w:val="0"/>
          <w:sz w:val="24"/>
          <w:szCs w:val="24"/>
        </w:rPr>
        <w:t>，相关文件链接已在对应章节进行披露。索引内容也是募集说明书的组成部分，发起机构、发行载体管理机构、中介机构及相关人员应当对其承担相应的法律责任。</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b/>
          <w:bCs/>
          <w:color w:val="FF0000"/>
          <w:kern w:val="0"/>
          <w:sz w:val="24"/>
          <w:szCs w:val="24"/>
        </w:rPr>
        <w:t>【涉密企业应声明】</w:t>
      </w:r>
      <w:r>
        <w:rPr>
          <w:rFonts w:hint="eastAsia" w:ascii="楷体_GB2312" w:hAnsi="楷体_GB2312" w:eastAsia="楷体_GB2312" w:cs="楷体_GB2312"/>
          <w:kern w:val="0"/>
          <w:sz w:val="24"/>
          <w:szCs w:val="24"/>
        </w:rPr>
        <w:t>发起机构声明：“本公司承诺，本公司发行资产支持商业票据所披露的全部信息不涉及国家秘密，因披露信息产生的一切后果由本公司自行承担。”</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投资人购买本期资产支持商业票据，应当认真阅读本募集说明书及有关的信息披露文件，对信息披露的真实性、准确性、完整性和及时性进行独立分析，并据以独立判断投资价值，自行承担与其有关的任何投资风险。资产支持商业票据仅代表信托权益的相应份额，不属于发行载体管理机构的负债。认购或受让资产支持商业票据的投资人，视为作为受益人接受本资产支持商业票据项下《信托合同》的全部约定。发起机构、发行载体管理机构、保管银行及其他业务参与人因依法解散、被依法撤销或者宣告破产等原因进行清算的，信托资产不属于其清算资产。</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凡通过认购、受让等合法手段自愿取得并持有本期资产支持商业票据的投资人，均视同自愿接受本募集说明书对各项权利义务的约定，了解本期资产支持商业票据风险特征和投资流程，具有承担该资产支持商业票据投资风险的意愿和能力，同意发起机构、发行载体管理机构及主承销商按照相关规则增加投资人，认可发起机构信息披露标准和频率，了解、愿意并有能力承担本期资产支持商业票据投资风险，自愿接受交易商协会自律管理。</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textAlignment w:val="auto"/>
        <w:rPr>
          <w:rFonts w:hint="eastAsia"/>
        </w:rPr>
      </w:pPr>
      <w:r>
        <w:rPr>
          <w:rFonts w:hint="eastAsia" w:ascii="楷体_GB2312" w:hAnsi="楷体_GB2312" w:eastAsia="楷体_GB2312" w:cs="楷体_GB2312"/>
          <w:kern w:val="0"/>
          <w:sz w:val="24"/>
          <w:szCs w:val="24"/>
        </w:rPr>
        <w:t>上述声明、保证和承诺是本募集说明书的组成部分，对声明各方具有不可撤销的法律约束力。</w:t>
      </w:r>
    </w:p>
    <w:p>
      <w:pPr>
        <w:pStyle w:val="2"/>
        <w:spacing w:after="120" w:afterLines="50"/>
        <w:ind w:firstLine="480"/>
        <w:rPr>
          <w:rFonts w:hint="eastAsia"/>
          <w:sz w:val="24"/>
          <w:szCs w:val="24"/>
        </w:rPr>
        <w:sectPr>
          <w:footerReference r:id="rId9" w:type="default"/>
          <w:footnotePr>
            <w:numRestart w:val="eachPage"/>
          </w:footnotePr>
          <w:pgSz w:w="11900" w:h="16838"/>
          <w:pgMar w:top="1440" w:right="1800" w:bottom="1440" w:left="1800" w:header="850" w:footer="992" w:gutter="0"/>
          <w:pgBorders>
            <w:top w:val="none" w:sz="0" w:space="0"/>
            <w:left w:val="none" w:sz="0" w:space="0"/>
            <w:bottom w:val="none" w:sz="0" w:space="0"/>
            <w:right w:val="none" w:sz="0" w:space="0"/>
          </w:pgBorders>
          <w:cols w:space="720" w:num="1"/>
          <w:docGrid w:linePitch="286" w:charSpace="0"/>
        </w:sectPr>
      </w:pPr>
    </w:p>
    <w:p>
      <w:pPr>
        <w:pStyle w:val="2"/>
        <w:spacing w:after="120" w:afterLines="50"/>
        <w:ind w:firstLine="480"/>
        <w:rPr>
          <w:rFonts w:hint="eastAsia"/>
          <w:sz w:val="24"/>
          <w:szCs w:val="24"/>
        </w:rPr>
      </w:pPr>
    </w:p>
    <w:p>
      <w:pPr>
        <w:spacing w:after="120" w:afterLines="50"/>
        <w:jc w:val="center"/>
        <w:outlineLvl w:val="1"/>
        <w:rPr>
          <w:rFonts w:hint="eastAsia" w:ascii="楷体_GB2312" w:hAnsi="楷体_GB2312" w:eastAsia="楷体_GB2312" w:cs="楷体_GB2312"/>
          <w:b/>
          <w:bCs/>
          <w:kern w:val="0"/>
          <w:sz w:val="30"/>
          <w:szCs w:val="30"/>
        </w:rPr>
      </w:pPr>
      <w:bookmarkStart w:id="21" w:name="_Toc6871"/>
      <w:bookmarkStart w:id="22" w:name="_Toc21339"/>
      <w:bookmarkStart w:id="23" w:name="_Toc13794"/>
      <w:bookmarkStart w:id="24" w:name="_Toc24425"/>
      <w:r>
        <w:rPr>
          <w:rFonts w:hint="eastAsia" w:ascii="楷体_GB2312" w:hAnsi="楷体_GB2312" w:eastAsia="楷体_GB2312" w:cs="楷体_GB2312"/>
          <w:b/>
          <w:bCs/>
          <w:kern w:val="0"/>
          <w:sz w:val="30"/>
          <w:szCs w:val="30"/>
        </w:rPr>
        <w:t>目录</w:t>
      </w:r>
      <w:bookmarkEnd w:id="21"/>
      <w:bookmarkEnd w:id="22"/>
      <w:bookmarkEnd w:id="23"/>
      <w:bookmarkEnd w:id="24"/>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fldChar w:fldCharType="begin"/>
      </w:r>
      <w:r>
        <w:instrText xml:space="preserve">TOC \o "1-3" \h \u </w:instrText>
      </w:r>
      <w:r>
        <w:fldChar w:fldCharType="separate"/>
      </w:r>
      <w:r>
        <w:rPr>
          <w:b/>
          <w:bCs/>
        </w:rPr>
        <w:fldChar w:fldCharType="begin"/>
      </w:r>
      <w:r>
        <w:rPr>
          <w:b/>
          <w:bCs/>
        </w:rPr>
        <w:instrText xml:space="preserve"> HYPERLINK \l _Toc17129 </w:instrText>
      </w:r>
      <w:r>
        <w:rPr>
          <w:b/>
          <w:bCs/>
        </w:rPr>
        <w:fldChar w:fldCharType="separate"/>
      </w:r>
      <w:r>
        <w:rPr>
          <w:rFonts w:hint="eastAsia" w:ascii="楷体_GB2312" w:hAnsi="楷体_GB2312" w:eastAsia="楷体_GB2312" w:cs="楷体_GB2312"/>
          <w:b/>
          <w:bCs/>
          <w:szCs w:val="30"/>
        </w:rPr>
        <w:t>重要提示</w:t>
      </w:r>
      <w:r>
        <w:rPr>
          <w:b/>
          <w:bCs/>
        </w:rPr>
        <w:tab/>
      </w:r>
      <w:r>
        <w:rPr>
          <w:rFonts w:hint="eastAsia"/>
          <w:b/>
          <w:bCs/>
          <w:lang w:val="en-US" w:eastAsia="zh-CN"/>
        </w:rPr>
        <w:t>1</w:t>
      </w:r>
      <w:r>
        <w:rPr>
          <w:b/>
          <w:bCs/>
        </w:rP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_Toc989 </w:instrText>
      </w:r>
      <w:r>
        <w:rPr>
          <w:b/>
          <w:bCs/>
        </w:rPr>
        <w:fldChar w:fldCharType="separate"/>
      </w:r>
      <w:r>
        <w:rPr>
          <w:rFonts w:ascii="楷体_GB2312" w:hAnsi="楷体_GB2312" w:eastAsia="楷体_GB2312" w:cs="楷体_GB2312"/>
          <w:b/>
          <w:bCs/>
          <w:szCs w:val="30"/>
        </w:rPr>
        <w:t xml:space="preserve">第一章 </w:t>
      </w:r>
      <w:r>
        <w:rPr>
          <w:rFonts w:hint="eastAsia" w:ascii="楷体_GB2312" w:hAnsi="楷体_GB2312" w:eastAsia="楷体_GB2312" w:cs="楷体_GB2312"/>
          <w:b/>
          <w:bCs/>
          <w:szCs w:val="30"/>
        </w:rPr>
        <w:t>释义</w:t>
      </w:r>
      <w:r>
        <w:rPr>
          <w:b/>
          <w:bCs/>
        </w:rPr>
        <w:tab/>
      </w:r>
      <w:r>
        <w:rPr>
          <w:b/>
          <w:bCs/>
        </w:rPr>
        <w:fldChar w:fldCharType="begin"/>
      </w:r>
      <w:r>
        <w:rPr>
          <w:b/>
          <w:bCs/>
        </w:rPr>
        <w:instrText xml:space="preserve"> PAGEREF _Toc989 \h </w:instrText>
      </w:r>
      <w:r>
        <w:rPr>
          <w:b/>
          <w:bCs/>
        </w:rPr>
        <w:fldChar w:fldCharType="separate"/>
      </w:r>
      <w:r>
        <w:rPr>
          <w:b/>
          <w:bCs/>
        </w:rPr>
        <w:t>4</w:t>
      </w:r>
      <w:r>
        <w:rPr>
          <w:b/>
          <w:bCs/>
        </w:rPr>
        <w:fldChar w:fldCharType="end"/>
      </w:r>
      <w:r>
        <w:rPr>
          <w:b/>
          <w:bCs/>
        </w:rP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_Toc9429 </w:instrText>
      </w:r>
      <w:r>
        <w:rPr>
          <w:b/>
          <w:bCs/>
        </w:rPr>
        <w:fldChar w:fldCharType="separate"/>
      </w:r>
      <w:r>
        <w:rPr>
          <w:rFonts w:ascii="楷体_GB2312" w:hAnsi="楷体_GB2312" w:eastAsia="楷体_GB2312" w:cs="楷体_GB2312"/>
          <w:b/>
          <w:bCs/>
          <w:szCs w:val="30"/>
        </w:rPr>
        <w:t xml:space="preserve">第二章 </w:t>
      </w:r>
      <w:r>
        <w:rPr>
          <w:rFonts w:hint="eastAsia" w:ascii="楷体_GB2312" w:hAnsi="楷体_GB2312" w:eastAsia="楷体_GB2312" w:cs="楷体_GB2312"/>
          <w:b/>
          <w:bCs/>
          <w:szCs w:val="30"/>
        </w:rPr>
        <w:t>资产支持商业票据的基本情况</w:t>
      </w:r>
      <w:r>
        <w:rPr>
          <w:b/>
          <w:bCs/>
        </w:rPr>
        <w:tab/>
      </w:r>
      <w:r>
        <w:rPr>
          <w:b/>
          <w:bCs/>
        </w:rPr>
        <w:fldChar w:fldCharType="begin"/>
      </w:r>
      <w:r>
        <w:rPr>
          <w:b/>
          <w:bCs/>
        </w:rPr>
        <w:instrText xml:space="preserve"> PAGEREF _Toc9429 \h </w:instrText>
      </w:r>
      <w:r>
        <w:rPr>
          <w:b/>
          <w:bCs/>
        </w:rPr>
        <w:fldChar w:fldCharType="separate"/>
      </w:r>
      <w:r>
        <w:rPr>
          <w:b/>
          <w:bCs/>
        </w:rPr>
        <w:t>5</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_Toc6296 </w:instrText>
      </w:r>
      <w:r>
        <w:fldChar w:fldCharType="separate"/>
      </w:r>
      <w:r>
        <w:rPr>
          <w:rFonts w:hint="eastAsia" w:ascii="楷体_GB2312" w:hAnsi="楷体_GB2312" w:eastAsia="楷体_GB2312" w:cs="楷体_GB2312"/>
          <w:szCs w:val="24"/>
        </w:rPr>
        <w:t>一、主要发行条款</w:t>
      </w:r>
      <w:r>
        <w:tab/>
      </w:r>
      <w:r>
        <w:fldChar w:fldCharType="begin"/>
      </w:r>
      <w:r>
        <w:instrText xml:space="preserve"> PAGEREF _Toc6296 \h </w:instrText>
      </w:r>
      <w:r>
        <w:fldChar w:fldCharType="separate"/>
      </w:r>
      <w:r>
        <w:t>5</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_Toc31011 </w:instrText>
      </w:r>
      <w:r>
        <w:fldChar w:fldCharType="separate"/>
      </w:r>
      <w:r>
        <w:rPr>
          <w:rFonts w:hint="eastAsia" w:ascii="楷体_GB2312" w:hAnsi="楷体_GB2312" w:eastAsia="楷体_GB2312" w:cs="楷体_GB2312"/>
          <w:szCs w:val="24"/>
        </w:rPr>
        <w:t>二、资产支持商业票据分层情况</w:t>
      </w:r>
      <w:r>
        <w:tab/>
      </w:r>
      <w:r>
        <w:fldChar w:fldCharType="begin"/>
      </w:r>
      <w:r>
        <w:instrText xml:space="preserve"> PAGEREF _Toc31011 \h </w:instrText>
      </w:r>
      <w:r>
        <w:fldChar w:fldCharType="separate"/>
      </w:r>
      <w:r>
        <w:t>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_Toc26263 </w:instrText>
      </w:r>
      <w:r>
        <w:fldChar w:fldCharType="separate"/>
      </w:r>
      <w:r>
        <w:rPr>
          <w:rFonts w:hint="eastAsia" w:ascii="楷体_GB2312" w:hAnsi="楷体_GB2312" w:eastAsia="楷体_GB2312" w:cs="楷体_GB2312"/>
          <w:szCs w:val="24"/>
        </w:rPr>
        <w:t>三、发行安排</w:t>
      </w:r>
      <w:r>
        <w:tab/>
      </w:r>
      <w:r>
        <w:fldChar w:fldCharType="begin"/>
      </w:r>
      <w:r>
        <w:instrText xml:space="preserve"> PAGEREF _Toc26263 \h </w:instrText>
      </w:r>
      <w:r>
        <w:fldChar w:fldCharType="separate"/>
      </w:r>
      <w:r>
        <w:t>6</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_Toc7884 </w:instrText>
      </w:r>
      <w:r>
        <w:rPr>
          <w:b/>
          <w:bCs/>
        </w:rPr>
        <w:fldChar w:fldCharType="separate"/>
      </w:r>
      <w:r>
        <w:rPr>
          <w:rFonts w:ascii="楷体_GB2312" w:hAnsi="楷体_GB2312" w:eastAsia="楷体_GB2312" w:cs="楷体_GB2312"/>
          <w:b/>
          <w:bCs/>
          <w:szCs w:val="30"/>
        </w:rPr>
        <w:t xml:space="preserve">第三章 </w:t>
      </w:r>
      <w:r>
        <w:rPr>
          <w:rFonts w:hint="eastAsia" w:ascii="楷体_GB2312" w:hAnsi="楷体_GB2312" w:eastAsia="楷体_GB2312" w:cs="楷体_GB2312"/>
          <w:b/>
          <w:bCs/>
          <w:szCs w:val="30"/>
        </w:rPr>
        <w:t>风险提示及说明</w:t>
      </w:r>
      <w:r>
        <w:rPr>
          <w:b/>
          <w:bCs/>
        </w:rPr>
        <w:tab/>
      </w:r>
      <w:r>
        <w:rPr>
          <w:b/>
          <w:bCs/>
        </w:rPr>
        <w:fldChar w:fldCharType="begin"/>
      </w:r>
      <w:r>
        <w:rPr>
          <w:b/>
          <w:bCs/>
        </w:rPr>
        <w:instrText xml:space="preserve"> PAGEREF _Toc7884 \h </w:instrText>
      </w:r>
      <w:r>
        <w:rPr>
          <w:b/>
          <w:bCs/>
        </w:rPr>
        <w:fldChar w:fldCharType="separate"/>
      </w:r>
      <w:r>
        <w:rPr>
          <w:b/>
          <w:bCs/>
        </w:rPr>
        <w:t>8</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_Toc30831 </w:instrText>
      </w:r>
      <w:r>
        <w:fldChar w:fldCharType="separate"/>
      </w:r>
      <w:r>
        <w:rPr>
          <w:rFonts w:hint="eastAsia" w:ascii="楷体_GB2312" w:hAnsi="楷体_GB2312" w:eastAsia="楷体_GB2312" w:cs="楷体_GB2312"/>
          <w:szCs w:val="24"/>
        </w:rPr>
        <w:t>一、投资风险</w:t>
      </w:r>
      <w:r>
        <w:tab/>
      </w:r>
      <w:r>
        <w:fldChar w:fldCharType="begin"/>
      </w:r>
      <w:r>
        <w:instrText xml:space="preserve"> PAGEREF _Toc30831 \h </w:instrText>
      </w:r>
      <w:r>
        <w:fldChar w:fldCharType="separate"/>
      </w:r>
      <w:r>
        <w:t>8</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_Toc6391 </w:instrText>
      </w:r>
      <w:r>
        <w:fldChar w:fldCharType="separate"/>
      </w:r>
      <w:r>
        <w:rPr>
          <w:rFonts w:hint="eastAsia" w:ascii="楷体_GB2312" w:hAnsi="楷体_GB2312" w:eastAsia="楷体_GB2312" w:cs="楷体_GB2312"/>
          <w:szCs w:val="24"/>
        </w:rPr>
        <w:t>二、基础资产相关风险</w:t>
      </w:r>
      <w:r>
        <w:tab/>
      </w:r>
      <w:r>
        <w:fldChar w:fldCharType="begin"/>
      </w:r>
      <w:r>
        <w:instrText xml:space="preserve"> PAGEREF _Toc6391 \h </w:instrText>
      </w:r>
      <w:r>
        <w:fldChar w:fldCharType="separate"/>
      </w:r>
      <w:r>
        <w:t>8</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_Toc21111 </w:instrText>
      </w:r>
      <w:r>
        <w:fldChar w:fldCharType="separate"/>
      </w:r>
      <w:r>
        <w:rPr>
          <w:rFonts w:hint="eastAsia" w:ascii="楷体_GB2312" w:hAnsi="楷体_GB2312" w:eastAsia="楷体_GB2312" w:cs="楷体_GB2312"/>
          <w:szCs w:val="24"/>
        </w:rPr>
        <w:t>三、交易结构相关风险</w:t>
      </w:r>
      <w:r>
        <w:tab/>
      </w:r>
      <w:r>
        <w:fldChar w:fldCharType="begin"/>
      </w:r>
      <w:r>
        <w:instrText xml:space="preserve"> PAGEREF _Toc21111 \h </w:instrText>
      </w:r>
      <w:r>
        <w:fldChar w:fldCharType="separate"/>
      </w:r>
      <w:r>
        <w:t>8</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_Toc10844 </w:instrText>
      </w:r>
      <w:r>
        <w:fldChar w:fldCharType="separate"/>
      </w:r>
      <w:r>
        <w:rPr>
          <w:rFonts w:hint="eastAsia" w:ascii="楷体_GB2312" w:hAnsi="楷体_GB2312" w:eastAsia="楷体_GB2312" w:cs="楷体_GB2312"/>
          <w:szCs w:val="24"/>
        </w:rPr>
        <w:t>四、发起机构相关风险</w:t>
      </w:r>
      <w:r>
        <w:tab/>
      </w:r>
      <w:r>
        <w:fldChar w:fldCharType="begin"/>
      </w:r>
      <w:r>
        <w:instrText xml:space="preserve"> PAGEREF _Toc10844 \h </w:instrText>
      </w:r>
      <w:r>
        <w:fldChar w:fldCharType="separate"/>
      </w:r>
      <w:r>
        <w:t>8</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_Toc21620 </w:instrText>
      </w:r>
      <w:r>
        <w:fldChar w:fldCharType="separate"/>
      </w:r>
      <w:r>
        <w:rPr>
          <w:rFonts w:hint="eastAsia" w:ascii="楷体_GB2312" w:hAnsi="楷体_GB2312" w:eastAsia="楷体_GB2312" w:cs="楷体_GB2312"/>
          <w:szCs w:val="24"/>
        </w:rPr>
        <w:t>五、信用增级机构相关风险（如有）</w:t>
      </w:r>
      <w:r>
        <w:tab/>
      </w:r>
      <w:r>
        <w:fldChar w:fldCharType="begin"/>
      </w:r>
      <w:r>
        <w:instrText xml:space="preserve"> PAGEREF _Toc21620 \h </w:instrText>
      </w:r>
      <w:r>
        <w:fldChar w:fldCharType="separate"/>
      </w:r>
      <w:r>
        <w:t>8</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_Toc17413 </w:instrText>
      </w:r>
      <w:r>
        <w:fldChar w:fldCharType="separate"/>
      </w:r>
      <w:r>
        <w:rPr>
          <w:rFonts w:hint="eastAsia" w:ascii="楷体_GB2312" w:hAnsi="楷体_GB2312" w:eastAsia="楷体_GB2312" w:cs="楷体_GB2312"/>
          <w:szCs w:val="24"/>
        </w:rPr>
        <w:t>六、中介机构相关风险</w:t>
      </w:r>
      <w:r>
        <w:tab/>
      </w:r>
      <w:r>
        <w:fldChar w:fldCharType="begin"/>
      </w:r>
      <w:r>
        <w:instrText xml:space="preserve"> PAGEREF _Toc17413 \h </w:instrText>
      </w:r>
      <w:r>
        <w:fldChar w:fldCharType="separate"/>
      </w:r>
      <w:r>
        <w:t>8</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_Toc25138 </w:instrText>
      </w:r>
      <w:r>
        <w:fldChar w:fldCharType="separate"/>
      </w:r>
      <w:r>
        <w:rPr>
          <w:rFonts w:hint="eastAsia" w:ascii="楷体_GB2312" w:hAnsi="楷体_GB2312" w:eastAsia="楷体_GB2312" w:cs="楷体_GB2312"/>
          <w:szCs w:val="24"/>
        </w:rPr>
        <w:t>七、资产支持商业票据相关风险</w:t>
      </w:r>
      <w:r>
        <w:tab/>
      </w:r>
      <w:r>
        <w:fldChar w:fldCharType="begin"/>
      </w:r>
      <w:r>
        <w:instrText xml:space="preserve"> PAGEREF _Toc25138 \h </w:instrText>
      </w:r>
      <w:r>
        <w:fldChar w:fldCharType="separate"/>
      </w:r>
      <w:r>
        <w:t>8</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_Toc23998 </w:instrText>
      </w:r>
      <w:r>
        <w:fldChar w:fldCharType="separate"/>
      </w:r>
      <w:r>
        <w:rPr>
          <w:rFonts w:hint="eastAsia" w:ascii="楷体_GB2312" w:hAnsi="楷体_GB2312" w:eastAsia="楷体_GB2312" w:cs="楷体_GB2312"/>
          <w:szCs w:val="24"/>
        </w:rPr>
        <w:t>八、其他特有风险</w:t>
      </w:r>
      <w:r>
        <w:tab/>
      </w:r>
      <w:r>
        <w:fldChar w:fldCharType="begin"/>
      </w:r>
      <w:r>
        <w:instrText xml:space="preserve"> PAGEREF _Toc23998 \h </w:instrText>
      </w:r>
      <w:r>
        <w:fldChar w:fldCharType="separate"/>
      </w:r>
      <w:r>
        <w:t>8</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rPr>
          <w:b/>
          <w:bCs/>
        </w:rPr>
        <w:fldChar w:fldCharType="begin"/>
      </w:r>
      <w:r>
        <w:rPr>
          <w:b/>
          <w:bCs/>
        </w:rPr>
        <w:instrText xml:space="preserve"> HYPERLINK \l _Toc21204 </w:instrText>
      </w:r>
      <w:r>
        <w:rPr>
          <w:b/>
          <w:bCs/>
        </w:rPr>
        <w:fldChar w:fldCharType="separate"/>
      </w:r>
      <w:r>
        <w:rPr>
          <w:rFonts w:ascii="楷体_GB2312" w:hAnsi="楷体_GB2312" w:eastAsia="楷体_GB2312" w:cs="楷体_GB2312"/>
          <w:b/>
          <w:bCs/>
          <w:szCs w:val="30"/>
        </w:rPr>
        <w:t xml:space="preserve">第四章 </w:t>
      </w:r>
      <w:r>
        <w:rPr>
          <w:rFonts w:hint="eastAsia" w:ascii="楷体_GB2312" w:hAnsi="楷体_GB2312" w:eastAsia="楷体_GB2312" w:cs="楷体_GB2312"/>
          <w:b/>
          <w:bCs/>
          <w:szCs w:val="30"/>
        </w:rPr>
        <w:t>资产支持商业票据的交易结构</w:t>
      </w:r>
      <w:r>
        <w:rPr>
          <w:b/>
          <w:bCs/>
        </w:rPr>
        <w:tab/>
      </w:r>
      <w:r>
        <w:rPr>
          <w:b/>
          <w:bCs/>
        </w:rPr>
        <w:fldChar w:fldCharType="begin"/>
      </w:r>
      <w:r>
        <w:rPr>
          <w:b/>
          <w:bCs/>
        </w:rPr>
        <w:instrText xml:space="preserve"> PAGEREF _Toc21204 \h </w:instrText>
      </w:r>
      <w:r>
        <w:rPr>
          <w:b/>
          <w:bCs/>
        </w:rPr>
        <w:fldChar w:fldCharType="separate"/>
      </w:r>
      <w:r>
        <w:rPr>
          <w:b/>
          <w:bCs/>
        </w:rPr>
        <w:t>9</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_Toc16017 </w:instrText>
      </w:r>
      <w:r>
        <w:fldChar w:fldCharType="separate"/>
      </w:r>
      <w:r>
        <w:rPr>
          <w:rFonts w:hint="eastAsia" w:ascii="楷体_GB2312" w:hAnsi="楷体_GB2312" w:eastAsia="楷体_GB2312" w:cs="楷体_GB2312"/>
          <w:szCs w:val="24"/>
        </w:rPr>
        <w:t>一、交易结构图</w:t>
      </w:r>
      <w:r>
        <w:tab/>
      </w:r>
      <w:r>
        <w:fldChar w:fldCharType="begin"/>
      </w:r>
      <w:r>
        <w:instrText xml:space="preserve"> PAGEREF _Toc16017 \h </w:instrText>
      </w:r>
      <w:r>
        <w:fldChar w:fldCharType="separate"/>
      </w:r>
      <w:r>
        <w:t>9</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_Toc21451 </w:instrText>
      </w:r>
      <w:r>
        <w:fldChar w:fldCharType="separate"/>
      </w:r>
      <w:r>
        <w:rPr>
          <w:rFonts w:hint="eastAsia" w:ascii="楷体_GB2312" w:hAnsi="楷体_GB2312" w:eastAsia="楷体_GB2312" w:cs="楷体_GB2312"/>
          <w:szCs w:val="24"/>
        </w:rPr>
        <w:t>二、交易结构介绍</w:t>
      </w:r>
      <w:r>
        <w:tab/>
      </w:r>
      <w:r>
        <w:fldChar w:fldCharType="begin"/>
      </w:r>
      <w:r>
        <w:instrText xml:space="preserve"> PAGEREF _Toc21451 \h </w:instrText>
      </w:r>
      <w:r>
        <w:fldChar w:fldCharType="separate"/>
      </w:r>
      <w:r>
        <w:t>9</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_Toc7803 </w:instrText>
      </w:r>
      <w:r>
        <w:fldChar w:fldCharType="separate"/>
      </w:r>
      <w:r>
        <w:rPr>
          <w:rFonts w:hint="eastAsia" w:ascii="楷体_GB2312" w:hAnsi="楷体_GB2312" w:eastAsia="楷体_GB2312" w:cs="楷体_GB2312"/>
          <w:szCs w:val="24"/>
        </w:rPr>
        <w:t>三、各当事方的权利与义务</w:t>
      </w:r>
      <w:r>
        <w:tab/>
      </w:r>
      <w:r>
        <w:fldChar w:fldCharType="begin"/>
      </w:r>
      <w:r>
        <w:instrText xml:space="preserve"> PAGEREF _Toc7803 \h </w:instrText>
      </w:r>
      <w:r>
        <w:fldChar w:fldCharType="separate"/>
      </w:r>
      <w:r>
        <w:t>12</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rPr>
          <w:b/>
          <w:bCs/>
        </w:rPr>
        <w:fldChar w:fldCharType="begin"/>
      </w:r>
      <w:r>
        <w:rPr>
          <w:b/>
          <w:bCs/>
        </w:rPr>
        <w:instrText xml:space="preserve"> HYPERLINK \l _Toc9286 </w:instrText>
      </w:r>
      <w:r>
        <w:rPr>
          <w:b/>
          <w:bCs/>
        </w:rPr>
        <w:fldChar w:fldCharType="separate"/>
      </w:r>
      <w:r>
        <w:rPr>
          <w:rFonts w:ascii="楷体_GB2312" w:hAnsi="楷体_GB2312" w:eastAsia="楷体_GB2312" w:cs="楷体_GB2312"/>
          <w:b/>
          <w:bCs/>
          <w:szCs w:val="30"/>
        </w:rPr>
        <w:t xml:space="preserve">第五章 </w:t>
      </w:r>
      <w:r>
        <w:rPr>
          <w:rFonts w:hint="eastAsia" w:ascii="楷体_GB2312" w:hAnsi="楷体_GB2312" w:eastAsia="楷体_GB2312" w:cs="楷体_GB2312"/>
          <w:b/>
          <w:bCs/>
          <w:szCs w:val="30"/>
        </w:rPr>
        <w:t>资产支持商业票据的信用增级方式</w:t>
      </w:r>
      <w:r>
        <w:rPr>
          <w:b/>
          <w:bCs/>
        </w:rPr>
        <w:tab/>
      </w:r>
      <w:r>
        <w:rPr>
          <w:b/>
          <w:bCs/>
        </w:rPr>
        <w:fldChar w:fldCharType="begin"/>
      </w:r>
      <w:r>
        <w:rPr>
          <w:b/>
          <w:bCs/>
        </w:rPr>
        <w:instrText xml:space="preserve"> PAGEREF _Toc9286 \h </w:instrText>
      </w:r>
      <w:r>
        <w:rPr>
          <w:b/>
          <w:bCs/>
        </w:rPr>
        <w:fldChar w:fldCharType="separate"/>
      </w:r>
      <w:r>
        <w:rPr>
          <w:b/>
          <w:bCs/>
        </w:rPr>
        <w:t>13</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_Toc4740 </w:instrText>
      </w:r>
      <w:r>
        <w:fldChar w:fldCharType="separate"/>
      </w:r>
      <w:r>
        <w:rPr>
          <w:rFonts w:hint="eastAsia" w:ascii="楷体_GB2312" w:hAnsi="楷体_GB2312" w:eastAsia="楷体_GB2312" w:cs="楷体_GB2312"/>
          <w:szCs w:val="24"/>
        </w:rPr>
        <w:t>一、内部增信安排</w:t>
      </w:r>
      <w:r>
        <w:tab/>
      </w:r>
      <w:r>
        <w:fldChar w:fldCharType="begin"/>
      </w:r>
      <w:r>
        <w:instrText xml:space="preserve"> PAGEREF _Toc4740 \h </w:instrText>
      </w:r>
      <w:r>
        <w:fldChar w:fldCharType="separate"/>
      </w:r>
      <w:r>
        <w:t>13</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_Toc30040 </w:instrText>
      </w:r>
      <w:r>
        <w:fldChar w:fldCharType="separate"/>
      </w:r>
      <w:r>
        <w:rPr>
          <w:rFonts w:hint="eastAsia" w:ascii="楷体_GB2312" w:hAnsi="楷体_GB2312" w:eastAsia="楷体_GB2312" w:cs="楷体_GB2312"/>
          <w:szCs w:val="24"/>
        </w:rPr>
        <w:t>二、外部增信安排</w:t>
      </w:r>
      <w:r>
        <w:tab/>
      </w:r>
      <w:r>
        <w:fldChar w:fldCharType="begin"/>
      </w:r>
      <w:r>
        <w:instrText xml:space="preserve"> PAGEREF _Toc30040 \h </w:instrText>
      </w:r>
      <w:r>
        <w:fldChar w:fldCharType="separate"/>
      </w:r>
      <w:r>
        <w:t>13</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_Toc32480 </w:instrText>
      </w:r>
      <w:r>
        <w:fldChar w:fldCharType="separate"/>
      </w:r>
      <w:r>
        <w:rPr>
          <w:rFonts w:hint="eastAsia" w:ascii="楷体_GB2312" w:hAnsi="楷体_GB2312" w:eastAsia="楷体_GB2312" w:cs="楷体_GB2312"/>
          <w:szCs w:val="24"/>
        </w:rPr>
        <w:t>三、增级方式的触发顺序</w:t>
      </w:r>
      <w:r>
        <w:tab/>
      </w:r>
      <w:r>
        <w:fldChar w:fldCharType="begin"/>
      </w:r>
      <w:r>
        <w:instrText xml:space="preserve"> PAGEREF _Toc32480 \h </w:instrText>
      </w:r>
      <w:r>
        <w:fldChar w:fldCharType="separate"/>
      </w:r>
      <w:r>
        <w:t>14</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_Toc23599 </w:instrText>
      </w:r>
      <w:r>
        <w:rPr>
          <w:b/>
          <w:bCs/>
        </w:rPr>
        <w:fldChar w:fldCharType="separate"/>
      </w:r>
      <w:r>
        <w:rPr>
          <w:rFonts w:ascii="楷体_GB2312" w:hAnsi="楷体_GB2312" w:eastAsia="楷体_GB2312" w:cs="楷体_GB2312"/>
          <w:b/>
          <w:bCs/>
          <w:szCs w:val="30"/>
        </w:rPr>
        <w:t xml:space="preserve">第六章 </w:t>
      </w:r>
      <w:r>
        <w:rPr>
          <w:rFonts w:hint="eastAsia" w:ascii="楷体_GB2312" w:hAnsi="楷体_GB2312" w:eastAsia="楷体_GB2312" w:cs="楷体_GB2312"/>
          <w:b/>
          <w:bCs/>
          <w:szCs w:val="30"/>
        </w:rPr>
        <w:t>发起机构、信用增级机构（如有）、发行载体管理机构及相关中介机构的基本情况</w:t>
      </w:r>
      <w:r>
        <w:rPr>
          <w:b/>
          <w:bCs/>
        </w:rPr>
        <w:tab/>
      </w:r>
      <w:r>
        <w:rPr>
          <w:b/>
          <w:bCs/>
        </w:rPr>
        <w:fldChar w:fldCharType="begin"/>
      </w:r>
      <w:r>
        <w:rPr>
          <w:b/>
          <w:bCs/>
        </w:rPr>
        <w:instrText xml:space="preserve"> PAGEREF _Toc23599 \h </w:instrText>
      </w:r>
      <w:r>
        <w:rPr>
          <w:b/>
          <w:bCs/>
        </w:rPr>
        <w:fldChar w:fldCharType="separate"/>
      </w:r>
      <w:r>
        <w:rPr>
          <w:b/>
          <w:bCs/>
        </w:rPr>
        <w:t>15</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_Toc26303 </w:instrText>
      </w:r>
      <w:r>
        <w:fldChar w:fldCharType="separate"/>
      </w:r>
      <w:r>
        <w:rPr>
          <w:rFonts w:hint="eastAsia" w:ascii="楷体_GB2312" w:hAnsi="楷体_GB2312" w:eastAsia="楷体_GB2312" w:cs="楷体_GB2312"/>
          <w:bCs/>
          <w:kern w:val="2"/>
          <w:szCs w:val="24"/>
        </w:rPr>
        <w:t>一、发起机构的基本情况</w:t>
      </w:r>
      <w:r>
        <w:tab/>
      </w:r>
      <w:r>
        <w:fldChar w:fldCharType="begin"/>
      </w:r>
      <w:r>
        <w:instrText xml:space="preserve"> PAGEREF _Toc26303 \h </w:instrText>
      </w:r>
      <w:r>
        <w:fldChar w:fldCharType="separate"/>
      </w:r>
      <w:r>
        <w:t>15</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_Toc28423 </w:instrText>
      </w:r>
      <w:r>
        <w:fldChar w:fldCharType="separate"/>
      </w:r>
      <w:r>
        <w:rPr>
          <w:rFonts w:hint="eastAsia" w:ascii="楷体_GB2312" w:hAnsi="楷体_GB2312" w:eastAsia="楷体_GB2312" w:cs="楷体_GB2312"/>
          <w:bCs/>
          <w:kern w:val="2"/>
          <w:szCs w:val="24"/>
        </w:rPr>
        <w:t>二、信用增级机构的基本情况（如有）</w:t>
      </w:r>
      <w:r>
        <w:tab/>
      </w:r>
      <w:r>
        <w:fldChar w:fldCharType="begin"/>
      </w:r>
      <w:r>
        <w:instrText xml:space="preserve"> PAGEREF _Toc28423 \h </w:instrText>
      </w:r>
      <w:r>
        <w:fldChar w:fldCharType="separate"/>
      </w:r>
      <w:r>
        <w:t>16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_Toc28662 </w:instrText>
      </w:r>
      <w:r>
        <w:fldChar w:fldCharType="separate"/>
      </w:r>
      <w:r>
        <w:rPr>
          <w:rFonts w:hint="eastAsia" w:ascii="楷体_GB2312" w:hAnsi="楷体_GB2312" w:eastAsia="楷体_GB2312" w:cs="楷体_GB2312"/>
          <w:bCs/>
          <w:szCs w:val="24"/>
        </w:rPr>
        <w:t>三、发行载体管理机构的基本情况</w:t>
      </w:r>
      <w:r>
        <w:tab/>
      </w:r>
      <w:r>
        <w:fldChar w:fldCharType="begin"/>
      </w:r>
      <w:r>
        <w:instrText xml:space="preserve"> PAGEREF _Toc28662 \h </w:instrText>
      </w:r>
      <w:r>
        <w:fldChar w:fldCharType="separate"/>
      </w:r>
      <w:r>
        <w:t>16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_Toc10949 </w:instrText>
      </w:r>
      <w:r>
        <w:fldChar w:fldCharType="separate"/>
      </w:r>
      <w:r>
        <w:rPr>
          <w:rFonts w:hint="eastAsia" w:ascii="楷体_GB2312" w:hAnsi="楷体_GB2312" w:eastAsia="楷体_GB2312" w:cs="楷体_GB2312"/>
          <w:bCs/>
          <w:szCs w:val="24"/>
        </w:rPr>
        <w:t>四、资金保管机构的基本情况</w:t>
      </w:r>
      <w:r>
        <w:tab/>
      </w:r>
      <w:r>
        <w:fldChar w:fldCharType="begin"/>
      </w:r>
      <w:r>
        <w:instrText xml:space="preserve"> PAGEREF _Toc10949 \h </w:instrText>
      </w:r>
      <w:r>
        <w:fldChar w:fldCharType="separate"/>
      </w:r>
      <w:r>
        <w:t>16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_Toc24751 </w:instrText>
      </w:r>
      <w:r>
        <w:fldChar w:fldCharType="separate"/>
      </w:r>
      <w:r>
        <w:rPr>
          <w:rFonts w:hint="eastAsia" w:ascii="楷体_GB2312" w:hAnsi="楷体_GB2312" w:eastAsia="楷体_GB2312" w:cs="楷体_GB2312"/>
          <w:szCs w:val="24"/>
        </w:rPr>
        <w:t>五、资产服务机构的基本情况（如有）</w:t>
      </w:r>
      <w:r>
        <w:tab/>
      </w:r>
      <w:r>
        <w:fldChar w:fldCharType="begin"/>
      </w:r>
      <w:r>
        <w:instrText xml:space="preserve"> PAGEREF _Toc24751 \h </w:instrText>
      </w:r>
      <w:r>
        <w:fldChar w:fldCharType="separate"/>
      </w:r>
      <w:r>
        <w:t>16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_Toc28255 </w:instrText>
      </w:r>
      <w:r>
        <w:fldChar w:fldCharType="separate"/>
      </w:r>
      <w:r>
        <w:rPr>
          <w:rFonts w:hint="eastAsia" w:ascii="楷体_GB2312" w:hAnsi="楷体_GB2312" w:eastAsia="楷体_GB2312" w:cs="楷体_GB2312"/>
          <w:szCs w:val="24"/>
        </w:rPr>
        <w:t>六、资金监管机构的基本情况（如有）</w:t>
      </w:r>
      <w:r>
        <w:tab/>
      </w:r>
      <w:r>
        <w:fldChar w:fldCharType="begin"/>
      </w:r>
      <w:r>
        <w:instrText xml:space="preserve"> PAGEREF _Toc28255 \h </w:instrText>
      </w:r>
      <w:r>
        <w:fldChar w:fldCharType="separate"/>
      </w:r>
      <w:r>
        <w:t>16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_Toc20405 </w:instrText>
      </w:r>
      <w:r>
        <w:fldChar w:fldCharType="separate"/>
      </w:r>
      <w:r>
        <w:rPr>
          <w:rFonts w:hint="eastAsia" w:ascii="楷体_GB2312" w:hAnsi="楷体_GB2312" w:eastAsia="楷体_GB2312" w:cs="楷体_GB2312"/>
          <w:szCs w:val="24"/>
        </w:rPr>
        <w:t>七、主承销商的基本情况</w:t>
      </w:r>
      <w:r>
        <w:tab/>
      </w:r>
      <w:r>
        <w:fldChar w:fldCharType="begin"/>
      </w:r>
      <w:r>
        <w:instrText xml:space="preserve"> PAGEREF _Toc20405 \h </w:instrText>
      </w:r>
      <w:r>
        <w:fldChar w:fldCharType="separate"/>
      </w:r>
      <w:r>
        <w:t>16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_Toc628 </w:instrText>
      </w:r>
      <w:r>
        <w:fldChar w:fldCharType="separate"/>
      </w:r>
      <w:r>
        <w:rPr>
          <w:rFonts w:hint="eastAsia" w:ascii="楷体_GB2312" w:hAnsi="楷体_GB2312" w:eastAsia="楷体_GB2312" w:cs="楷体_GB2312"/>
          <w:szCs w:val="24"/>
        </w:rPr>
        <w:t>八、律师事务所的基本情况</w:t>
      </w:r>
      <w:r>
        <w:tab/>
      </w:r>
      <w:r>
        <w:fldChar w:fldCharType="begin"/>
      </w:r>
      <w:r>
        <w:instrText xml:space="preserve"> PAGEREF _Toc628 \h </w:instrText>
      </w:r>
      <w:r>
        <w:fldChar w:fldCharType="separate"/>
      </w:r>
      <w:r>
        <w:t>16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_Toc17442 </w:instrText>
      </w:r>
      <w:r>
        <w:fldChar w:fldCharType="separate"/>
      </w:r>
      <w:r>
        <w:rPr>
          <w:rFonts w:hint="eastAsia" w:ascii="楷体_GB2312" w:hAnsi="楷体_GB2312" w:eastAsia="楷体_GB2312" w:cs="楷体_GB2312"/>
          <w:szCs w:val="24"/>
        </w:rPr>
        <w:t>九、评级机构的基本情况（如有）</w:t>
      </w:r>
      <w:r>
        <w:tab/>
      </w:r>
      <w:r>
        <w:fldChar w:fldCharType="begin"/>
      </w:r>
      <w:r>
        <w:instrText xml:space="preserve"> PAGEREF _Toc17442 \h </w:instrText>
      </w:r>
      <w:r>
        <w:fldChar w:fldCharType="separate"/>
      </w:r>
      <w:r>
        <w:t>16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_Toc10101 </w:instrText>
      </w:r>
      <w:r>
        <w:fldChar w:fldCharType="separate"/>
      </w:r>
      <w:r>
        <w:rPr>
          <w:rFonts w:hint="eastAsia" w:ascii="楷体_GB2312" w:hAnsi="楷体_GB2312" w:eastAsia="楷体_GB2312" w:cs="楷体_GB2312"/>
          <w:szCs w:val="24"/>
        </w:rPr>
        <w:t>十、与相关机构的关系</w:t>
      </w:r>
      <w:r>
        <w:tab/>
      </w:r>
      <w:r>
        <w:fldChar w:fldCharType="begin"/>
      </w:r>
      <w:r>
        <w:instrText xml:space="preserve"> PAGEREF _Toc10101 \h </w:instrText>
      </w:r>
      <w:r>
        <w:fldChar w:fldCharType="separate"/>
      </w:r>
      <w:r>
        <w:t>16</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_Toc11393 </w:instrText>
      </w:r>
      <w:r>
        <w:rPr>
          <w:b/>
          <w:bCs/>
        </w:rPr>
        <w:fldChar w:fldCharType="separate"/>
      </w:r>
      <w:r>
        <w:rPr>
          <w:rFonts w:ascii="楷体_GB2312" w:hAnsi="楷体_GB2312" w:eastAsia="楷体_GB2312" w:cs="楷体_GB2312"/>
          <w:b/>
          <w:bCs/>
          <w:szCs w:val="30"/>
        </w:rPr>
        <w:t xml:space="preserve">第七章 </w:t>
      </w:r>
      <w:r>
        <w:rPr>
          <w:rFonts w:hint="eastAsia" w:ascii="楷体_GB2312" w:hAnsi="楷体_GB2312" w:eastAsia="楷体_GB2312" w:cs="楷体_GB2312"/>
          <w:b/>
          <w:bCs/>
          <w:szCs w:val="30"/>
        </w:rPr>
        <w:t>基础资产情况及现金流预测分析</w:t>
      </w:r>
      <w:r>
        <w:rPr>
          <w:b/>
          <w:bCs/>
        </w:rPr>
        <w:tab/>
      </w:r>
      <w:r>
        <w:rPr>
          <w:b/>
          <w:bCs/>
        </w:rPr>
        <w:fldChar w:fldCharType="begin"/>
      </w:r>
      <w:r>
        <w:rPr>
          <w:b/>
          <w:bCs/>
        </w:rPr>
        <w:instrText xml:space="preserve"> PAGEREF _Toc11393 \h </w:instrText>
      </w:r>
      <w:r>
        <w:rPr>
          <w:b/>
          <w:bCs/>
        </w:rPr>
        <w:fldChar w:fldCharType="separate"/>
      </w:r>
      <w:r>
        <w:rPr>
          <w:b/>
          <w:bCs/>
        </w:rPr>
        <w:t>17</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_Toc17753 </w:instrText>
      </w:r>
      <w:r>
        <w:fldChar w:fldCharType="separate"/>
      </w:r>
      <w:r>
        <w:rPr>
          <w:rFonts w:hint="eastAsia" w:ascii="楷体_GB2312" w:hAnsi="楷体_GB2312" w:eastAsia="楷体_GB2312" w:cs="楷体_GB2312"/>
          <w:bCs/>
          <w:szCs w:val="24"/>
        </w:rPr>
        <w:t>一、基础资产情况</w:t>
      </w:r>
      <w:r>
        <w:tab/>
      </w:r>
      <w:r>
        <w:fldChar w:fldCharType="begin"/>
      </w:r>
      <w:r>
        <w:instrText xml:space="preserve"> PAGEREF _Toc17753 \h </w:instrText>
      </w:r>
      <w:r>
        <w:fldChar w:fldCharType="separate"/>
      </w:r>
      <w:r>
        <w:t>17</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_Toc23374 </w:instrText>
      </w:r>
      <w:r>
        <w:fldChar w:fldCharType="separate"/>
      </w:r>
      <w:r>
        <w:rPr>
          <w:rFonts w:hint="eastAsia" w:ascii="楷体_GB2312" w:hAnsi="楷体_GB2312" w:eastAsia="楷体_GB2312" w:cs="楷体_GB2312"/>
          <w:bCs/>
          <w:szCs w:val="24"/>
        </w:rPr>
        <w:t>二、基础资产现金流形成机制及历史数据</w:t>
      </w:r>
      <w:r>
        <w:tab/>
      </w:r>
      <w:r>
        <w:fldChar w:fldCharType="begin"/>
      </w:r>
      <w:r>
        <w:instrText xml:space="preserve"> PAGEREF _Toc23374 \h </w:instrText>
      </w:r>
      <w:r>
        <w:fldChar w:fldCharType="separate"/>
      </w:r>
      <w:r>
        <w:t>17</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_Toc11941 </w:instrText>
      </w:r>
      <w:r>
        <w:fldChar w:fldCharType="separate"/>
      </w:r>
      <w:r>
        <w:rPr>
          <w:rFonts w:hint="eastAsia" w:ascii="楷体_GB2312" w:hAnsi="楷体_GB2312" w:eastAsia="楷体_GB2312" w:cs="楷体_GB2312"/>
          <w:bCs/>
          <w:snapToGrid w:val="0"/>
          <w:szCs w:val="24"/>
        </w:rPr>
        <w:t>三、基础资产现金流预测分析、压力测试情况</w:t>
      </w:r>
      <w:r>
        <w:tab/>
      </w:r>
      <w:r>
        <w:fldChar w:fldCharType="begin"/>
      </w:r>
      <w:r>
        <w:instrText xml:space="preserve"> PAGEREF _Toc11941 \h </w:instrText>
      </w:r>
      <w:r>
        <w:fldChar w:fldCharType="separate"/>
      </w:r>
      <w:r>
        <w:t>17</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rPr>
          <w:b/>
          <w:bCs/>
        </w:rPr>
        <w:fldChar w:fldCharType="begin"/>
      </w:r>
      <w:r>
        <w:rPr>
          <w:b/>
          <w:bCs/>
        </w:rPr>
        <w:instrText xml:space="preserve"> HYPERLINK \l _Toc4333 </w:instrText>
      </w:r>
      <w:r>
        <w:rPr>
          <w:b/>
          <w:bCs/>
        </w:rPr>
        <w:fldChar w:fldCharType="separate"/>
      </w:r>
      <w:r>
        <w:rPr>
          <w:rFonts w:ascii="楷体_GB2312" w:hAnsi="楷体_GB2312" w:eastAsia="楷体_GB2312" w:cs="楷体_GB2312"/>
          <w:b/>
          <w:bCs/>
          <w:szCs w:val="30"/>
        </w:rPr>
        <w:t xml:space="preserve">第八章 </w:t>
      </w:r>
      <w:r>
        <w:rPr>
          <w:rFonts w:hint="eastAsia" w:ascii="楷体_GB2312" w:hAnsi="楷体_GB2312" w:eastAsia="楷体_GB2312" w:cs="楷体_GB2312"/>
          <w:b/>
          <w:bCs/>
          <w:szCs w:val="30"/>
        </w:rPr>
        <w:t>现金流归集与管理机制、投资及分配机制</w:t>
      </w:r>
      <w:r>
        <w:rPr>
          <w:b/>
          <w:bCs/>
        </w:rPr>
        <w:tab/>
      </w:r>
      <w:r>
        <w:rPr>
          <w:b/>
          <w:bCs/>
        </w:rPr>
        <w:fldChar w:fldCharType="begin"/>
      </w:r>
      <w:r>
        <w:rPr>
          <w:b/>
          <w:bCs/>
        </w:rPr>
        <w:instrText xml:space="preserve"> PAGEREF _Toc4333 \h </w:instrText>
      </w:r>
      <w:r>
        <w:rPr>
          <w:b/>
          <w:bCs/>
        </w:rPr>
        <w:fldChar w:fldCharType="separate"/>
      </w:r>
      <w:r>
        <w:rPr>
          <w:b/>
          <w:bCs/>
        </w:rPr>
        <w:t>18</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_Toc16734 </w:instrText>
      </w:r>
      <w:r>
        <w:fldChar w:fldCharType="separate"/>
      </w:r>
      <w:r>
        <w:rPr>
          <w:rFonts w:hint="eastAsia" w:ascii="楷体_GB2312" w:hAnsi="楷体_GB2312" w:eastAsia="楷体_GB2312" w:cs="楷体_GB2312"/>
          <w:bCs/>
          <w:szCs w:val="24"/>
        </w:rPr>
        <w:t>一、现金流的归集安排</w:t>
      </w:r>
      <w:r>
        <w:tab/>
      </w:r>
      <w:r>
        <w:fldChar w:fldCharType="begin"/>
      </w:r>
      <w:r>
        <w:instrText xml:space="preserve"> PAGEREF _Toc16734 \h </w:instrText>
      </w:r>
      <w:r>
        <w:fldChar w:fldCharType="separate"/>
      </w:r>
      <w:r>
        <w:t>18</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_Toc9634 </w:instrText>
      </w:r>
      <w:r>
        <w:fldChar w:fldCharType="separate"/>
      </w:r>
      <w:r>
        <w:rPr>
          <w:rFonts w:hint="eastAsia" w:ascii="楷体_GB2312" w:hAnsi="楷体_GB2312" w:eastAsia="楷体_GB2312" w:cs="楷体_GB2312"/>
          <w:bCs/>
          <w:szCs w:val="24"/>
        </w:rPr>
        <w:t>二、现金流运用及投资安排</w:t>
      </w:r>
      <w:r>
        <w:tab/>
      </w:r>
      <w:r>
        <w:fldChar w:fldCharType="begin"/>
      </w:r>
      <w:r>
        <w:instrText xml:space="preserve"> PAGEREF _Toc9634 \h </w:instrText>
      </w:r>
      <w:r>
        <w:fldChar w:fldCharType="separate"/>
      </w:r>
      <w:r>
        <w:t>18</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_Toc26047 </w:instrText>
      </w:r>
      <w:r>
        <w:fldChar w:fldCharType="separate"/>
      </w:r>
      <w:r>
        <w:rPr>
          <w:rFonts w:hint="eastAsia" w:ascii="楷体_GB2312" w:hAnsi="楷体_GB2312" w:eastAsia="楷体_GB2312" w:cs="楷体_GB2312"/>
          <w:bCs/>
          <w:szCs w:val="24"/>
        </w:rPr>
        <w:t>三、现金流分配机制</w:t>
      </w:r>
      <w:r>
        <w:tab/>
      </w:r>
      <w:r>
        <w:fldChar w:fldCharType="begin"/>
      </w:r>
      <w:r>
        <w:instrText xml:space="preserve"> PAGEREF _Toc26047 \h </w:instrText>
      </w:r>
      <w:r>
        <w:fldChar w:fldCharType="separate"/>
      </w:r>
      <w:r>
        <w:t>18</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_Toc13724 </w:instrText>
      </w:r>
      <w:r>
        <w:rPr>
          <w:b/>
          <w:bCs/>
        </w:rPr>
        <w:fldChar w:fldCharType="separate"/>
      </w:r>
      <w:r>
        <w:rPr>
          <w:rFonts w:ascii="楷体_GB2312" w:hAnsi="楷体_GB2312" w:eastAsia="楷体_GB2312" w:cs="楷体_GB2312"/>
          <w:b/>
          <w:bCs/>
          <w:szCs w:val="30"/>
        </w:rPr>
        <w:t xml:space="preserve">第九章 </w:t>
      </w:r>
      <w:r>
        <w:rPr>
          <w:rFonts w:hint="eastAsia" w:ascii="楷体_GB2312" w:hAnsi="楷体_GB2312" w:eastAsia="楷体_GB2312" w:cs="楷体_GB2312"/>
          <w:b/>
          <w:bCs/>
          <w:szCs w:val="30"/>
        </w:rPr>
        <w:t>风险自留的相关情况</w:t>
      </w:r>
      <w:r>
        <w:rPr>
          <w:b/>
          <w:bCs/>
        </w:rPr>
        <w:tab/>
      </w:r>
      <w:r>
        <w:rPr>
          <w:b/>
          <w:bCs/>
        </w:rPr>
        <w:fldChar w:fldCharType="begin"/>
      </w:r>
      <w:r>
        <w:rPr>
          <w:b/>
          <w:bCs/>
        </w:rPr>
        <w:instrText xml:space="preserve"> PAGEREF _Toc13724 \h </w:instrText>
      </w:r>
      <w:r>
        <w:rPr>
          <w:b/>
          <w:bCs/>
        </w:rPr>
        <w:fldChar w:fldCharType="separate"/>
      </w:r>
      <w:r>
        <w:rPr>
          <w:b/>
          <w:bCs/>
        </w:rPr>
        <w:t>19</w:t>
      </w:r>
      <w:r>
        <w:rPr>
          <w:b/>
          <w:bCs/>
        </w:rPr>
        <w:fldChar w:fldCharType="end"/>
      </w:r>
      <w:r>
        <w:rPr>
          <w:b/>
          <w:bCs/>
        </w:rP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_Toc20632 </w:instrText>
      </w:r>
      <w:r>
        <w:rPr>
          <w:b/>
          <w:bCs/>
        </w:rPr>
        <w:fldChar w:fldCharType="separate"/>
      </w:r>
      <w:r>
        <w:rPr>
          <w:rFonts w:ascii="楷体_GB2312" w:hAnsi="楷体_GB2312" w:eastAsia="楷体_GB2312" w:cs="楷体_GB2312"/>
          <w:b/>
          <w:bCs/>
          <w:szCs w:val="30"/>
        </w:rPr>
        <w:t xml:space="preserve">第十章 </w:t>
      </w:r>
      <w:r>
        <w:rPr>
          <w:rFonts w:hint="eastAsia" w:ascii="楷体_GB2312" w:hAnsi="楷体_GB2312" w:eastAsia="楷体_GB2312" w:cs="楷体_GB2312"/>
          <w:b/>
          <w:bCs/>
          <w:szCs w:val="30"/>
        </w:rPr>
        <w:t>募集资金用途及合法合规性声明</w:t>
      </w:r>
      <w:r>
        <w:rPr>
          <w:b/>
          <w:bCs/>
        </w:rPr>
        <w:tab/>
      </w:r>
      <w:r>
        <w:rPr>
          <w:b/>
          <w:bCs/>
        </w:rPr>
        <w:fldChar w:fldCharType="begin"/>
      </w:r>
      <w:r>
        <w:rPr>
          <w:b/>
          <w:bCs/>
        </w:rPr>
        <w:instrText xml:space="preserve"> PAGEREF _Toc20632 \h </w:instrText>
      </w:r>
      <w:r>
        <w:rPr>
          <w:b/>
          <w:bCs/>
        </w:rPr>
        <w:fldChar w:fldCharType="separate"/>
      </w:r>
      <w:r>
        <w:rPr>
          <w:b/>
          <w:bCs/>
        </w:rPr>
        <w:t>20</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_Toc28257 </w:instrText>
      </w:r>
      <w:r>
        <w:fldChar w:fldCharType="separate"/>
      </w:r>
      <w:r>
        <w:rPr>
          <w:rFonts w:hint="eastAsia" w:ascii="楷体_GB2312" w:hAnsi="楷体_GB2312" w:eastAsia="楷体_GB2312" w:cs="楷体_GB2312"/>
          <w:bCs/>
          <w:szCs w:val="24"/>
        </w:rPr>
        <w:t>一、募集资金用途</w:t>
      </w:r>
      <w:r>
        <w:tab/>
      </w:r>
      <w:r>
        <w:fldChar w:fldCharType="begin"/>
      </w:r>
      <w:r>
        <w:instrText xml:space="preserve"> PAGEREF _Toc28257 \h </w:instrText>
      </w:r>
      <w:r>
        <w:fldChar w:fldCharType="separate"/>
      </w:r>
      <w:r>
        <w:t>20</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_Toc23931 </w:instrText>
      </w:r>
      <w:r>
        <w:fldChar w:fldCharType="separate"/>
      </w:r>
      <w:r>
        <w:rPr>
          <w:rFonts w:hint="eastAsia" w:ascii="楷体_GB2312" w:hAnsi="楷体_GB2312" w:eastAsia="楷体_GB2312" w:cs="楷体_GB2312"/>
          <w:bCs/>
          <w:szCs w:val="24"/>
        </w:rPr>
        <w:t>二、承诺</w:t>
      </w:r>
      <w:r>
        <w:tab/>
      </w:r>
      <w:r>
        <w:fldChar w:fldCharType="begin"/>
      </w:r>
      <w:r>
        <w:instrText xml:space="preserve"> PAGEREF _Toc23931 \h </w:instrText>
      </w:r>
      <w:r>
        <w:fldChar w:fldCharType="separate"/>
      </w:r>
      <w:r>
        <w:t>20</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_Toc26524 </w:instrText>
      </w:r>
      <w:r>
        <w:rPr>
          <w:b/>
          <w:bCs/>
        </w:rPr>
        <w:fldChar w:fldCharType="separate"/>
      </w:r>
      <w:r>
        <w:rPr>
          <w:rFonts w:ascii="楷体_GB2312" w:hAnsi="楷体_GB2312" w:eastAsia="楷体_GB2312" w:cs="楷体_GB2312"/>
          <w:b/>
          <w:bCs/>
          <w:szCs w:val="30"/>
        </w:rPr>
        <w:t xml:space="preserve">第十一章 </w:t>
      </w:r>
      <w:r>
        <w:rPr>
          <w:rFonts w:hint="eastAsia" w:ascii="楷体_GB2312" w:hAnsi="楷体_GB2312" w:eastAsia="楷体_GB2312" w:cs="楷体_GB2312"/>
          <w:b/>
          <w:bCs/>
          <w:szCs w:val="30"/>
        </w:rPr>
        <w:t>信息披露安排</w:t>
      </w:r>
      <w:r>
        <w:rPr>
          <w:b/>
          <w:bCs/>
        </w:rPr>
        <w:tab/>
      </w:r>
      <w:r>
        <w:rPr>
          <w:b/>
          <w:bCs/>
        </w:rPr>
        <w:fldChar w:fldCharType="begin"/>
      </w:r>
      <w:r>
        <w:rPr>
          <w:b/>
          <w:bCs/>
        </w:rPr>
        <w:instrText xml:space="preserve"> PAGEREF _Toc26524 \h </w:instrText>
      </w:r>
      <w:r>
        <w:rPr>
          <w:b/>
          <w:bCs/>
        </w:rPr>
        <w:fldChar w:fldCharType="separate"/>
      </w:r>
      <w:r>
        <w:rPr>
          <w:b/>
          <w:bCs/>
        </w:rPr>
        <w:t>22</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_Toc10905 </w:instrText>
      </w:r>
      <w:r>
        <w:fldChar w:fldCharType="separate"/>
      </w:r>
      <w:r>
        <w:rPr>
          <w:rFonts w:hint="eastAsia" w:ascii="楷体_GB2312" w:hAnsi="楷体_GB2312" w:eastAsia="楷体_GB2312" w:cs="楷体_GB2312"/>
          <w:bCs/>
          <w:szCs w:val="24"/>
        </w:rPr>
        <w:t>一、信息披露机制</w:t>
      </w:r>
      <w:r>
        <w:tab/>
      </w:r>
      <w:r>
        <w:fldChar w:fldCharType="begin"/>
      </w:r>
      <w:r>
        <w:instrText xml:space="preserve"> PAGEREF _Toc10905 \h </w:instrText>
      </w:r>
      <w:r>
        <w:fldChar w:fldCharType="separate"/>
      </w:r>
      <w:r>
        <w:t>22</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_Toc32324 </w:instrText>
      </w:r>
      <w:r>
        <w:fldChar w:fldCharType="separate"/>
      </w:r>
      <w:r>
        <w:rPr>
          <w:rFonts w:hint="eastAsia" w:ascii="楷体_GB2312" w:hAnsi="楷体_GB2312" w:eastAsia="楷体_GB2312" w:cs="楷体_GB2312"/>
          <w:bCs/>
          <w:szCs w:val="24"/>
        </w:rPr>
        <w:t>二、信息披露文件</w:t>
      </w:r>
      <w:r>
        <w:tab/>
      </w:r>
      <w:r>
        <w:fldChar w:fldCharType="begin"/>
      </w:r>
      <w:r>
        <w:instrText xml:space="preserve"> PAGEREF _Toc32324 \h </w:instrText>
      </w:r>
      <w:r>
        <w:fldChar w:fldCharType="separate"/>
      </w:r>
      <w:r>
        <w:t>22</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_Toc19022 </w:instrText>
      </w:r>
      <w:r>
        <w:rPr>
          <w:b/>
          <w:bCs/>
        </w:rPr>
        <w:fldChar w:fldCharType="separate"/>
      </w:r>
      <w:r>
        <w:rPr>
          <w:rFonts w:ascii="楷体_GB2312" w:hAnsi="楷体_GB2312" w:eastAsia="楷体_GB2312" w:cs="楷体_GB2312"/>
          <w:b/>
          <w:bCs/>
          <w:szCs w:val="30"/>
        </w:rPr>
        <w:t xml:space="preserve">第十二章 </w:t>
      </w:r>
      <w:r>
        <w:rPr>
          <w:rFonts w:hint="eastAsia" w:ascii="楷体_GB2312" w:hAnsi="楷体_GB2312" w:eastAsia="楷体_GB2312" w:cs="楷体_GB2312"/>
          <w:b/>
          <w:bCs/>
          <w:szCs w:val="30"/>
        </w:rPr>
        <w:t>投资人保护机制</w:t>
      </w:r>
      <w:r>
        <w:rPr>
          <w:b/>
          <w:bCs/>
        </w:rPr>
        <w:tab/>
      </w:r>
      <w:r>
        <w:rPr>
          <w:b/>
          <w:bCs/>
        </w:rPr>
        <w:fldChar w:fldCharType="begin"/>
      </w:r>
      <w:r>
        <w:rPr>
          <w:b/>
          <w:bCs/>
        </w:rPr>
        <w:instrText xml:space="preserve"> PAGEREF _Toc19022 \h </w:instrText>
      </w:r>
      <w:r>
        <w:rPr>
          <w:b/>
          <w:bCs/>
        </w:rPr>
        <w:fldChar w:fldCharType="separate"/>
      </w:r>
      <w:r>
        <w:rPr>
          <w:b/>
          <w:bCs/>
        </w:rPr>
        <w:t>26</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_Toc31302 </w:instrText>
      </w:r>
      <w:r>
        <w:fldChar w:fldCharType="separate"/>
      </w:r>
      <w:r>
        <w:rPr>
          <w:rFonts w:hint="eastAsia" w:ascii="楷体_GB2312" w:hAnsi="楷体_GB2312" w:eastAsia="楷体_GB2312" w:cs="楷体_GB2312"/>
          <w:bCs/>
          <w:szCs w:val="24"/>
        </w:rPr>
        <w:t>一、违约事件</w:t>
      </w:r>
      <w:r>
        <w:tab/>
      </w:r>
      <w:r>
        <w:fldChar w:fldCharType="begin"/>
      </w:r>
      <w:r>
        <w:instrText xml:space="preserve"> PAGEREF _Toc31302 \h </w:instrText>
      </w:r>
      <w:r>
        <w:fldChar w:fldCharType="separate"/>
      </w:r>
      <w:r>
        <w:t>26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_Toc12938 </w:instrText>
      </w:r>
      <w:r>
        <w:fldChar w:fldCharType="separate"/>
      </w:r>
      <w:r>
        <w:rPr>
          <w:rFonts w:hint="eastAsia" w:ascii="楷体_GB2312" w:hAnsi="楷体_GB2312" w:eastAsia="楷体_GB2312" w:cs="楷体_GB2312"/>
          <w:bCs/>
          <w:szCs w:val="24"/>
        </w:rPr>
        <w:t>二、违约责任</w:t>
      </w:r>
      <w:r>
        <w:tab/>
      </w:r>
      <w:r>
        <w:fldChar w:fldCharType="begin"/>
      </w:r>
      <w:r>
        <w:instrText xml:space="preserve"> PAGEREF _Toc12938 \h </w:instrText>
      </w:r>
      <w:r>
        <w:fldChar w:fldCharType="separate"/>
      </w:r>
      <w:r>
        <w:t>26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_Toc25576 </w:instrText>
      </w:r>
      <w:r>
        <w:fldChar w:fldCharType="separate"/>
      </w:r>
      <w:r>
        <w:rPr>
          <w:rFonts w:hint="eastAsia" w:ascii="楷体_GB2312" w:hAnsi="楷体_GB2312" w:eastAsia="楷体_GB2312" w:cs="楷体_GB2312"/>
          <w:bCs/>
          <w:szCs w:val="24"/>
        </w:rPr>
        <w:t>三、投资人保护机制</w:t>
      </w:r>
      <w:r>
        <w:tab/>
      </w:r>
      <w:r>
        <w:fldChar w:fldCharType="begin"/>
      </w:r>
      <w:r>
        <w:instrText xml:space="preserve"> PAGEREF _Toc25576 \h </w:instrText>
      </w:r>
      <w:r>
        <w:fldChar w:fldCharType="separate"/>
      </w:r>
      <w:r>
        <w:t>26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_Toc26945 </w:instrText>
      </w:r>
      <w:r>
        <w:fldChar w:fldCharType="separate"/>
      </w:r>
      <w:r>
        <w:rPr>
          <w:rFonts w:hint="eastAsia" w:ascii="楷体_GB2312" w:hAnsi="楷体_GB2312" w:eastAsia="楷体_GB2312" w:cs="楷体_GB2312"/>
          <w:bCs/>
          <w:szCs w:val="24"/>
        </w:rPr>
        <w:t>四、投资人保护条款（如有）</w:t>
      </w:r>
      <w:r>
        <w:tab/>
      </w:r>
      <w:r>
        <w:fldChar w:fldCharType="begin"/>
      </w:r>
      <w:r>
        <w:instrText xml:space="preserve"> PAGEREF _Toc26945 \h </w:instrText>
      </w:r>
      <w:r>
        <w:fldChar w:fldCharType="separate"/>
      </w:r>
      <w:r>
        <w:t>26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_Toc21769 </w:instrText>
      </w:r>
      <w:r>
        <w:fldChar w:fldCharType="separate"/>
      </w:r>
      <w:r>
        <w:rPr>
          <w:rFonts w:hint="eastAsia" w:ascii="楷体_GB2312" w:hAnsi="楷体_GB2312" w:eastAsia="楷体_GB2312" w:cs="楷体_GB2312"/>
          <w:bCs/>
          <w:szCs w:val="24"/>
        </w:rPr>
        <w:t>五、资产支持商业票据持有人会议机制</w:t>
      </w:r>
      <w:r>
        <w:tab/>
      </w:r>
      <w:r>
        <w:fldChar w:fldCharType="begin"/>
      </w:r>
      <w:r>
        <w:instrText xml:space="preserve"> PAGEREF _Toc21769 \h </w:instrText>
      </w:r>
      <w:r>
        <w:fldChar w:fldCharType="separate"/>
      </w:r>
      <w:r>
        <w:t>26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_Toc1449 </w:instrText>
      </w:r>
      <w:r>
        <w:fldChar w:fldCharType="separate"/>
      </w:r>
      <w:r>
        <w:rPr>
          <w:rFonts w:hint="eastAsia" w:ascii="楷体_GB2312" w:hAnsi="楷体_GB2312" w:eastAsia="楷体_GB2312" w:cs="楷体_GB2312"/>
          <w:bCs/>
          <w:szCs w:val="24"/>
        </w:rPr>
        <w:t>六、不可抗力</w:t>
      </w:r>
      <w:r>
        <w:tab/>
      </w:r>
      <w:r>
        <w:fldChar w:fldCharType="begin"/>
      </w:r>
      <w:r>
        <w:instrText xml:space="preserve"> PAGEREF _Toc1449 \h </w:instrText>
      </w:r>
      <w:r>
        <w:fldChar w:fldCharType="separate"/>
      </w:r>
      <w:r>
        <w:t>26</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_Toc8595 </w:instrText>
      </w:r>
      <w:r>
        <w:fldChar w:fldCharType="separate"/>
      </w:r>
      <w:r>
        <w:rPr>
          <w:rFonts w:hint="eastAsia" w:ascii="楷体_GB2312" w:hAnsi="楷体_GB2312" w:eastAsia="楷体_GB2312" w:cs="楷体_GB2312"/>
          <w:bCs/>
          <w:szCs w:val="24"/>
        </w:rPr>
        <w:t>七、修改与弃权</w:t>
      </w:r>
      <w:r>
        <w:tab/>
      </w:r>
      <w:r>
        <w:fldChar w:fldCharType="begin"/>
      </w:r>
      <w:r>
        <w:instrText xml:space="preserve"> PAGEREF _Toc8595 \h </w:instrText>
      </w:r>
      <w:r>
        <w:fldChar w:fldCharType="separate"/>
      </w:r>
      <w:r>
        <w:t>26</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_Toc8323 </w:instrText>
      </w:r>
      <w:r>
        <w:rPr>
          <w:b/>
          <w:bCs/>
        </w:rPr>
        <w:fldChar w:fldCharType="separate"/>
      </w:r>
      <w:r>
        <w:rPr>
          <w:rFonts w:ascii="楷体_GB2312" w:hAnsi="楷体_GB2312" w:eastAsia="楷体_GB2312" w:cs="楷体_GB2312"/>
          <w:b/>
          <w:bCs/>
          <w:szCs w:val="30"/>
        </w:rPr>
        <w:t xml:space="preserve">第十三章 </w:t>
      </w:r>
      <w:r>
        <w:rPr>
          <w:rFonts w:hint="eastAsia" w:ascii="楷体_GB2312" w:hAnsi="楷体_GB2312" w:eastAsia="楷体_GB2312" w:cs="楷体_GB2312"/>
          <w:b/>
          <w:bCs/>
          <w:szCs w:val="30"/>
        </w:rPr>
        <w:t>法律适用及争议解决机制</w:t>
      </w:r>
      <w:r>
        <w:rPr>
          <w:b/>
          <w:bCs/>
        </w:rPr>
        <w:tab/>
      </w:r>
      <w:r>
        <w:rPr>
          <w:b/>
          <w:bCs/>
        </w:rPr>
        <w:fldChar w:fldCharType="begin"/>
      </w:r>
      <w:r>
        <w:rPr>
          <w:b/>
          <w:bCs/>
        </w:rPr>
        <w:instrText xml:space="preserve"> PAGEREF _Toc8323 \h </w:instrText>
      </w:r>
      <w:r>
        <w:rPr>
          <w:b/>
          <w:bCs/>
        </w:rPr>
        <w:fldChar w:fldCharType="separate"/>
      </w:r>
      <w:r>
        <w:rPr>
          <w:b/>
          <w:bCs/>
        </w:rPr>
        <w:t>27</w:t>
      </w:r>
      <w:r>
        <w:rPr>
          <w:b/>
          <w:bCs/>
        </w:rPr>
        <w:fldChar w:fldCharType="end"/>
      </w:r>
      <w:r>
        <w:rPr>
          <w:b/>
          <w:bCs/>
        </w:rP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_Toc4075 </w:instrText>
      </w:r>
      <w:r>
        <w:rPr>
          <w:b/>
          <w:bCs/>
        </w:rPr>
        <w:fldChar w:fldCharType="separate"/>
      </w:r>
      <w:r>
        <w:rPr>
          <w:rFonts w:ascii="楷体_GB2312" w:hAnsi="楷体_GB2312" w:eastAsia="楷体_GB2312" w:cs="楷体_GB2312"/>
          <w:b/>
          <w:bCs/>
          <w:szCs w:val="30"/>
        </w:rPr>
        <w:t xml:space="preserve">第十四章 </w:t>
      </w:r>
      <w:r>
        <w:rPr>
          <w:rFonts w:hint="eastAsia" w:ascii="楷体_GB2312" w:hAnsi="楷体_GB2312" w:eastAsia="楷体_GB2312" w:cs="楷体_GB2312"/>
          <w:b/>
          <w:bCs/>
          <w:szCs w:val="30"/>
        </w:rPr>
        <w:t>有关税费安排</w:t>
      </w:r>
      <w:r>
        <w:rPr>
          <w:b/>
          <w:bCs/>
        </w:rPr>
        <w:tab/>
      </w:r>
      <w:r>
        <w:rPr>
          <w:b/>
          <w:bCs/>
        </w:rPr>
        <w:fldChar w:fldCharType="begin"/>
      </w:r>
      <w:r>
        <w:rPr>
          <w:b/>
          <w:bCs/>
        </w:rPr>
        <w:instrText xml:space="preserve"> PAGEREF _Toc4075 \h </w:instrText>
      </w:r>
      <w:r>
        <w:rPr>
          <w:b/>
          <w:bCs/>
        </w:rPr>
        <w:fldChar w:fldCharType="separate"/>
      </w:r>
      <w:r>
        <w:rPr>
          <w:b/>
          <w:bCs/>
        </w:rPr>
        <w:t>28</w:t>
      </w:r>
      <w:r>
        <w:rPr>
          <w:b/>
          <w:bCs/>
        </w:rPr>
        <w:fldChar w:fldCharType="end"/>
      </w:r>
      <w:r>
        <w:rPr>
          <w:b/>
          <w:bCs/>
        </w:rP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_Toc510 </w:instrText>
      </w:r>
      <w:r>
        <w:rPr>
          <w:b/>
          <w:bCs/>
        </w:rPr>
        <w:fldChar w:fldCharType="separate"/>
      </w:r>
      <w:r>
        <w:rPr>
          <w:rFonts w:ascii="楷体_GB2312" w:hAnsi="楷体_GB2312" w:eastAsia="楷体_GB2312" w:cs="楷体_GB2312"/>
          <w:b/>
          <w:bCs/>
          <w:szCs w:val="30"/>
        </w:rPr>
        <w:t xml:space="preserve">第十五章 </w:t>
      </w:r>
      <w:r>
        <w:rPr>
          <w:rFonts w:hint="eastAsia" w:ascii="楷体_GB2312" w:hAnsi="楷体_GB2312" w:eastAsia="楷体_GB2312" w:cs="楷体_GB2312"/>
          <w:b/>
          <w:bCs/>
          <w:szCs w:val="30"/>
        </w:rPr>
        <w:t>主要交易文件摘要</w:t>
      </w:r>
      <w:r>
        <w:rPr>
          <w:b/>
          <w:bCs/>
        </w:rPr>
        <w:tab/>
      </w:r>
      <w:r>
        <w:rPr>
          <w:b/>
          <w:bCs/>
        </w:rPr>
        <w:fldChar w:fldCharType="begin"/>
      </w:r>
      <w:r>
        <w:rPr>
          <w:b/>
          <w:bCs/>
        </w:rPr>
        <w:instrText xml:space="preserve"> PAGEREF _Toc510 \h </w:instrText>
      </w:r>
      <w:r>
        <w:rPr>
          <w:b/>
          <w:bCs/>
        </w:rPr>
        <w:fldChar w:fldCharType="separate"/>
      </w:r>
      <w:r>
        <w:rPr>
          <w:b/>
          <w:bCs/>
        </w:rPr>
        <w:t>29</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_Toc30931 </w:instrText>
      </w:r>
      <w:r>
        <w:fldChar w:fldCharType="separate"/>
      </w:r>
      <w:r>
        <w:rPr>
          <w:rFonts w:hint="eastAsia" w:ascii="楷体_GB2312" w:hAnsi="楷体_GB2312" w:eastAsia="楷体_GB2312" w:cs="楷体_GB2312"/>
          <w:bCs/>
          <w:szCs w:val="24"/>
        </w:rPr>
        <w:t>一、《信托合同》摘要</w:t>
      </w:r>
      <w:r>
        <w:tab/>
      </w:r>
      <w:r>
        <w:fldChar w:fldCharType="begin"/>
      </w:r>
      <w:r>
        <w:instrText xml:space="preserve"> PAGEREF _Toc30931 \h </w:instrText>
      </w:r>
      <w:r>
        <w:fldChar w:fldCharType="separate"/>
      </w:r>
      <w:r>
        <w:t>29</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_Toc17236 </w:instrText>
      </w:r>
      <w:r>
        <w:fldChar w:fldCharType="separate"/>
      </w:r>
      <w:r>
        <w:rPr>
          <w:rFonts w:hint="eastAsia" w:ascii="楷体_GB2312" w:hAnsi="楷体_GB2312" w:eastAsia="楷体_GB2312" w:cs="楷体_GB2312"/>
          <w:bCs/>
          <w:szCs w:val="24"/>
        </w:rPr>
        <w:t>二、《服务合同》摘要（如有）</w:t>
      </w:r>
      <w:r>
        <w:tab/>
      </w:r>
      <w:r>
        <w:fldChar w:fldCharType="begin"/>
      </w:r>
      <w:r>
        <w:instrText xml:space="preserve"> PAGEREF _Toc17236 \h </w:instrText>
      </w:r>
      <w:r>
        <w:fldChar w:fldCharType="separate"/>
      </w:r>
      <w:r>
        <w:t>29</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_Toc21567 </w:instrText>
      </w:r>
      <w:r>
        <w:fldChar w:fldCharType="separate"/>
      </w:r>
      <w:r>
        <w:rPr>
          <w:rFonts w:hint="eastAsia" w:ascii="楷体_GB2312" w:hAnsi="楷体_GB2312" w:eastAsia="楷体_GB2312" w:cs="楷体_GB2312"/>
          <w:bCs/>
          <w:szCs w:val="24"/>
        </w:rPr>
        <w:t>三、《资金保管合同》摘要</w:t>
      </w:r>
      <w:r>
        <w:tab/>
      </w:r>
      <w:r>
        <w:fldChar w:fldCharType="begin"/>
      </w:r>
      <w:r>
        <w:instrText xml:space="preserve"> PAGEREF _Toc21567 \h </w:instrText>
      </w:r>
      <w:r>
        <w:fldChar w:fldCharType="separate"/>
      </w:r>
      <w:r>
        <w:t>29</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_Toc6116 </w:instrText>
      </w:r>
      <w:r>
        <w:fldChar w:fldCharType="separate"/>
      </w:r>
      <w:r>
        <w:rPr>
          <w:rFonts w:hint="eastAsia" w:ascii="楷体_GB2312" w:hAnsi="楷体_GB2312" w:eastAsia="楷体_GB2312" w:cs="楷体_GB2312"/>
          <w:bCs/>
          <w:kern w:val="2"/>
          <w:szCs w:val="24"/>
        </w:rPr>
        <w:t>四、《资金监管合同》</w:t>
      </w:r>
      <w:r>
        <w:rPr>
          <w:rFonts w:hint="eastAsia" w:ascii="楷体_GB2312" w:hAnsi="楷体_GB2312" w:eastAsia="楷体_GB2312" w:cs="楷体_GB2312"/>
          <w:bCs/>
          <w:szCs w:val="24"/>
        </w:rPr>
        <w:t>摘要（如有）</w:t>
      </w:r>
      <w:r>
        <w:tab/>
      </w:r>
      <w:r>
        <w:fldChar w:fldCharType="begin"/>
      </w:r>
      <w:r>
        <w:instrText xml:space="preserve"> PAGEREF _Toc6116 \h </w:instrText>
      </w:r>
      <w:r>
        <w:fldChar w:fldCharType="separate"/>
      </w:r>
      <w:r>
        <w:t>29</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_Toc21174 </w:instrText>
      </w:r>
      <w:r>
        <w:rPr>
          <w:b/>
          <w:bCs/>
        </w:rPr>
        <w:fldChar w:fldCharType="separate"/>
      </w:r>
      <w:r>
        <w:rPr>
          <w:rFonts w:ascii="楷体_GB2312" w:hAnsi="楷体_GB2312" w:eastAsia="楷体_GB2312" w:cs="楷体_GB2312"/>
          <w:b/>
          <w:bCs/>
          <w:szCs w:val="30"/>
        </w:rPr>
        <w:t xml:space="preserve">第十六章 </w:t>
      </w:r>
      <w:r>
        <w:rPr>
          <w:rFonts w:hint="eastAsia" w:ascii="楷体_GB2312" w:hAnsi="楷体_GB2312" w:eastAsia="楷体_GB2312" w:cs="楷体_GB2312"/>
          <w:b/>
          <w:bCs/>
          <w:szCs w:val="30"/>
        </w:rPr>
        <w:t>评级状况（如有）</w:t>
      </w:r>
      <w:r>
        <w:rPr>
          <w:b/>
          <w:bCs/>
        </w:rPr>
        <w:tab/>
      </w:r>
      <w:r>
        <w:rPr>
          <w:b/>
          <w:bCs/>
        </w:rPr>
        <w:fldChar w:fldCharType="begin"/>
      </w:r>
      <w:r>
        <w:rPr>
          <w:b/>
          <w:bCs/>
        </w:rPr>
        <w:instrText xml:space="preserve"> PAGEREF _Toc21174 \h </w:instrText>
      </w:r>
      <w:r>
        <w:rPr>
          <w:b/>
          <w:bCs/>
        </w:rPr>
        <w:fldChar w:fldCharType="separate"/>
      </w:r>
      <w:r>
        <w:rPr>
          <w:b/>
          <w:bCs/>
        </w:rPr>
        <w:t>30</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_Toc5681 </w:instrText>
      </w:r>
      <w:r>
        <w:fldChar w:fldCharType="separate"/>
      </w:r>
      <w:r>
        <w:rPr>
          <w:rFonts w:hint="eastAsia" w:ascii="楷体_GB2312" w:hAnsi="楷体_GB2312" w:eastAsia="楷体_GB2312" w:cs="楷体_GB2312"/>
          <w:bCs/>
          <w:szCs w:val="24"/>
        </w:rPr>
        <w:t>一、资产支持商业票据评级（如有）</w:t>
      </w:r>
      <w:r>
        <w:tab/>
      </w:r>
      <w:r>
        <w:fldChar w:fldCharType="begin"/>
      </w:r>
      <w:r>
        <w:instrText xml:space="preserve"> PAGEREF _Toc5681 \h </w:instrText>
      </w:r>
      <w:r>
        <w:fldChar w:fldCharType="separate"/>
      </w:r>
      <w:r>
        <w:t>30</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_Toc8284 </w:instrText>
      </w:r>
      <w:r>
        <w:fldChar w:fldCharType="separate"/>
      </w:r>
      <w:r>
        <w:rPr>
          <w:rFonts w:hint="eastAsia" w:ascii="楷体_GB2312" w:hAnsi="楷体_GB2312" w:eastAsia="楷体_GB2312" w:cs="楷体_GB2312"/>
          <w:bCs/>
          <w:szCs w:val="24"/>
        </w:rPr>
        <w:t>二、发起机构主体评级（如有）</w:t>
      </w:r>
      <w:r>
        <w:tab/>
      </w:r>
      <w:r>
        <w:fldChar w:fldCharType="begin"/>
      </w:r>
      <w:r>
        <w:instrText xml:space="preserve"> PAGEREF _Toc8284 \h </w:instrText>
      </w:r>
      <w:r>
        <w:fldChar w:fldCharType="separate"/>
      </w:r>
      <w:r>
        <w:t>30</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_Toc12982 </w:instrText>
      </w:r>
      <w:r>
        <w:fldChar w:fldCharType="separate"/>
      </w:r>
      <w:r>
        <w:rPr>
          <w:rFonts w:hint="eastAsia" w:ascii="楷体_GB2312" w:hAnsi="楷体_GB2312" w:eastAsia="楷体_GB2312" w:cs="楷体_GB2312"/>
          <w:bCs/>
          <w:szCs w:val="24"/>
        </w:rPr>
        <w:t>三、信用增级机构主体评级（如有）</w:t>
      </w:r>
      <w:r>
        <w:tab/>
      </w:r>
      <w:r>
        <w:fldChar w:fldCharType="begin"/>
      </w:r>
      <w:r>
        <w:instrText xml:space="preserve"> PAGEREF _Toc12982 \h </w:instrText>
      </w:r>
      <w:r>
        <w:fldChar w:fldCharType="separate"/>
      </w:r>
      <w:r>
        <w:t>30</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_Toc7429 </w:instrText>
      </w:r>
      <w:r>
        <w:rPr>
          <w:b/>
          <w:bCs/>
        </w:rPr>
        <w:fldChar w:fldCharType="separate"/>
      </w:r>
      <w:r>
        <w:rPr>
          <w:rFonts w:ascii="楷体_GB2312" w:hAnsi="楷体_GB2312" w:eastAsia="楷体_GB2312" w:cs="楷体_GB2312"/>
          <w:b/>
          <w:bCs/>
          <w:szCs w:val="30"/>
        </w:rPr>
        <w:t xml:space="preserve">第十七章 </w:t>
      </w:r>
      <w:r>
        <w:rPr>
          <w:rFonts w:hint="eastAsia" w:ascii="楷体_GB2312" w:hAnsi="楷体_GB2312" w:eastAsia="楷体_GB2312" w:cs="楷体_GB2312"/>
          <w:b/>
          <w:bCs/>
          <w:szCs w:val="30"/>
        </w:rPr>
        <w:t>备查文件</w:t>
      </w:r>
      <w:r>
        <w:rPr>
          <w:b/>
          <w:bCs/>
        </w:rPr>
        <w:tab/>
      </w:r>
      <w:r>
        <w:rPr>
          <w:b/>
          <w:bCs/>
        </w:rPr>
        <w:fldChar w:fldCharType="begin"/>
      </w:r>
      <w:r>
        <w:rPr>
          <w:b/>
          <w:bCs/>
        </w:rPr>
        <w:instrText xml:space="preserve"> PAGEREF _Toc7429 \h </w:instrText>
      </w:r>
      <w:r>
        <w:rPr>
          <w:b/>
          <w:bCs/>
        </w:rPr>
        <w:fldChar w:fldCharType="separate"/>
      </w:r>
      <w:r>
        <w:rPr>
          <w:b/>
          <w:bCs/>
        </w:rPr>
        <w:t>31</w:t>
      </w:r>
      <w:r>
        <w:rPr>
          <w:b/>
          <w:bCs/>
        </w:rPr>
        <w:fldChar w:fldCharType="end"/>
      </w:r>
      <w:r>
        <w:rPr>
          <w:b/>
          <w:bCs/>
        </w:rP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_Toc11710 </w:instrText>
      </w:r>
      <w:r>
        <w:fldChar w:fldCharType="separate"/>
      </w:r>
      <w:r>
        <w:rPr>
          <w:rFonts w:hint="eastAsia" w:ascii="楷体_GB2312" w:hAnsi="楷体_GB2312" w:eastAsia="楷体_GB2312" w:cs="楷体_GB2312"/>
          <w:bCs/>
          <w:szCs w:val="24"/>
        </w:rPr>
        <w:t>一、备查文件</w:t>
      </w:r>
      <w:r>
        <w:tab/>
      </w:r>
      <w:r>
        <w:fldChar w:fldCharType="begin"/>
      </w:r>
      <w:r>
        <w:instrText xml:space="preserve"> PAGEREF _Toc11710 \h </w:instrText>
      </w:r>
      <w:r>
        <w:fldChar w:fldCharType="separate"/>
      </w:r>
      <w:r>
        <w:t>31</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_Toc2959 </w:instrText>
      </w:r>
      <w:r>
        <w:fldChar w:fldCharType="separate"/>
      </w:r>
      <w:r>
        <w:rPr>
          <w:rFonts w:hint="eastAsia" w:ascii="楷体_GB2312" w:hAnsi="楷体_GB2312" w:eastAsia="楷体_GB2312" w:cs="楷体_GB2312"/>
          <w:bCs/>
          <w:szCs w:val="24"/>
        </w:rPr>
        <w:t>二、查询地址</w:t>
      </w:r>
      <w:r>
        <w:tab/>
      </w:r>
      <w:r>
        <w:fldChar w:fldCharType="begin"/>
      </w:r>
      <w:r>
        <w:instrText xml:space="preserve"> PAGEREF _Toc2959 \h </w:instrText>
      </w:r>
      <w:r>
        <w:fldChar w:fldCharType="separate"/>
      </w:r>
      <w:r>
        <w:t>31</w:t>
      </w:r>
      <w:r>
        <w:fldChar w:fldCharType="end"/>
      </w:r>
      <w:r>
        <w:fldChar w:fldCharType="end"/>
      </w:r>
    </w:p>
    <w:p>
      <w:pPr>
        <w:pStyle w:val="19"/>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_Toc15295 </w:instrText>
      </w:r>
      <w:r>
        <w:fldChar w:fldCharType="separate"/>
      </w:r>
      <w:r>
        <w:rPr>
          <w:rFonts w:hint="eastAsia" w:ascii="楷体_GB2312" w:hAnsi="楷体_GB2312" w:eastAsia="楷体_GB2312" w:cs="楷体_GB2312"/>
          <w:bCs/>
          <w:szCs w:val="24"/>
        </w:rPr>
        <w:t>三、网站</w:t>
      </w:r>
      <w:r>
        <w:tab/>
      </w:r>
      <w:r>
        <w:fldChar w:fldCharType="begin"/>
      </w:r>
      <w:r>
        <w:instrText xml:space="preserve"> PAGEREF _Toc15295 \h </w:instrText>
      </w:r>
      <w:r>
        <w:fldChar w:fldCharType="separate"/>
      </w:r>
      <w:r>
        <w:t>32</w:t>
      </w:r>
      <w:r>
        <w:fldChar w:fldCharType="end"/>
      </w:r>
      <w:r>
        <w:fldChar w:fldCharType="end"/>
      </w:r>
    </w:p>
    <w:p>
      <w:pPr>
        <w:pStyle w:val="34"/>
        <w:keepNext w:val="0"/>
        <w:keepLines w:val="0"/>
        <w:pageBreakBefore w:val="0"/>
        <w:widowControl/>
        <w:tabs>
          <w:tab w:val="right" w:leader="dot" w:pos="8300"/>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_Toc16758 </w:instrText>
      </w:r>
      <w:r>
        <w:rPr>
          <w:b/>
          <w:bCs/>
        </w:rPr>
        <w:fldChar w:fldCharType="separate"/>
      </w:r>
      <w:r>
        <w:rPr>
          <w:rFonts w:ascii="楷体_GB2312" w:hAnsi="楷体_GB2312" w:eastAsia="楷体_GB2312" w:cs="楷体_GB2312"/>
          <w:b/>
          <w:bCs/>
          <w:szCs w:val="30"/>
        </w:rPr>
        <w:t xml:space="preserve">第十八章 </w:t>
      </w:r>
      <w:r>
        <w:rPr>
          <w:rFonts w:hint="eastAsia" w:ascii="楷体_GB2312" w:hAnsi="楷体_GB2312" w:eastAsia="楷体_GB2312" w:cs="楷体_GB2312"/>
          <w:b/>
          <w:bCs/>
          <w:szCs w:val="30"/>
        </w:rPr>
        <w:t>发行有关机构</w:t>
      </w:r>
      <w:r>
        <w:rPr>
          <w:b/>
          <w:bCs/>
        </w:rPr>
        <w:tab/>
      </w:r>
      <w:r>
        <w:rPr>
          <w:b/>
          <w:bCs/>
        </w:rPr>
        <w:fldChar w:fldCharType="begin"/>
      </w:r>
      <w:r>
        <w:rPr>
          <w:b/>
          <w:bCs/>
        </w:rPr>
        <w:instrText xml:space="preserve"> PAGEREF _Toc16758 \h </w:instrText>
      </w:r>
      <w:r>
        <w:rPr>
          <w:b/>
          <w:bCs/>
        </w:rPr>
        <w:fldChar w:fldCharType="separate"/>
      </w:r>
      <w:r>
        <w:rPr>
          <w:b/>
          <w:bCs/>
        </w:rPr>
        <w:t>33</w:t>
      </w:r>
      <w:r>
        <w:rPr>
          <w:b/>
          <w:bCs/>
        </w:rPr>
        <w:fldChar w:fldCharType="end"/>
      </w:r>
      <w:r>
        <w:rPr>
          <w:b/>
          <w:bCs/>
        </w:rPr>
        <w:fldChar w:fldCharType="end"/>
      </w:r>
    </w:p>
    <w:p>
      <w:pPr>
        <w:keepNext w:val="0"/>
        <w:keepLines w:val="0"/>
        <w:pageBreakBefore w:val="0"/>
        <w:kinsoku/>
        <w:wordWrap/>
        <w:overflowPunct/>
        <w:topLinePunct w:val="0"/>
        <w:autoSpaceDE/>
        <w:autoSpaceDN/>
        <w:bidi w:val="0"/>
        <w:adjustRightInd/>
        <w:snapToGrid/>
        <w:spacing w:after="0"/>
        <w:textAlignment w:val="auto"/>
        <w:sectPr>
          <w:footerReference r:id="rId10" w:type="default"/>
          <w:footnotePr>
            <w:numRestart w:val="eachPage"/>
          </w:footnotePr>
          <w:pgSz w:w="11900" w:h="16838"/>
          <w:pgMar w:top="1440" w:right="1800" w:bottom="1440" w:left="1800" w:header="850" w:footer="992" w:gutter="0"/>
          <w:pgBorders>
            <w:top w:val="none" w:sz="0" w:space="0"/>
            <w:left w:val="none" w:sz="0" w:space="0"/>
            <w:bottom w:val="none" w:sz="0" w:space="0"/>
            <w:right w:val="none" w:sz="0" w:space="0"/>
          </w:pgBorders>
          <w:cols w:space="720" w:num="1"/>
          <w:docGrid w:linePitch="286" w:charSpace="0"/>
        </w:sectPr>
      </w:pPr>
      <w:r>
        <w:fldChar w:fldCharType="end"/>
      </w:r>
    </w:p>
    <w:p>
      <w:pPr>
        <w:pStyle w:val="15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0" w:firstLineChars="0"/>
        <w:jc w:val="center"/>
        <w:textAlignment w:val="auto"/>
        <w:outlineLvl w:val="1"/>
        <w:rPr>
          <w:rFonts w:ascii="楷体_GB2312" w:hAnsi="楷体_GB2312" w:eastAsia="楷体_GB2312" w:cs="楷体_GB2312"/>
          <w:b/>
          <w:bCs/>
          <w:kern w:val="0"/>
          <w:sz w:val="30"/>
          <w:szCs w:val="30"/>
        </w:rPr>
      </w:pPr>
      <w:bookmarkStart w:id="25" w:name="_Toc4168"/>
      <w:bookmarkStart w:id="26" w:name="_Toc19689"/>
      <w:bookmarkStart w:id="27" w:name="_Toc14151"/>
      <w:bookmarkStart w:id="28" w:name="_Toc24638"/>
      <w:bookmarkStart w:id="29" w:name="_Toc5365"/>
      <w:bookmarkStart w:id="30" w:name="_Toc11900"/>
      <w:bookmarkStart w:id="31" w:name="_Toc14052"/>
      <w:bookmarkStart w:id="32" w:name="_Toc31715"/>
      <w:bookmarkStart w:id="33" w:name="_Toc9026"/>
      <w:bookmarkStart w:id="34" w:name="_Toc18814"/>
      <w:bookmarkStart w:id="35" w:name="_Toc14838"/>
      <w:r>
        <w:rPr>
          <w:rFonts w:hint="eastAsia" w:ascii="楷体_GB2312" w:hAnsi="楷体_GB2312" w:eastAsia="楷体_GB2312" w:cs="楷体_GB2312"/>
          <w:b/>
          <w:bCs/>
          <w:kern w:val="0"/>
          <w:sz w:val="30"/>
          <w:szCs w:val="30"/>
        </w:rPr>
        <w:t>重要提示</w:t>
      </w:r>
      <w:bookmarkEnd w:id="25"/>
      <w:bookmarkEnd w:id="26"/>
      <w:bookmarkEnd w:id="27"/>
      <w:bookmarkEnd w:id="28"/>
      <w:bookmarkEnd w:id="29"/>
      <w:bookmarkEnd w:id="30"/>
      <w:bookmarkEnd w:id="31"/>
      <w:bookmarkEnd w:id="32"/>
      <w:bookmarkEnd w:id="33"/>
      <w:bookmarkEnd w:id="34"/>
      <w:bookmarkEnd w:id="35"/>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bookmarkStart w:id="36" w:name="_Toc11076"/>
      <w:bookmarkStart w:id="37" w:name="_Toc11962"/>
      <w:r>
        <w:rPr>
          <w:rFonts w:hint="eastAsia" w:ascii="楷体_GB2312" w:hAnsi="楷体_GB2312" w:eastAsia="楷体_GB2312" w:cs="楷体_GB2312"/>
          <w:b/>
          <w:bCs/>
          <w:kern w:val="0"/>
          <w:sz w:val="24"/>
          <w:szCs w:val="24"/>
        </w:rPr>
        <w:t>一、基础资产</w:t>
      </w:r>
      <w:r>
        <w:rPr>
          <w:rStyle w:val="48"/>
          <w:rFonts w:hint="eastAsia" w:ascii="楷体_GB2312" w:hAnsi="楷体_GB2312" w:eastAsia="楷体_GB2312" w:cs="楷体_GB2312"/>
          <w:b/>
          <w:bCs/>
          <w:kern w:val="0"/>
          <w:sz w:val="24"/>
          <w:szCs w:val="24"/>
        </w:rPr>
        <w:footnoteReference w:id="8"/>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的基础资产类型为【应收账款债权/租赁债权/（其他）】。基础资产系【发起机构为设立信托委托给受托人，根据业务合同对债务人依法享有的应收账款债权及其附属担保权益(如有)，初始入池的基础资产总额为人民币XX亿元，涉及应收账款XX笔，债务人XX个/（其他）】，具体信息详见“第七章 基础资产情况及现金流预测分析 一、基础资产情况”。</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二、交易结构</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（一）滚动发行安排</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本期资产支持商业票据设置了滚动发行机制，委托人可根据</w:t>
      </w:r>
      <w:r>
        <w:rPr>
          <w:rFonts w:hint="eastAsia" w:ascii="楷体_GB2312" w:hAnsi="楷体_GB2312" w:eastAsia="楷体_GB2312" w:cs="楷体_GB2312"/>
          <w:kern w:val="0"/>
          <w:sz w:val="24"/>
          <w:szCs w:val="24"/>
          <w:lang w:eastAsia="zh-CN"/>
        </w:rPr>
        <w:t>应根据</w:t>
      </w:r>
      <w:r>
        <w:rPr>
          <w:rFonts w:hint="eastAsia" w:ascii="楷体_GB2312" w:hAnsi="楷体_GB2312" w:eastAsia="楷体_GB2312" w:cs="楷体_GB2312"/>
          <w:kern w:val="0"/>
          <w:sz w:val="24"/>
          <w:szCs w:val="24"/>
        </w:rPr>
        <w:t>交易文件的约定，选择由受托人发行后一期优先级资产支持商业票据用于兑付前一期优先级资产支持商业票据。具体安排详见“第四章 资产支持商业票据的交易结构 二、交易结构介绍 （三）滚动发行安排”。</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（二）循环购买安排（如有）</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本期资产支持商业票据设置了循环购买机制，受托人可根据</w:t>
      </w:r>
      <w:r>
        <w:rPr>
          <w:rFonts w:hint="eastAsia" w:ascii="楷体_GB2312" w:hAnsi="楷体_GB2312" w:eastAsia="楷体_GB2312" w:cs="楷体_GB2312"/>
          <w:kern w:val="0"/>
          <w:sz w:val="24"/>
          <w:szCs w:val="24"/>
          <w:lang w:eastAsia="zh-CN"/>
        </w:rPr>
        <w:t>应根据</w:t>
      </w:r>
      <w:r>
        <w:rPr>
          <w:rFonts w:hint="eastAsia" w:ascii="楷体_GB2312" w:hAnsi="楷体_GB2312" w:eastAsia="楷体_GB2312" w:cs="楷体_GB2312"/>
          <w:kern w:val="0"/>
          <w:sz w:val="24"/>
          <w:szCs w:val="24"/>
        </w:rPr>
        <w:t>交易文件的约定，以信托账户中的可用资金向委托人购买基础资产。具体安排详见“第四章 资产支持商业票据的交易结构 二、交易结构介绍 （五）循环购买安排”。</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（三）回购资产安排</w:t>
      </w:r>
      <w:r>
        <w:rPr>
          <w:rStyle w:val="48"/>
          <w:rFonts w:hint="eastAsia" w:ascii="楷体_GB2312" w:hAnsi="楷体_GB2312" w:eastAsia="楷体_GB2312" w:cs="楷体_GB2312"/>
          <w:b/>
          <w:bCs/>
          <w:kern w:val="0"/>
          <w:sz w:val="24"/>
          <w:szCs w:val="24"/>
        </w:rPr>
        <w:footnoteReference w:id="9"/>
      </w:r>
      <w:r>
        <w:rPr>
          <w:rFonts w:hint="eastAsia" w:ascii="楷体_GB2312" w:hAnsi="楷体_GB2312" w:eastAsia="楷体_GB2312" w:cs="楷体_GB2312"/>
          <w:b/>
          <w:bCs/>
          <w:kern w:val="0"/>
          <w:sz w:val="24"/>
          <w:szCs w:val="24"/>
        </w:rPr>
        <w:t>（如有）</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本期资产支持商业票据设置了回购资产机制，委托人可根据</w:t>
      </w:r>
      <w:r>
        <w:rPr>
          <w:rFonts w:hint="eastAsia" w:ascii="楷体_GB2312" w:hAnsi="楷体_GB2312" w:eastAsia="楷体_GB2312" w:cs="楷体_GB2312"/>
          <w:kern w:val="0"/>
          <w:sz w:val="24"/>
          <w:szCs w:val="24"/>
          <w:lang w:eastAsia="zh-CN"/>
        </w:rPr>
        <w:t>应根据</w:t>
      </w:r>
      <w:r>
        <w:rPr>
          <w:rFonts w:hint="eastAsia" w:ascii="楷体_GB2312" w:hAnsi="楷体_GB2312" w:eastAsia="楷体_GB2312" w:cs="楷体_GB2312"/>
          <w:kern w:val="0"/>
          <w:sz w:val="24"/>
          <w:szCs w:val="24"/>
        </w:rPr>
        <w:t>交易文件的约定行使权利回购基础资产。具体内容请详见“第四章 资产支持商业票据的交易结构 二、交易结构介绍 （七）回购资产安排”。</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（四）差额支付承诺（如有）</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本期资产支持商业票据设置了差额支付承诺的信用增级方式，在差额支付启动事件发生时，由【</w:t>
      </w:r>
      <w:r>
        <w:rPr>
          <w:rFonts w:hint="eastAsia" w:ascii="楷体_GB2312" w:hAnsi="楷体_GB2312" w:eastAsia="楷体_GB2312" w:cs="楷体_GB2312"/>
          <w:b/>
          <w:bCs/>
          <w:i/>
          <w:iCs/>
          <w:color w:val="FF0000"/>
          <w:kern w:val="0"/>
          <w:sz w:val="24"/>
          <w:szCs w:val="24"/>
          <w:u w:val="single"/>
        </w:rPr>
        <w:t>信用增级机构</w:t>
      </w:r>
      <w:r>
        <w:rPr>
          <w:rFonts w:hint="eastAsia" w:ascii="楷体_GB2312" w:hAnsi="楷体_GB2312" w:eastAsia="楷体_GB2312" w:cs="楷体_GB2312"/>
          <w:kern w:val="0"/>
          <w:sz w:val="24"/>
          <w:szCs w:val="24"/>
        </w:rPr>
        <w:t>】根据交易文件及《差额支付承诺函》的约定履行差额支付义务。具体内容请详见“第五章 资产支持商业票据的信用增级方式 二、外部增信安排 （一）差额支付承诺”。</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（五）回购资产池</w:t>
      </w:r>
      <w:r>
        <w:rPr>
          <w:rStyle w:val="48"/>
          <w:rFonts w:hint="eastAsia" w:ascii="楷体_GB2312" w:hAnsi="楷体_GB2312" w:eastAsia="楷体_GB2312" w:cs="楷体_GB2312"/>
          <w:b/>
          <w:bCs/>
          <w:kern w:val="0"/>
          <w:sz w:val="24"/>
          <w:szCs w:val="24"/>
        </w:rPr>
        <w:footnoteReference w:id="10"/>
      </w:r>
      <w:r>
        <w:rPr>
          <w:rFonts w:ascii="楷体_GB2312" w:hAnsi="楷体_GB2312" w:eastAsia="楷体_GB2312" w:cs="楷体_GB2312"/>
          <w:b/>
          <w:bCs/>
          <w:kern w:val="0"/>
          <w:sz w:val="24"/>
          <w:szCs w:val="24"/>
        </w:rPr>
        <w:t>（如有）</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本期资产支持商业票据设置了回购资产池的信用增级方式，在委托人中止滚动发行或滚动发行不成功时，由委托人根据交易文件的约定履行回购资产池的义务。具体内容请详见“第五章 资产支持商业票据的信用增级方式 二、外部增信安排 （二）回购资产池”。</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（六）受让信托受益权</w:t>
      </w:r>
      <w:r>
        <w:rPr>
          <w:rFonts w:ascii="楷体_GB2312" w:hAnsi="楷体_GB2312" w:eastAsia="楷体_GB2312" w:cs="楷体_GB2312"/>
          <w:b/>
          <w:bCs/>
          <w:kern w:val="0"/>
          <w:sz w:val="24"/>
          <w:szCs w:val="24"/>
        </w:rPr>
        <w:t>（如有）</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本期资产支持商业票据设置了受让信托受益权的信用增级方式，在委托人中止滚动发行或滚动发行不成功时，由委托人根据交易文件的约定履行受让信托受益权的义务。具体内容请详见“第五章 资产支持商业票据的信用增级方式 二、外部增信安排 （三）受让信托受益权”。</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三、风险提示</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（一）基础资产相关风险</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ascii="楷体_GB2312" w:hAnsi="楷体_GB2312" w:eastAsia="楷体_GB2312" w:cs="楷体_GB2312"/>
          <w:kern w:val="0"/>
          <w:sz w:val="24"/>
          <w:szCs w:val="24"/>
        </w:rPr>
      </w:pPr>
      <w:r>
        <w:rPr>
          <w:rFonts w:ascii="楷体_GB2312" w:hAnsi="楷体_GB2312" w:eastAsia="楷体_GB2312" w:cs="楷体_GB2312"/>
          <w:kern w:val="0"/>
          <w:sz w:val="24"/>
          <w:szCs w:val="24"/>
        </w:rPr>
        <w:t>本期资产支持商业票据</w:t>
      </w:r>
      <w:r>
        <w:rPr>
          <w:rFonts w:hint="eastAsia" w:ascii="楷体_GB2312" w:hAnsi="楷体_GB2312" w:eastAsia="楷体_GB2312" w:cs="楷体_GB2312"/>
          <w:kern w:val="0"/>
          <w:sz w:val="24"/>
          <w:szCs w:val="24"/>
        </w:rPr>
        <w:t>存在【</w:t>
      </w:r>
      <w:r>
        <w:rPr>
          <w:rFonts w:hint="eastAsia" w:ascii="楷体_GB2312" w:hAnsi="楷体_GB2312" w:eastAsia="楷体_GB2312" w:cs="楷体_GB2312"/>
          <w:b/>
          <w:bCs/>
          <w:i/>
          <w:iCs/>
          <w:color w:val="FF0000"/>
          <w:kern w:val="0"/>
          <w:sz w:val="24"/>
          <w:szCs w:val="24"/>
          <w:u w:val="single"/>
        </w:rPr>
        <w:t>基础资产相关风险，建议不超过3条</w:t>
      </w:r>
      <w:r>
        <w:rPr>
          <w:rFonts w:hint="eastAsia" w:ascii="楷体_GB2312" w:hAnsi="楷体_GB2312" w:eastAsia="楷体_GB2312" w:cs="楷体_GB2312"/>
          <w:kern w:val="0"/>
          <w:sz w:val="24"/>
          <w:szCs w:val="24"/>
        </w:rPr>
        <w:t>】等风险，</w:t>
      </w:r>
      <w:r>
        <w:rPr>
          <w:rFonts w:ascii="楷体_GB2312" w:hAnsi="楷体_GB2312" w:eastAsia="楷体_GB2312" w:cs="楷体_GB2312"/>
          <w:kern w:val="0"/>
          <w:sz w:val="24"/>
          <w:szCs w:val="24"/>
        </w:rPr>
        <w:t>具体内容详见“第</w:t>
      </w:r>
      <w:r>
        <w:rPr>
          <w:rFonts w:hint="eastAsia" w:ascii="楷体_GB2312" w:hAnsi="楷体_GB2312" w:eastAsia="楷体_GB2312" w:cs="楷体_GB2312"/>
          <w:kern w:val="0"/>
          <w:sz w:val="24"/>
          <w:szCs w:val="24"/>
        </w:rPr>
        <w:t>三</w:t>
      </w:r>
      <w:r>
        <w:rPr>
          <w:rFonts w:ascii="楷体_GB2312" w:hAnsi="楷体_GB2312" w:eastAsia="楷体_GB2312" w:cs="楷体_GB2312"/>
          <w:kern w:val="0"/>
          <w:sz w:val="24"/>
          <w:szCs w:val="24"/>
        </w:rPr>
        <w:t xml:space="preserve">章 </w:t>
      </w:r>
      <w:r>
        <w:rPr>
          <w:rFonts w:hint="eastAsia" w:ascii="楷体_GB2312" w:hAnsi="楷体_GB2312" w:eastAsia="楷体_GB2312" w:cs="楷体_GB2312"/>
          <w:kern w:val="0"/>
          <w:sz w:val="24"/>
          <w:szCs w:val="24"/>
        </w:rPr>
        <w:t>风险提示及说明</w:t>
      </w:r>
      <w:r>
        <w:rPr>
          <w:rFonts w:ascii="楷体_GB2312" w:hAnsi="楷体_GB2312" w:eastAsia="楷体_GB2312" w:cs="楷体_GB2312"/>
          <w:kern w:val="0"/>
          <w:sz w:val="24"/>
          <w:szCs w:val="24"/>
        </w:rPr>
        <w:t xml:space="preserve"> 二、</w:t>
      </w:r>
      <w:r>
        <w:rPr>
          <w:rFonts w:hint="eastAsia" w:ascii="楷体_GB2312" w:hAnsi="楷体_GB2312" w:eastAsia="楷体_GB2312" w:cs="楷体_GB2312"/>
          <w:kern w:val="0"/>
          <w:sz w:val="24"/>
          <w:szCs w:val="24"/>
        </w:rPr>
        <w:t>基础资产相关风险</w:t>
      </w:r>
      <w:r>
        <w:rPr>
          <w:rFonts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（二）发行相关主体</w:t>
      </w:r>
      <w:r>
        <w:rPr>
          <w:rStyle w:val="48"/>
          <w:rFonts w:hint="eastAsia" w:ascii="楷体_GB2312" w:hAnsi="楷体_GB2312" w:eastAsia="楷体_GB2312" w:cs="楷体_GB2312"/>
          <w:b/>
          <w:bCs/>
          <w:kern w:val="0"/>
          <w:sz w:val="24"/>
          <w:szCs w:val="24"/>
        </w:rPr>
        <w:footnoteReference w:id="11"/>
      </w:r>
      <w:r>
        <w:rPr>
          <w:rFonts w:hint="eastAsia" w:ascii="楷体_GB2312" w:hAnsi="楷体_GB2312" w:eastAsia="楷体_GB2312" w:cs="楷体_GB2312"/>
          <w:b/>
          <w:bCs/>
          <w:kern w:val="0"/>
          <w:sz w:val="24"/>
          <w:szCs w:val="24"/>
        </w:rPr>
        <w:t>风险</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ascii="楷体_GB2312" w:hAnsi="楷体_GB2312" w:eastAsia="楷体_GB2312" w:cs="楷体_GB2312"/>
          <w:kern w:val="0"/>
          <w:sz w:val="24"/>
          <w:szCs w:val="24"/>
        </w:rPr>
      </w:pPr>
      <w:r>
        <w:rPr>
          <w:rFonts w:ascii="楷体_GB2312" w:hAnsi="楷体_GB2312" w:eastAsia="楷体_GB2312" w:cs="楷体_GB2312"/>
          <w:kern w:val="0"/>
          <w:sz w:val="24"/>
          <w:szCs w:val="24"/>
        </w:rPr>
        <w:t>本期资产支持商业票据</w:t>
      </w:r>
      <w:r>
        <w:rPr>
          <w:rFonts w:hint="eastAsia" w:ascii="楷体_GB2312" w:hAnsi="楷体_GB2312" w:eastAsia="楷体_GB2312" w:cs="楷体_GB2312"/>
          <w:kern w:val="0"/>
          <w:sz w:val="24"/>
          <w:szCs w:val="24"/>
        </w:rPr>
        <w:t>存在【</w:t>
      </w:r>
      <w:r>
        <w:rPr>
          <w:rFonts w:hint="eastAsia" w:ascii="楷体_GB2312" w:hAnsi="楷体_GB2312" w:eastAsia="楷体_GB2312" w:cs="楷体_GB2312"/>
          <w:b/>
          <w:bCs/>
          <w:i/>
          <w:iCs/>
          <w:color w:val="FF0000"/>
          <w:kern w:val="0"/>
          <w:sz w:val="24"/>
          <w:szCs w:val="24"/>
          <w:u w:val="single"/>
        </w:rPr>
        <w:t>发起机构或信用增级机构相关风险，建议不超过3条</w:t>
      </w:r>
      <w:r>
        <w:rPr>
          <w:rFonts w:hint="eastAsia" w:ascii="楷体_GB2312" w:hAnsi="楷体_GB2312" w:eastAsia="楷体_GB2312" w:cs="楷体_GB2312"/>
          <w:kern w:val="0"/>
          <w:sz w:val="24"/>
          <w:szCs w:val="24"/>
        </w:rPr>
        <w:t>】等风险，</w:t>
      </w:r>
      <w:r>
        <w:rPr>
          <w:rFonts w:ascii="楷体_GB2312" w:hAnsi="楷体_GB2312" w:eastAsia="楷体_GB2312" w:cs="楷体_GB2312"/>
          <w:kern w:val="0"/>
          <w:sz w:val="24"/>
          <w:szCs w:val="24"/>
        </w:rPr>
        <w:t>具体内容详见“</w:t>
      </w:r>
      <w:r>
        <w:rPr>
          <w:rFonts w:hint="eastAsia" w:ascii="楷体_GB2312" w:hAnsi="楷体_GB2312" w:eastAsia="楷体_GB2312" w:cs="楷体_GB2312"/>
          <w:kern w:val="0"/>
          <w:sz w:val="24"/>
          <w:szCs w:val="24"/>
        </w:rPr>
        <w:t>【</w:t>
      </w:r>
      <w:r>
        <w:rPr>
          <w:rFonts w:ascii="楷体_GB2312" w:hAnsi="楷体_GB2312" w:eastAsia="楷体_GB2312" w:cs="楷体_GB2312"/>
          <w:kern w:val="0"/>
          <w:sz w:val="24"/>
          <w:szCs w:val="24"/>
        </w:rPr>
        <w:t>第</w:t>
      </w:r>
      <w:r>
        <w:rPr>
          <w:rFonts w:hint="eastAsia" w:ascii="楷体_GB2312" w:hAnsi="楷体_GB2312" w:eastAsia="楷体_GB2312" w:cs="楷体_GB2312"/>
          <w:kern w:val="0"/>
          <w:sz w:val="24"/>
          <w:szCs w:val="24"/>
        </w:rPr>
        <w:t>三</w:t>
      </w:r>
      <w:r>
        <w:rPr>
          <w:rFonts w:ascii="楷体_GB2312" w:hAnsi="楷体_GB2312" w:eastAsia="楷体_GB2312" w:cs="楷体_GB2312"/>
          <w:kern w:val="0"/>
          <w:sz w:val="24"/>
          <w:szCs w:val="24"/>
        </w:rPr>
        <w:t xml:space="preserve">章 </w:t>
      </w:r>
      <w:r>
        <w:rPr>
          <w:rFonts w:hint="eastAsia" w:ascii="楷体_GB2312" w:hAnsi="楷体_GB2312" w:eastAsia="楷体_GB2312" w:cs="楷体_GB2312"/>
          <w:kern w:val="0"/>
          <w:sz w:val="24"/>
          <w:szCs w:val="24"/>
        </w:rPr>
        <w:t>风险提示及说明</w:t>
      </w:r>
      <w:r>
        <w:rPr>
          <w:rFonts w:ascii="楷体_GB2312" w:hAnsi="楷体_GB2312" w:eastAsia="楷体_GB2312" w:cs="楷体_GB2312"/>
          <w:kern w:val="0"/>
          <w:sz w:val="24"/>
          <w:szCs w:val="24"/>
        </w:rPr>
        <w:t xml:space="preserve"> </w:t>
      </w:r>
      <w:r>
        <w:rPr>
          <w:rFonts w:hint="eastAsia" w:ascii="楷体_GB2312" w:hAnsi="楷体_GB2312" w:eastAsia="楷体_GB2312" w:cs="楷体_GB2312"/>
          <w:kern w:val="0"/>
          <w:sz w:val="24"/>
          <w:szCs w:val="24"/>
        </w:rPr>
        <w:t>四</w:t>
      </w:r>
      <w:r>
        <w:rPr>
          <w:rFonts w:ascii="楷体_GB2312" w:hAnsi="楷体_GB2312" w:eastAsia="楷体_GB2312" w:cs="楷体_GB2312"/>
          <w:kern w:val="0"/>
          <w:sz w:val="24"/>
          <w:szCs w:val="24"/>
        </w:rPr>
        <w:t>、</w:t>
      </w:r>
      <w:r>
        <w:rPr>
          <w:rFonts w:hint="eastAsia" w:ascii="楷体_GB2312" w:hAnsi="楷体_GB2312" w:eastAsia="楷体_GB2312" w:cs="楷体_GB2312"/>
          <w:kern w:val="0"/>
          <w:sz w:val="24"/>
          <w:szCs w:val="24"/>
        </w:rPr>
        <w:t>发起机构相关风险/</w:t>
      </w:r>
      <w:r>
        <w:rPr>
          <w:rFonts w:ascii="楷体_GB2312" w:hAnsi="楷体_GB2312" w:eastAsia="楷体_GB2312" w:cs="楷体_GB2312"/>
          <w:kern w:val="0"/>
          <w:sz w:val="24"/>
          <w:szCs w:val="24"/>
        </w:rPr>
        <w:t>第</w:t>
      </w:r>
      <w:r>
        <w:rPr>
          <w:rFonts w:hint="eastAsia" w:ascii="楷体_GB2312" w:hAnsi="楷体_GB2312" w:eastAsia="楷体_GB2312" w:cs="楷体_GB2312"/>
          <w:kern w:val="0"/>
          <w:sz w:val="24"/>
          <w:szCs w:val="24"/>
        </w:rPr>
        <w:t>三</w:t>
      </w:r>
      <w:r>
        <w:rPr>
          <w:rFonts w:ascii="楷体_GB2312" w:hAnsi="楷体_GB2312" w:eastAsia="楷体_GB2312" w:cs="楷体_GB2312"/>
          <w:kern w:val="0"/>
          <w:sz w:val="24"/>
          <w:szCs w:val="24"/>
        </w:rPr>
        <w:t xml:space="preserve">章 </w:t>
      </w:r>
      <w:r>
        <w:rPr>
          <w:rFonts w:hint="eastAsia" w:ascii="楷体_GB2312" w:hAnsi="楷体_GB2312" w:eastAsia="楷体_GB2312" w:cs="楷体_GB2312"/>
          <w:kern w:val="0"/>
          <w:sz w:val="24"/>
          <w:szCs w:val="24"/>
        </w:rPr>
        <w:t>风险提示及说明</w:t>
      </w:r>
      <w:r>
        <w:rPr>
          <w:rFonts w:ascii="楷体_GB2312" w:hAnsi="楷体_GB2312" w:eastAsia="楷体_GB2312" w:cs="楷体_GB2312"/>
          <w:kern w:val="0"/>
          <w:sz w:val="24"/>
          <w:szCs w:val="24"/>
        </w:rPr>
        <w:t xml:space="preserve"> </w:t>
      </w:r>
      <w:r>
        <w:rPr>
          <w:rFonts w:hint="eastAsia" w:ascii="楷体_GB2312" w:hAnsi="楷体_GB2312" w:eastAsia="楷体_GB2312" w:cs="楷体_GB2312"/>
          <w:kern w:val="0"/>
          <w:sz w:val="24"/>
          <w:szCs w:val="24"/>
        </w:rPr>
        <w:t>五</w:t>
      </w:r>
      <w:r>
        <w:rPr>
          <w:rFonts w:ascii="楷体_GB2312" w:hAnsi="楷体_GB2312" w:eastAsia="楷体_GB2312" w:cs="楷体_GB2312"/>
          <w:kern w:val="0"/>
          <w:sz w:val="24"/>
          <w:szCs w:val="24"/>
        </w:rPr>
        <w:t>、</w:t>
      </w:r>
      <w:r>
        <w:rPr>
          <w:rFonts w:hint="eastAsia" w:ascii="楷体_GB2312" w:hAnsi="楷体_GB2312" w:eastAsia="楷体_GB2312" w:cs="楷体_GB2312"/>
          <w:kern w:val="0"/>
          <w:sz w:val="24"/>
          <w:szCs w:val="24"/>
        </w:rPr>
        <w:t>信用增级机构相关风险/（其他）】</w:t>
      </w:r>
      <w:r>
        <w:rPr>
          <w:rFonts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（三）资产支持商业票据相关风险</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ascii="楷体_GB2312" w:hAnsi="楷体_GB2312" w:eastAsia="楷体_GB2312" w:cs="楷体_GB2312"/>
          <w:kern w:val="0"/>
          <w:sz w:val="24"/>
          <w:szCs w:val="24"/>
        </w:rPr>
      </w:pPr>
      <w:r>
        <w:rPr>
          <w:rFonts w:ascii="楷体_GB2312" w:hAnsi="楷体_GB2312" w:eastAsia="楷体_GB2312" w:cs="楷体_GB2312"/>
          <w:kern w:val="0"/>
          <w:sz w:val="24"/>
          <w:szCs w:val="24"/>
        </w:rPr>
        <w:t>本期资产支持商业票据</w:t>
      </w:r>
      <w:r>
        <w:rPr>
          <w:rFonts w:hint="eastAsia" w:ascii="楷体_GB2312" w:hAnsi="楷体_GB2312" w:eastAsia="楷体_GB2312" w:cs="楷体_GB2312"/>
          <w:kern w:val="0"/>
          <w:sz w:val="24"/>
          <w:szCs w:val="24"/>
        </w:rPr>
        <w:t>存在【</w:t>
      </w:r>
      <w:r>
        <w:rPr>
          <w:rFonts w:hint="eastAsia" w:ascii="楷体_GB2312" w:hAnsi="楷体_GB2312" w:eastAsia="楷体_GB2312" w:cs="楷体_GB2312"/>
          <w:b/>
          <w:bCs/>
          <w:i/>
          <w:iCs/>
          <w:color w:val="FF0000"/>
          <w:kern w:val="0"/>
          <w:sz w:val="24"/>
          <w:szCs w:val="24"/>
          <w:u w:val="single"/>
        </w:rPr>
        <w:t>资产支持商业票据相关风险，建议不超过3条</w:t>
      </w:r>
      <w:r>
        <w:rPr>
          <w:rFonts w:hint="eastAsia" w:ascii="楷体_GB2312" w:hAnsi="楷体_GB2312" w:eastAsia="楷体_GB2312" w:cs="楷体_GB2312"/>
          <w:kern w:val="0"/>
          <w:sz w:val="24"/>
          <w:szCs w:val="24"/>
        </w:rPr>
        <w:t>】等风险，</w:t>
      </w:r>
      <w:r>
        <w:rPr>
          <w:rFonts w:ascii="楷体_GB2312" w:hAnsi="楷体_GB2312" w:eastAsia="楷体_GB2312" w:cs="楷体_GB2312"/>
          <w:kern w:val="0"/>
          <w:sz w:val="24"/>
          <w:szCs w:val="24"/>
        </w:rPr>
        <w:t>具体内容详见“第</w:t>
      </w:r>
      <w:r>
        <w:rPr>
          <w:rFonts w:hint="eastAsia" w:ascii="楷体_GB2312" w:hAnsi="楷体_GB2312" w:eastAsia="楷体_GB2312" w:cs="楷体_GB2312"/>
          <w:kern w:val="0"/>
          <w:sz w:val="24"/>
          <w:szCs w:val="24"/>
        </w:rPr>
        <w:t>三</w:t>
      </w:r>
      <w:r>
        <w:rPr>
          <w:rFonts w:ascii="楷体_GB2312" w:hAnsi="楷体_GB2312" w:eastAsia="楷体_GB2312" w:cs="楷体_GB2312"/>
          <w:kern w:val="0"/>
          <w:sz w:val="24"/>
          <w:szCs w:val="24"/>
        </w:rPr>
        <w:t xml:space="preserve">章 </w:t>
      </w:r>
      <w:r>
        <w:rPr>
          <w:rFonts w:hint="eastAsia" w:ascii="楷体_GB2312" w:hAnsi="楷体_GB2312" w:eastAsia="楷体_GB2312" w:cs="楷体_GB2312"/>
          <w:kern w:val="0"/>
          <w:sz w:val="24"/>
          <w:szCs w:val="24"/>
        </w:rPr>
        <w:t>风险提示及说明</w:t>
      </w:r>
      <w:r>
        <w:rPr>
          <w:rFonts w:ascii="楷体_GB2312" w:hAnsi="楷体_GB2312" w:eastAsia="楷体_GB2312" w:cs="楷体_GB2312"/>
          <w:kern w:val="0"/>
          <w:sz w:val="24"/>
          <w:szCs w:val="24"/>
        </w:rPr>
        <w:t xml:space="preserve"> </w:t>
      </w:r>
      <w:r>
        <w:rPr>
          <w:rFonts w:hint="eastAsia" w:ascii="楷体_GB2312" w:hAnsi="楷体_GB2312" w:eastAsia="楷体_GB2312" w:cs="楷体_GB2312"/>
          <w:kern w:val="0"/>
          <w:sz w:val="24"/>
          <w:szCs w:val="24"/>
        </w:rPr>
        <w:t>七</w:t>
      </w:r>
      <w:r>
        <w:rPr>
          <w:rFonts w:ascii="楷体_GB2312" w:hAnsi="楷体_GB2312" w:eastAsia="楷体_GB2312" w:cs="楷体_GB2312"/>
          <w:kern w:val="0"/>
          <w:sz w:val="24"/>
          <w:szCs w:val="24"/>
        </w:rPr>
        <w:t>、</w:t>
      </w:r>
      <w:r>
        <w:rPr>
          <w:rFonts w:hint="eastAsia" w:ascii="楷体_GB2312" w:hAnsi="楷体_GB2312" w:eastAsia="楷体_GB2312" w:cs="楷体_GB2312"/>
          <w:kern w:val="0"/>
          <w:sz w:val="24"/>
          <w:szCs w:val="24"/>
        </w:rPr>
        <w:t>资产支持商业票据相关风险</w:t>
      </w:r>
      <w:r>
        <w:rPr>
          <w:rFonts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四、偿付来源</w:t>
      </w:r>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优先级资产支持商业票据的偿付来源为【基础资产的回收款和后一期优先级资产支持商业票据的募集资金/基础资产的回收款和委托人回购资产的资金/基础资产的回收款和委托人回购资产池的资金/基础资产的回收款和委托人受让信托受益权的资金/基础资产的回收款/（其他）】，详见“第十章 募集资金用途及合法合规性声明 三、偿付来源”。</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五、其他</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default"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rPr>
        <w:t>（一）滚动发行事项授权</w:t>
      </w:r>
      <w:r>
        <w:rPr>
          <w:rFonts w:hint="eastAsia" w:ascii="楷体_GB2312" w:hAnsi="楷体_GB2312" w:eastAsia="楷体_GB2312" w:cs="楷体_GB2312"/>
          <w:b/>
          <w:bCs/>
          <w:kern w:val="0"/>
          <w:sz w:val="24"/>
          <w:szCs w:val="24"/>
          <w:lang w:val="en-US" w:eastAsia="zh-CN"/>
        </w:rPr>
        <w:t>和确认</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ascii="楷体_GB2312" w:hAnsi="楷体_GB2312" w:eastAsia="楷体_GB2312" w:cs="楷体_GB2312"/>
          <w:kern w:val="0"/>
          <w:sz w:val="24"/>
          <w:szCs w:val="24"/>
        </w:rPr>
      </w:pPr>
      <w:r>
        <w:rPr>
          <w:rFonts w:ascii="楷体_GB2312" w:hAnsi="楷体_GB2312" w:eastAsia="楷体_GB2312" w:cs="楷体_GB2312"/>
          <w:b/>
          <w:bCs/>
          <w:color w:val="FF0000"/>
          <w:kern w:val="0"/>
          <w:sz w:val="24"/>
          <w:szCs w:val="24"/>
        </w:rPr>
        <w:t>【信托项下首次发行</w:t>
      </w:r>
      <w:r>
        <w:rPr>
          <w:rFonts w:hint="eastAsia" w:ascii="楷体_GB2312" w:hAnsi="楷体_GB2312" w:eastAsia="楷体_GB2312" w:cs="楷体_GB2312"/>
          <w:b/>
          <w:bCs/>
          <w:color w:val="FF0000"/>
          <w:kern w:val="0"/>
          <w:sz w:val="24"/>
          <w:szCs w:val="24"/>
        </w:rPr>
        <w:t>情形或受让信托受益权后再次发行的情形</w:t>
      </w:r>
      <w:r>
        <w:rPr>
          <w:rFonts w:ascii="楷体_GB2312" w:hAnsi="楷体_GB2312" w:eastAsia="楷体_GB2312" w:cs="楷体_GB2312"/>
          <w:b/>
          <w:bCs/>
          <w:color w:val="FF0000"/>
          <w:kern w:val="0"/>
          <w:sz w:val="24"/>
          <w:szCs w:val="24"/>
        </w:rPr>
        <w:t>】</w:t>
      </w:r>
      <w:r>
        <w:rPr>
          <w:rFonts w:ascii="楷体_GB2312" w:hAnsi="楷体_GB2312" w:eastAsia="楷体_GB2312" w:cs="楷体_GB2312"/>
          <w:kern w:val="0"/>
          <w:sz w:val="24"/>
          <w:szCs w:val="24"/>
        </w:rPr>
        <w:t>凡通过认购、受让等合法手段自愿取得并持有本期资产支持商业票据的投资人，</w:t>
      </w:r>
      <w:r>
        <w:rPr>
          <w:rFonts w:hint="eastAsia" w:ascii="楷体_GB2312" w:hAnsi="楷体_GB2312" w:eastAsia="楷体_GB2312" w:cs="楷体_GB2312"/>
          <w:kern w:val="0"/>
          <w:sz w:val="24"/>
          <w:szCs w:val="24"/>
        </w:rPr>
        <w:t>均视为同意并授权可由受托人通过滚动发行方式代为向后一期资产支持商业票据的投资人转让其所持有的信托受益权。</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textAlignment w:val="auto"/>
        <w:rPr>
          <w:rFonts w:hint="eastAsia" w:ascii="楷体_GB2312" w:hAnsi="楷体_GB2312" w:eastAsia="楷体_GB2312" w:cs="楷体_GB2312"/>
          <w:sz w:val="24"/>
          <w:szCs w:val="24"/>
        </w:rPr>
      </w:pPr>
      <w:r>
        <w:rPr>
          <w:rFonts w:ascii="楷体_GB2312" w:hAnsi="楷体_GB2312" w:eastAsia="楷体_GB2312" w:cs="楷体_GB2312"/>
          <w:b/>
          <w:bCs/>
          <w:color w:val="FF0000"/>
          <w:sz w:val="24"/>
          <w:szCs w:val="24"/>
        </w:rPr>
        <w:t>【滚动发行</w:t>
      </w:r>
      <w:r>
        <w:rPr>
          <w:rFonts w:hint="eastAsia" w:ascii="楷体_GB2312" w:hAnsi="楷体_GB2312" w:eastAsia="楷体_GB2312" w:cs="楷体_GB2312"/>
          <w:b/>
          <w:bCs/>
          <w:color w:val="FF0000"/>
          <w:sz w:val="24"/>
          <w:szCs w:val="24"/>
        </w:rPr>
        <w:t>的情形</w:t>
      </w:r>
      <w:r>
        <w:rPr>
          <w:rFonts w:ascii="楷体_GB2312" w:hAnsi="楷体_GB2312" w:eastAsia="楷体_GB2312" w:cs="楷体_GB2312"/>
          <w:b/>
          <w:bCs/>
          <w:color w:val="FF0000"/>
          <w:sz w:val="24"/>
          <w:szCs w:val="24"/>
        </w:rPr>
        <w:t>】</w:t>
      </w:r>
      <w:r>
        <w:rPr>
          <w:rFonts w:ascii="楷体_GB2312" w:hAnsi="楷体_GB2312" w:eastAsia="楷体_GB2312" w:cs="楷体_GB2312"/>
          <w:sz w:val="24"/>
          <w:szCs w:val="24"/>
        </w:rPr>
        <w:t>凡认购</w:t>
      </w:r>
      <w:r>
        <w:rPr>
          <w:rFonts w:hint="eastAsia" w:ascii="楷体_GB2312" w:hAnsi="楷体_GB2312" w:eastAsia="楷体_GB2312" w:cs="楷体_GB2312"/>
          <w:sz w:val="24"/>
          <w:szCs w:val="24"/>
        </w:rPr>
        <w:t>本期资产支持商业票据的投资人，均视为同意</w:t>
      </w:r>
      <w:r>
        <w:rPr>
          <w:rFonts w:ascii="楷体_GB2312" w:hAnsi="楷体_GB2312" w:eastAsia="楷体_GB2312" w:cs="楷体_GB2312"/>
          <w:sz w:val="24"/>
          <w:szCs w:val="24"/>
        </w:rPr>
        <w:t>受让前一期资产支持商业票据持有人持有的信托受益权</w:t>
      </w:r>
      <w:r>
        <w:rPr>
          <w:rFonts w:hint="eastAsia" w:ascii="楷体_GB2312" w:hAnsi="楷体_GB2312" w:eastAsia="楷体_GB2312" w:cs="楷体_GB2312"/>
          <w:sz w:val="24"/>
          <w:szCs w:val="24"/>
        </w:rPr>
        <w:t>。在完成转让对价支付且前一期资产支持商业票据注销之后，本期资产支持商业票据的投资人取得相应的信托受益权。</w:t>
      </w:r>
      <w:r>
        <w:rPr>
          <w:rFonts w:ascii="楷体_GB2312" w:hAnsi="楷体_GB2312" w:eastAsia="楷体_GB2312" w:cs="楷体_GB2312"/>
          <w:sz w:val="24"/>
          <w:szCs w:val="24"/>
        </w:rPr>
        <w:t>凡通过认购、受让等合法手段自愿取得并持有本期资产支持商业票据的投资人，</w:t>
      </w:r>
      <w:r>
        <w:rPr>
          <w:rFonts w:hint="eastAsia" w:ascii="楷体_GB2312" w:hAnsi="楷体_GB2312" w:eastAsia="楷体_GB2312" w:cs="楷体_GB2312"/>
          <w:sz w:val="24"/>
          <w:szCs w:val="24"/>
        </w:rPr>
        <w:t>均视为同意并授权可由受托人通过滚动发行方式代为向后一期资产支持商业票据的投资人转让其所持有的信托受益权。</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投资人进一步确认，其受让对应前一期资产支持商业票据持有人持有的信托受益权之前，应根据发起机构及发行载体管理机构披露的包括本</w:t>
      </w:r>
      <w:r>
        <w:rPr>
          <w:rFonts w:hint="eastAsia" w:ascii="楷体_GB2312" w:hAnsi="楷体_GB2312" w:eastAsia="楷体_GB2312" w:cs="楷体_GB2312"/>
          <w:sz w:val="24"/>
          <w:szCs w:val="24"/>
          <w:lang w:val="en-US" w:eastAsia="zh-CN"/>
        </w:rPr>
        <w:t>募集说明书</w:t>
      </w:r>
      <w:r>
        <w:rPr>
          <w:rFonts w:hint="eastAsia" w:ascii="楷体_GB2312" w:hAnsi="楷体_GB2312" w:eastAsia="楷体_GB2312" w:cs="楷体_GB2312"/>
          <w:sz w:val="24"/>
          <w:szCs w:val="24"/>
        </w:rPr>
        <w:t>在内的相关发行文件、资料和信息自行作出投资决策，该等文件、资料及信息不构成前一期资产支持商业票据持有人对其作出的任何陈述、保证或承诺，其不得以信托的效力、信托财产、交易文件、交易结构设计、信息披露等方面存在任何瑕疵、缺陷为由向前一期资产支持商业票据持有人进行追索。为免疑义，本条款不排除或限制投资人依据中国法律、交易文件或发行文件对委托人或受托人享有的权利。</w:t>
      </w:r>
    </w:p>
    <w:bookmarkEnd w:id="36"/>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bookmarkStart w:id="38" w:name="_Toc3213"/>
      <w:r>
        <w:rPr>
          <w:rFonts w:hint="eastAsia" w:ascii="楷体_GB2312" w:hAnsi="楷体_GB2312" w:eastAsia="楷体_GB2312" w:cs="楷体_GB2312"/>
          <w:b/>
          <w:bCs/>
          <w:kern w:val="0"/>
          <w:sz w:val="24"/>
          <w:szCs w:val="24"/>
        </w:rPr>
        <w:t>（二）</w:t>
      </w:r>
      <w:bookmarkEnd w:id="38"/>
      <w:r>
        <w:rPr>
          <w:rFonts w:hint="eastAsia" w:ascii="楷体_GB2312" w:hAnsi="楷体_GB2312" w:eastAsia="楷体_GB2312" w:cs="楷体_GB2312"/>
          <w:b/>
          <w:bCs/>
          <w:kern w:val="0"/>
          <w:sz w:val="24"/>
          <w:szCs w:val="24"/>
        </w:rPr>
        <w:t>持有人会议</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除法律法规另有规定外，持有人会议所审议通过的决议对本期资产支持商业票据全部持有人具有同等效力和约束力。持有人会议设置的表决机制、特别议案及表决比例等内容，详见“第十二章 投资人保护机制 五、资产支持商业票据持有人会议机制”。</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（三）投资人保护条款（如有）</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w:t>
      </w:r>
      <w:r>
        <w:rPr>
          <w:rFonts w:hint="eastAsia" w:ascii="楷体_GB2312" w:hAnsi="楷体_GB2312" w:eastAsia="楷体_GB2312" w:cs="楷体_GB2312"/>
          <w:b/>
          <w:bCs/>
          <w:i/>
          <w:iCs/>
          <w:color w:val="FF0000"/>
          <w:kern w:val="0"/>
          <w:sz w:val="24"/>
          <w:szCs w:val="24"/>
          <w:u w:val="single"/>
        </w:rPr>
        <w:t>添加投保条款的类型</w:t>
      </w:r>
      <w:r>
        <w:rPr>
          <w:rFonts w:hint="eastAsia" w:ascii="楷体_GB2312" w:hAnsi="楷体_GB2312" w:eastAsia="楷体_GB2312" w:cs="楷体_GB2312"/>
          <w:kern w:val="0"/>
          <w:sz w:val="24"/>
          <w:szCs w:val="24"/>
        </w:rPr>
        <w:t>】，详见“第十二章 投资人保护机制 四、投资人保护条款”。</w:t>
      </w:r>
    </w:p>
    <w:bookmarkEnd w:id="37"/>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textAlignment w:val="auto"/>
        <w:rPr>
          <w:rFonts w:hint="eastAsia"/>
        </w:rPr>
      </w:pPr>
      <w:r>
        <w:rPr>
          <w:rFonts w:hint="eastAsia" w:ascii="Times New Roman" w:hAnsi="Times New Roman" w:eastAsia="楷体_GB2312" w:cs="Times New Roman"/>
          <w:b/>
          <w:i/>
          <w:color w:val="FF0000"/>
          <w:sz w:val="24"/>
          <w:szCs w:val="28"/>
          <w:u w:val="single"/>
          <w:lang w:val="en-US" w:eastAsia="zh-CN"/>
        </w:rPr>
        <w:t>应</w:t>
      </w:r>
      <w:r>
        <w:rPr>
          <w:rFonts w:hint="eastAsia" w:ascii="Times New Roman" w:hAnsi="Times New Roman" w:eastAsia="楷体_GB2312" w:cs="Times New Roman"/>
          <w:b/>
          <w:i/>
          <w:color w:val="FF0000"/>
          <w:sz w:val="24"/>
          <w:szCs w:val="28"/>
          <w:u w:val="single"/>
        </w:rPr>
        <w:t>根据项目实际情况调整重要提示内容。</w:t>
      </w:r>
    </w:p>
    <w:p>
      <w:pPr>
        <w:pStyle w:val="156"/>
        <w:autoSpaceDE w:val="0"/>
        <w:autoSpaceDN w:val="0"/>
        <w:adjustRightInd w:val="0"/>
        <w:spacing w:before="120" w:beforeLines="50" w:after="120" w:afterLines="50" w:line="300" w:lineRule="auto"/>
        <w:ind w:firstLine="480"/>
        <w:jc w:val="both"/>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9" w:name="_Toc15952"/>
      <w:bookmarkStart w:id="40" w:name="_Toc6415"/>
      <w:bookmarkStart w:id="41" w:name="_Toc8742"/>
      <w:bookmarkStart w:id="42" w:name="_Toc5180"/>
      <w:bookmarkStart w:id="43" w:name="_Toc2793"/>
      <w:bookmarkStart w:id="44" w:name="_Toc26390"/>
      <w:bookmarkStart w:id="45" w:name="_Toc19920"/>
      <w:bookmarkStart w:id="46" w:name="_Toc26054"/>
      <w:bookmarkStart w:id="47" w:name="_Toc24463"/>
      <w:bookmarkStart w:id="48" w:name="_Toc16965"/>
      <w:bookmarkStart w:id="49" w:name="_Toc989"/>
      <w:bookmarkStart w:id="50" w:name="_Toc21967"/>
      <w:bookmarkStart w:id="51" w:name="_Toc2070"/>
      <w:bookmarkStart w:id="52" w:name="_Toc3585"/>
      <w:bookmarkStart w:id="53" w:name="_Toc3394"/>
      <w:bookmarkStart w:id="54" w:name="_Toc18322"/>
      <w:bookmarkStart w:id="55" w:name="_Toc9588"/>
      <w:bookmarkStart w:id="56" w:name="_Toc29098"/>
      <w:bookmarkStart w:id="57" w:name="_Toc12397"/>
      <w:bookmarkStart w:id="58" w:name="_Toc21832"/>
      <w:bookmarkStart w:id="59" w:name="_Toc27566"/>
      <w:bookmarkStart w:id="60" w:name="_Toc18466"/>
      <w:bookmarkStart w:id="61" w:name="_Toc147"/>
      <w:bookmarkStart w:id="62" w:name="_Toc12105"/>
      <w:bookmarkStart w:id="63" w:name="_Toc30546"/>
      <w:bookmarkStart w:id="64" w:name="_Toc30946"/>
      <w:bookmarkStart w:id="65" w:name="_Toc30329"/>
      <w:bookmarkStart w:id="66" w:name="_Toc28929"/>
      <w:bookmarkStart w:id="67" w:name="_Toc35499344"/>
      <w:bookmarkStart w:id="68" w:name="_Toc10797"/>
      <w:bookmarkStart w:id="69" w:name="_Toc27761"/>
      <w:bookmarkStart w:id="70" w:name="_Toc13085"/>
      <w:bookmarkStart w:id="71" w:name="_Toc12505"/>
      <w:bookmarkStart w:id="72" w:name="_Toc9860"/>
      <w:bookmarkStart w:id="73" w:name="_Toc23431"/>
      <w:bookmarkStart w:id="74" w:name="_Toc16195"/>
      <w:bookmarkStart w:id="75" w:name="_Toc24643"/>
      <w:bookmarkStart w:id="76" w:name="_Toc19127"/>
      <w:bookmarkStart w:id="77" w:name="_Toc16908"/>
      <w:r>
        <w:rPr>
          <w:rFonts w:hint="eastAsia" w:ascii="楷体_GB2312" w:hAnsi="楷体_GB2312" w:eastAsia="楷体_GB2312" w:cs="楷体_GB2312"/>
          <w:b/>
          <w:bCs/>
          <w:kern w:val="0"/>
          <w:sz w:val="30"/>
          <w:szCs w:val="30"/>
        </w:rPr>
        <w:t>释义</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keepNext w:val="0"/>
        <w:keepLines w:val="0"/>
        <w:pageBreakBefore w:val="0"/>
        <w:widowControl w:val="0"/>
        <w:kinsoku/>
        <w:wordWrap/>
        <w:overflowPunct/>
        <w:topLinePunct w:val="0"/>
        <w:autoSpaceDE w:val="0"/>
        <w:autoSpaceDN w:val="0"/>
        <w:bidi w:val="0"/>
        <w:adjustRightInd w:val="0"/>
        <w:snapToGrid/>
        <w:spacing w:before="157" w:beforeLines="50" w:after="120" w:afterLines="50" w:line="240" w:lineRule="atLeast"/>
        <w:ind w:firstLine="480" w:firstLineChars="200"/>
        <w:jc w:val="both"/>
        <w:textAlignment w:val="auto"/>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本募集说明书中，除非文中另有所指，下列词语具有如下含义：</w:t>
      </w:r>
    </w:p>
    <w:p>
      <w:pPr>
        <w:pStyle w:val="2"/>
        <w:keepNext w:val="0"/>
        <w:keepLines w:val="0"/>
        <w:pageBreakBefore w:val="0"/>
        <w:widowControl w:val="0"/>
        <w:kinsoku/>
        <w:wordWrap/>
        <w:overflowPunct/>
        <w:topLinePunct w:val="0"/>
        <w:bidi w:val="0"/>
        <w:snapToGrid/>
        <w:spacing w:before="157" w:beforeLines="50" w:after="120"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val="en-US" w:eastAsia="zh-CN"/>
        </w:rPr>
        <w:t>应</w:t>
      </w:r>
      <w:r>
        <w:rPr>
          <w:rFonts w:hint="eastAsia" w:ascii="Times New Roman" w:hAnsi="Times New Roman" w:eastAsia="楷体_GB2312" w:cs="Times New Roman"/>
          <w:b/>
          <w:i/>
          <w:color w:val="FF0000"/>
          <w:sz w:val="24"/>
          <w:szCs w:val="28"/>
          <w:u w:val="single"/>
        </w:rPr>
        <w:t>参照《主定义表》“一、定义”的内容。</w:t>
      </w:r>
    </w:p>
    <w:p>
      <w:pPr>
        <w:spacing w:after="120" w:afterLines="50" w:line="300" w:lineRule="auto"/>
        <w:rPr>
          <w:rFonts w:hint="eastAsia" w:ascii="楷体_GB2312" w:hAnsi="楷体_GB2312" w:eastAsia="楷体_GB2312" w:cs="楷体_GB2312"/>
          <w:kern w:val="0"/>
          <w:szCs w:val="21"/>
        </w:rPr>
      </w:pPr>
      <w:bookmarkStart w:id="78" w:name="_Hlk35204753"/>
      <w:r>
        <w:rPr>
          <w:rFonts w:hint="eastAsia" w:ascii="楷体_GB2312" w:hAnsi="楷体_GB2312" w:eastAsia="楷体_GB2312" w:cs="楷体_GB2312"/>
          <w:kern w:val="0"/>
          <w:sz w:val="32"/>
          <w:szCs w:val="32"/>
        </w:rPr>
        <w:br w:type="page"/>
      </w:r>
    </w:p>
    <w:bookmarkEnd w:id="78"/>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79" w:name="_Toc7753"/>
      <w:bookmarkStart w:id="80" w:name="_Toc35499355"/>
      <w:bookmarkStart w:id="81" w:name="_Toc3448"/>
      <w:bookmarkStart w:id="82" w:name="_Toc31317"/>
      <w:bookmarkStart w:id="83" w:name="_Toc30800"/>
      <w:bookmarkStart w:id="84" w:name="_Toc23640"/>
      <w:bookmarkStart w:id="85" w:name="_Toc22842"/>
      <w:bookmarkStart w:id="86" w:name="_Toc17403"/>
      <w:bookmarkStart w:id="87" w:name="_Toc19911"/>
      <w:bookmarkStart w:id="88" w:name="_Toc13889"/>
      <w:bookmarkStart w:id="89" w:name="_Toc20952"/>
      <w:bookmarkStart w:id="90" w:name="_Toc12078"/>
      <w:bookmarkStart w:id="91" w:name="_Toc19111"/>
      <w:bookmarkStart w:id="92" w:name="_Toc6884"/>
      <w:bookmarkStart w:id="93" w:name="_Toc13446"/>
      <w:bookmarkStart w:id="94" w:name="_Toc1018"/>
      <w:bookmarkStart w:id="95" w:name="_Toc22284"/>
      <w:bookmarkStart w:id="96" w:name="_Toc30244"/>
      <w:bookmarkStart w:id="97" w:name="_Toc12317"/>
      <w:bookmarkStart w:id="98" w:name="_Toc16454"/>
      <w:bookmarkStart w:id="99" w:name="_Toc20456"/>
      <w:bookmarkStart w:id="100" w:name="_Toc3358"/>
      <w:bookmarkStart w:id="101" w:name="_Toc17123"/>
      <w:bookmarkStart w:id="102" w:name="_Toc31096"/>
      <w:bookmarkStart w:id="103" w:name="_Toc1937"/>
      <w:bookmarkStart w:id="104" w:name="_Toc333"/>
      <w:bookmarkStart w:id="105" w:name="_Toc15189"/>
      <w:bookmarkStart w:id="106" w:name="_Toc25910"/>
      <w:bookmarkStart w:id="107" w:name="_Toc18569"/>
      <w:bookmarkStart w:id="108" w:name="_Toc7039"/>
      <w:bookmarkStart w:id="109" w:name="_Toc28702"/>
      <w:bookmarkStart w:id="110" w:name="_Toc13683"/>
      <w:bookmarkStart w:id="111" w:name="_Toc31403"/>
      <w:bookmarkStart w:id="112" w:name="_Toc12143"/>
      <w:bookmarkStart w:id="113" w:name="_Toc6166"/>
      <w:bookmarkStart w:id="114" w:name="_Toc30785"/>
      <w:bookmarkStart w:id="115" w:name="_Toc23695"/>
      <w:bookmarkStart w:id="116" w:name="_Toc8591"/>
      <w:bookmarkStart w:id="117" w:name="_Toc9429"/>
      <w:r>
        <w:rPr>
          <w:rFonts w:hint="eastAsia" w:ascii="楷体_GB2312" w:hAnsi="楷体_GB2312" w:eastAsia="楷体_GB2312" w:cs="楷体_GB2312"/>
          <w:b/>
          <w:bCs/>
          <w:kern w:val="0"/>
          <w:sz w:val="30"/>
          <w:szCs w:val="30"/>
        </w:rPr>
        <w:t>资产支持商业票据的基本情况</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Style w:val="48"/>
          <w:rFonts w:hint="eastAsia" w:ascii="楷体_GB2312" w:hAnsi="楷体_GB2312" w:eastAsia="楷体_GB2312" w:cs="楷体_GB2312"/>
          <w:b/>
          <w:bCs/>
          <w:kern w:val="0"/>
          <w:sz w:val="30"/>
          <w:szCs w:val="30"/>
        </w:rPr>
        <w:footnoteReference w:id="12"/>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118" w:name="_Toc35499356"/>
      <w:bookmarkStart w:id="119" w:name="_Toc17607"/>
      <w:bookmarkStart w:id="120" w:name="_Toc11608"/>
      <w:bookmarkStart w:id="121" w:name="_Toc19597"/>
      <w:bookmarkStart w:id="122" w:name="_Toc29462"/>
      <w:bookmarkStart w:id="123" w:name="_Toc2930"/>
      <w:bookmarkStart w:id="124" w:name="_Toc25157"/>
      <w:bookmarkStart w:id="125" w:name="_Toc2714"/>
      <w:bookmarkStart w:id="126" w:name="_Toc426"/>
      <w:bookmarkStart w:id="127" w:name="_Toc3920"/>
      <w:bookmarkStart w:id="128" w:name="_Toc24054"/>
      <w:bookmarkStart w:id="129" w:name="_Toc29124"/>
      <w:bookmarkStart w:id="130" w:name="_Toc30384"/>
      <w:bookmarkStart w:id="131" w:name="_Toc19026"/>
      <w:bookmarkStart w:id="132" w:name="_Toc23823"/>
      <w:bookmarkStart w:id="133" w:name="_Toc31934"/>
      <w:bookmarkStart w:id="134" w:name="_Toc6296"/>
      <w:bookmarkStart w:id="135" w:name="_Toc6586"/>
      <w:bookmarkStart w:id="136" w:name="_Toc17321"/>
      <w:bookmarkStart w:id="137" w:name="_Toc17589"/>
      <w:bookmarkStart w:id="138" w:name="_Toc17651"/>
      <w:bookmarkStart w:id="139" w:name="_Toc9057"/>
      <w:bookmarkStart w:id="140" w:name="_Toc28556"/>
      <w:bookmarkStart w:id="141" w:name="_Toc12534"/>
      <w:bookmarkStart w:id="142" w:name="_Toc5130"/>
      <w:bookmarkStart w:id="143" w:name="_Toc7234"/>
      <w:bookmarkStart w:id="144" w:name="_Toc18622"/>
      <w:bookmarkStart w:id="145" w:name="_Toc29609"/>
      <w:bookmarkStart w:id="146" w:name="_Toc31550"/>
      <w:bookmarkStart w:id="147" w:name="_Toc610"/>
      <w:bookmarkStart w:id="148" w:name="_Toc16066"/>
      <w:bookmarkStart w:id="149" w:name="_Toc28209"/>
      <w:bookmarkStart w:id="150" w:name="_Toc2239"/>
      <w:bookmarkStart w:id="151" w:name="_Toc645"/>
      <w:bookmarkStart w:id="152" w:name="_Toc16188"/>
      <w:bookmarkStart w:id="153" w:name="_Toc6156"/>
      <w:bookmarkStart w:id="154" w:name="_Toc1984"/>
      <w:r>
        <w:rPr>
          <w:rFonts w:hint="eastAsia" w:ascii="楷体_GB2312" w:hAnsi="楷体_GB2312" w:eastAsia="楷体_GB2312" w:cs="楷体_GB2312"/>
          <w:b/>
          <w:kern w:val="0"/>
          <w:sz w:val="24"/>
          <w:szCs w:val="24"/>
        </w:rPr>
        <w:t>一、主要发行条款</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176"/>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jc w:val="center"/>
        <w:textAlignment w:val="auto"/>
        <w:rPr>
          <w:rFonts w:hint="eastAsia" w:ascii="楷体_GB2312" w:hAnsi="楷体_GB2312" w:eastAsia="楷体_GB2312" w:cs="楷体_GB2312"/>
          <w:b/>
          <w:snapToGrid w:val="0"/>
        </w:rPr>
      </w:pPr>
      <w:r>
        <w:rPr>
          <w:rFonts w:hint="eastAsia" w:ascii="楷体_GB2312" w:hAnsi="楷体_GB2312" w:eastAsia="楷体_GB2312" w:cs="楷体_GB2312"/>
          <w:b/>
          <w:snapToGrid w:val="0"/>
        </w:rPr>
        <w:t>表2-1：主要发行条款</w:t>
      </w:r>
      <w:r>
        <w:rPr>
          <w:rStyle w:val="48"/>
          <w:rFonts w:hint="eastAsia" w:ascii="楷体_GB2312" w:hAnsi="楷体_GB2312" w:eastAsia="楷体_GB2312" w:cs="楷体_GB2312"/>
          <w:b/>
          <w:snapToGrid w:val="0"/>
        </w:rPr>
        <w:footnoteReference w:id="13"/>
      </w:r>
    </w:p>
    <w:tbl>
      <w:tblPr>
        <w:tblStyle w:val="41"/>
        <w:tblW w:w="8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97"/>
        <w:gridCol w:w="5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资产支持商业票据名称</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b/>
                <w:bCs/>
                <w:i/>
                <w:iCs/>
                <w:color w:val="FF0000"/>
                <w:kern w:val="0"/>
                <w:szCs w:val="21"/>
                <w:u w:val="single"/>
              </w:rPr>
              <w:t>发起机构</w:t>
            </w:r>
            <w:r>
              <w:rPr>
                <w:rFonts w:hint="eastAsia" w:ascii="楷体_GB2312" w:hAnsi="楷体_GB2312" w:eastAsia="楷体_GB2312" w:cs="楷体_GB2312"/>
                <w:color w:val="000000"/>
                <w:kern w:val="0"/>
                <w:szCs w:val="21"/>
              </w:rPr>
              <w:t>】公司【  】年度【</w:t>
            </w:r>
            <w:r>
              <w:rPr>
                <w:rFonts w:hint="eastAsia" w:ascii="楷体_GB2312" w:hAnsi="楷体_GB2312" w:eastAsia="楷体_GB2312" w:cs="楷体_GB2312"/>
                <w:b/>
                <w:bCs/>
                <w:i/>
                <w:iCs/>
                <w:color w:val="FF0000"/>
                <w:kern w:val="0"/>
                <w:szCs w:val="21"/>
                <w:u w:val="single"/>
              </w:rPr>
              <w:t>项目标识</w:t>
            </w:r>
            <w:r>
              <w:rPr>
                <w:rFonts w:hint="eastAsia" w:ascii="楷体_GB2312" w:hAnsi="楷体_GB2312" w:eastAsia="楷体_GB2312" w:cs="楷体_GB2312"/>
                <w:color w:val="000000"/>
                <w:kern w:val="0"/>
                <w:szCs w:val="21"/>
              </w:rPr>
              <w:t>】第【</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】期资产支持商业票据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信托项下发行期数</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b/>
                <w:bCs/>
                <w:i/>
                <w:iCs/>
                <w:color w:val="FF0000"/>
                <w:kern w:val="0"/>
                <w:szCs w:val="21"/>
                <w:u w:val="single"/>
              </w:rPr>
              <w:t>信托名称</w:t>
            </w:r>
            <w:r>
              <w:rPr>
                <w:rStyle w:val="48"/>
                <w:rFonts w:hint="eastAsia" w:ascii="楷体_GB2312" w:hAnsi="楷体_GB2312" w:eastAsia="楷体_GB2312" w:cs="楷体_GB2312"/>
                <w:b/>
                <w:bCs/>
                <w:i/>
                <w:iCs/>
                <w:color w:val="FF0000"/>
                <w:kern w:val="0"/>
                <w:szCs w:val="21"/>
                <w:u w:val="single"/>
              </w:rPr>
              <w:footnoteReference w:id="14"/>
            </w:r>
            <w:r>
              <w:rPr>
                <w:rFonts w:hint="eastAsia" w:ascii="楷体_GB2312" w:hAnsi="楷体_GB2312" w:eastAsia="楷体_GB2312" w:cs="楷体_GB2312"/>
                <w:color w:val="000000"/>
                <w:kern w:val="0"/>
                <w:szCs w:val="21"/>
              </w:rPr>
              <w:t>】项下第【</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】期发行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发起机构全称</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cs="楷体_GB2312"/>
                <w:color w:val="000000"/>
                <w:kern w:val="0"/>
                <w:szCs w:val="21"/>
              </w:rPr>
            </w:pPr>
            <w:r>
              <w:rPr>
                <w:rFonts w:hint="eastAsia" w:ascii="楷体_GB2312" w:hAnsi="楷体_GB2312" w:eastAsia="楷体_GB2312" w:cs="楷体_GB2312"/>
                <w:color w:val="000000"/>
                <w:kern w:val="0"/>
                <w:szCs w:val="21"/>
              </w:rPr>
              <w:t>待偿还债务融资余额</w:t>
            </w:r>
            <w:r>
              <w:rPr>
                <w:rStyle w:val="48"/>
              </w:rPr>
              <w:footnoteReference w:id="15"/>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债务融资工具【  】亿元，公司债【  】亿元，企业债【  】亿元，ABN【  】亿元，ABS【  】亿元。（如有）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注册通知书文号</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中市协注〔  〕ABN【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基础资产类型</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Cs w:val="21"/>
                <w:u w:val="single"/>
              </w:rPr>
              <w:t>应收账款/租赁债权/（其他）</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注册金额</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】亿元人民币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本期发行金额</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】亿元人民币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面值</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牵头主承销商</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联席主承销商（如有）</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簿记管理人</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发行对象</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全国银行间债券市场的机构投资者（国家法律、法规禁止</w:t>
            </w:r>
          </w:p>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购买者除外）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发行方式</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优先级资产支持商业票据由主承销商组织承销团，通过集中簿记建档、集中配售的方式在银行间市场公开发行。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承销方式</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优先级资产支持商业票据余额包销/（其他）</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缴款日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起息日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债权登记日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信托法定到期日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年度计息天数</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发行载体管理机构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资产服务机构（如有）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资金监管机构（如有）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资金保管机构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信用评级机构（如有）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信用增级主体及增信措施（如有）</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XX</w:t>
            </w:r>
            <w:r>
              <w:rPr>
                <w:rFonts w:hint="eastAsia" w:ascii="楷体_GB2312" w:hAnsi="楷体_GB2312" w:eastAsia="楷体_GB2312" w:cs="楷体_GB2312"/>
                <w:kern w:val="0"/>
                <w:szCs w:val="21"/>
                <w:u w:val="single"/>
              </w:rPr>
              <w:t>公司作为差额支付承诺人/（其他）</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现金流预测机构（如有）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资产评估机构（如有）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律师事务所</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会计师事务所</w:t>
            </w:r>
            <w:r>
              <w:rPr>
                <w:rStyle w:val="48"/>
                <w:rFonts w:hint="eastAsia" w:ascii="楷体_GB2312" w:hAnsi="楷体_GB2312" w:eastAsia="楷体_GB2312" w:cs="楷体_GB2312"/>
                <w:color w:val="000000"/>
                <w:kern w:val="0"/>
                <w:szCs w:val="21"/>
              </w:rPr>
              <w:footnoteReference w:id="16"/>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登记托管机构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银行间市场清算所股份有限公司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bookmarkStart w:id="155" w:name="_Toc35499357"/>
            <w:r>
              <w:rPr>
                <w:rFonts w:hint="eastAsia" w:ascii="楷体_GB2312" w:hAnsi="楷体_GB2312" w:eastAsia="楷体_GB2312" w:cs="楷体_GB2312"/>
                <w:color w:val="000000"/>
                <w:kern w:val="0"/>
                <w:szCs w:val="21"/>
              </w:rPr>
              <w:t>存续期管理机构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bl>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156" w:name="_Toc6504"/>
      <w:bookmarkStart w:id="157" w:name="_Toc28815"/>
      <w:bookmarkStart w:id="158" w:name="_Toc1739"/>
      <w:bookmarkStart w:id="159" w:name="_Toc12215"/>
      <w:bookmarkStart w:id="160" w:name="_Toc10984"/>
      <w:bookmarkStart w:id="161" w:name="_Toc16027"/>
      <w:bookmarkStart w:id="162" w:name="_Toc176"/>
      <w:bookmarkStart w:id="163" w:name="_Toc30197"/>
      <w:bookmarkStart w:id="164" w:name="_Toc20435"/>
      <w:bookmarkStart w:id="165" w:name="_Toc6849"/>
      <w:bookmarkStart w:id="166" w:name="_Toc20253"/>
      <w:bookmarkStart w:id="167" w:name="_Toc25915"/>
      <w:bookmarkStart w:id="168" w:name="_Toc30174"/>
      <w:bookmarkStart w:id="169" w:name="_Toc31055"/>
      <w:bookmarkStart w:id="170" w:name="_Toc25293"/>
      <w:bookmarkStart w:id="171" w:name="_Toc27139"/>
      <w:bookmarkStart w:id="172" w:name="_Toc7050"/>
      <w:bookmarkStart w:id="173" w:name="_Toc28291"/>
      <w:bookmarkStart w:id="174" w:name="_Toc11917"/>
      <w:bookmarkStart w:id="175" w:name="_Toc2249"/>
      <w:bookmarkStart w:id="176" w:name="_Toc10400"/>
      <w:bookmarkStart w:id="177" w:name="_Toc5822"/>
      <w:bookmarkStart w:id="178" w:name="_Toc17571"/>
      <w:bookmarkStart w:id="179" w:name="_Toc16023"/>
      <w:bookmarkStart w:id="180" w:name="_Toc15436"/>
      <w:bookmarkStart w:id="181" w:name="_Toc4032"/>
      <w:bookmarkStart w:id="182" w:name="_Toc11417"/>
      <w:bookmarkStart w:id="183" w:name="_Toc2060"/>
      <w:bookmarkStart w:id="184" w:name="_Toc5599"/>
      <w:bookmarkStart w:id="185" w:name="_Toc24473"/>
      <w:bookmarkStart w:id="186" w:name="_Toc784"/>
      <w:bookmarkStart w:id="187" w:name="_Toc25443"/>
      <w:bookmarkStart w:id="188" w:name="_Toc26356"/>
      <w:bookmarkStart w:id="189" w:name="_Toc31011"/>
      <w:bookmarkStart w:id="190" w:name="_Toc32206"/>
      <w:bookmarkStart w:id="191" w:name="_Toc29249"/>
      <w:r>
        <w:rPr>
          <w:rFonts w:hint="eastAsia" w:ascii="楷体_GB2312" w:hAnsi="楷体_GB2312" w:eastAsia="楷体_GB2312" w:cs="楷体_GB2312"/>
          <w:b/>
          <w:kern w:val="0"/>
          <w:sz w:val="24"/>
          <w:szCs w:val="24"/>
        </w:rPr>
        <w:t>二、资产支持商业票据分层情况</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176"/>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jc w:val="center"/>
        <w:textAlignment w:val="auto"/>
        <w:rPr>
          <w:rFonts w:hint="eastAsia" w:ascii="楷体_GB2312" w:hAnsi="楷体_GB2312" w:eastAsia="楷体_GB2312" w:cs="楷体_GB2312"/>
          <w:b/>
          <w:snapToGrid w:val="0"/>
        </w:rPr>
      </w:pPr>
      <w:r>
        <w:rPr>
          <w:rFonts w:hint="eastAsia" w:ascii="楷体_GB2312" w:hAnsi="楷体_GB2312" w:eastAsia="楷体_GB2312" w:cs="楷体_GB2312"/>
          <w:b/>
          <w:snapToGrid w:val="0"/>
        </w:rPr>
        <w:t>表2-2：资产支持商业票据分层情况</w:t>
      </w:r>
    </w:p>
    <w:tbl>
      <w:tblPr>
        <w:tblStyle w:val="41"/>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2948"/>
        <w:gridCol w:w="29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各档名称</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优先级资产支持商业票据</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次级资产支持商业票据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24"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是否本期发行</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本期发行/存续</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本期发行/存续</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金额（亿元）</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占比（%）</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期限</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支付日</w:t>
            </w:r>
            <w:r>
              <w:rPr>
                <w:rStyle w:val="48"/>
                <w:rFonts w:hint="eastAsia" w:ascii="楷体_GB2312" w:hAnsi="楷体_GB2312" w:eastAsia="楷体_GB2312" w:cs="楷体_GB2312"/>
                <w:color w:val="000000"/>
                <w:kern w:val="0"/>
                <w:szCs w:val="21"/>
              </w:rPr>
              <w:footnoteReference w:id="17"/>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bCs/>
                <w:color w:val="000000"/>
                <w:kern w:val="0"/>
                <w:szCs w:val="21"/>
              </w:rPr>
              <w:t>【</w:t>
            </w:r>
            <w:r>
              <w:rPr>
                <w:rFonts w:hint="eastAsia" w:ascii="楷体_GB2312" w:hAnsi="楷体_GB2312" w:eastAsia="楷体_GB2312" w:cs="楷体_GB2312"/>
                <w:bCs/>
                <w:color w:val="000000"/>
                <w:kern w:val="0"/>
                <w:szCs w:val="21"/>
                <w:u w:val="single"/>
              </w:rPr>
              <w:t>预期到期日/到期日</w:t>
            </w:r>
            <w:r>
              <w:rPr>
                <w:rFonts w:hint="eastAsia" w:ascii="楷体_GB2312" w:hAnsi="楷体_GB2312" w:eastAsia="楷体_GB2312" w:cs="楷体_GB2312"/>
                <w:bCs/>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还本付息方式</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评级（如有）</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利率类型</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固定利率</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定价方式</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优先级资产支持商业票据票面利率由集中簿记建档结果确定</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次级资产支持商业票据无票面利率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发行对象</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全国银行间债券市场的机构投资者（国家法律、法规禁止购买者除外）</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发起机构拟自持次级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流通范围：</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全国银行间债券市场的机构投资者（国家法律、法规禁止购买者除外）</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除非根据生效判决或裁定，或发行载体管理机构事先的书面同意，发起机构以风险自留为目的认购的次级资产支持商业票据不得交易转让。</w:t>
            </w:r>
          </w:p>
        </w:tc>
      </w:tr>
    </w:tbl>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2" w:firstLineChars="200"/>
        <w:jc w:val="both"/>
        <w:textAlignment w:val="auto"/>
        <w:outlineLvl w:val="2"/>
        <w:rPr>
          <w:rFonts w:ascii="楷体_GB2312" w:hAnsi="楷体_GB2312" w:eastAsia="楷体_GB2312" w:cs="楷体_GB2312"/>
          <w:b/>
          <w:kern w:val="0"/>
          <w:sz w:val="24"/>
          <w:szCs w:val="24"/>
        </w:rPr>
      </w:pPr>
      <w:bookmarkStart w:id="192" w:name="_Toc26263"/>
      <w:bookmarkStart w:id="193" w:name="_Toc15481"/>
      <w:bookmarkStart w:id="194" w:name="_Toc4469"/>
      <w:bookmarkStart w:id="195" w:name="_Toc19637"/>
      <w:bookmarkStart w:id="196" w:name="_Toc6970"/>
      <w:bookmarkStart w:id="197" w:name="_Toc19241"/>
      <w:bookmarkStart w:id="198" w:name="_Toc29428"/>
      <w:bookmarkStart w:id="199" w:name="_Toc32554"/>
      <w:bookmarkStart w:id="200" w:name="_Toc666"/>
      <w:bookmarkStart w:id="201" w:name="_Toc13106"/>
      <w:bookmarkStart w:id="202" w:name="_Toc7457"/>
      <w:bookmarkStart w:id="203" w:name="_Toc9042"/>
      <w:bookmarkStart w:id="204" w:name="_Toc12725"/>
      <w:bookmarkStart w:id="205" w:name="_Toc10031"/>
      <w:bookmarkStart w:id="206" w:name="_Toc7561"/>
      <w:bookmarkStart w:id="207" w:name="_Toc7114"/>
      <w:bookmarkStart w:id="208" w:name="_Toc13453"/>
      <w:bookmarkStart w:id="209" w:name="_Toc13233"/>
      <w:bookmarkStart w:id="210" w:name="_Toc5183"/>
      <w:bookmarkStart w:id="211" w:name="_Toc5417"/>
      <w:bookmarkStart w:id="212" w:name="_Toc35499358"/>
      <w:bookmarkStart w:id="213" w:name="_Toc1468"/>
      <w:bookmarkStart w:id="214" w:name="_Toc7501"/>
      <w:bookmarkStart w:id="215" w:name="_Toc2521"/>
      <w:bookmarkStart w:id="216" w:name="_Toc30079"/>
      <w:bookmarkStart w:id="217" w:name="_Toc412"/>
      <w:bookmarkStart w:id="218" w:name="_Toc20996"/>
      <w:bookmarkStart w:id="219" w:name="_Toc21010"/>
      <w:bookmarkStart w:id="220" w:name="_Toc25524"/>
      <w:bookmarkStart w:id="221" w:name="_Toc13701"/>
      <w:bookmarkStart w:id="222" w:name="_Toc6872"/>
      <w:bookmarkStart w:id="223" w:name="_Toc5263"/>
      <w:bookmarkStart w:id="224" w:name="_Toc11688"/>
      <w:bookmarkStart w:id="225" w:name="_Toc3681"/>
      <w:bookmarkStart w:id="226" w:name="_Toc32229"/>
      <w:bookmarkStart w:id="227" w:name="_Toc5050"/>
      <w:bookmarkStart w:id="228" w:name="_Toc9013"/>
      <w:r>
        <w:rPr>
          <w:rFonts w:hint="eastAsia" w:ascii="楷体_GB2312" w:hAnsi="楷体_GB2312" w:eastAsia="楷体_GB2312" w:cs="楷体_GB2312"/>
          <w:b/>
          <w:kern w:val="0"/>
          <w:sz w:val="24"/>
          <w:szCs w:val="24"/>
        </w:rPr>
        <w:t>三、发行安排</w:t>
      </w:r>
      <w:bookmarkEnd w:id="192"/>
      <w:bookmarkEnd w:id="193"/>
      <w:bookmarkEnd w:id="194"/>
      <w:bookmarkEnd w:id="195"/>
      <w:bookmarkEnd w:id="196"/>
      <w:bookmarkEnd w:id="197"/>
      <w:bookmarkEnd w:id="198"/>
      <w:bookmarkEnd w:id="199"/>
      <w:bookmarkEnd w:id="200"/>
      <w:bookmarkEnd w:id="201"/>
      <w:bookmarkEnd w:id="202"/>
      <w:bookmarkEnd w:id="203"/>
      <w:bookmarkEnd w:id="204"/>
    </w:p>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（一）集中簿记建档安排</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1、本期资产支持商业票据簿记管理人为【</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】，本期资产支持商业票据承销商须在【  】年【  】月【  】日【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】至【  】年【  】月【  】日【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】，通过集中簿记建档系统向簿记管理人提交《【</w:t>
      </w:r>
      <w:r>
        <w:rPr>
          <w:rFonts w:hint="eastAsia" w:ascii="楷体_GB2312" w:hAnsi="楷体_GB2312" w:eastAsia="楷体_GB2312" w:cs="楷体_GB2312"/>
          <w:b/>
          <w:bCs/>
          <w:i/>
          <w:iCs/>
          <w:color w:val="FF0000"/>
          <w:kern w:val="0"/>
          <w:sz w:val="24"/>
          <w:szCs w:val="24"/>
          <w:u w:val="single"/>
        </w:rPr>
        <w:t>资产支持商业票据名称</w:t>
      </w:r>
      <w:r>
        <w:rPr>
          <w:rFonts w:hint="eastAsia" w:ascii="楷体_GB2312" w:hAnsi="楷体_GB2312" w:eastAsia="楷体_GB2312" w:cs="楷体_GB2312"/>
          <w:kern w:val="0"/>
          <w:sz w:val="24"/>
          <w:szCs w:val="24"/>
        </w:rPr>
        <w:t>】申购要约》（以下简称《申购要约》），申购时间以在集中簿记建档系统中将《申购要约》提交至簿记管理人的时间为准。</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2、承销商申购金额的下限为【  】万元（含【  】万元），申购金额超过【  】万元的必须是【  】万元的整数倍。</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3、本期资产支持商业票据发行过程中存在延长簿记建档时间的可能。簿记管理人承诺延长前会预先进行充分披露，每次延长时间不低于1小时，且延长后的簿记截止时间不晚于簿记截止日【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】。特殊情况下，延长后的簿记截止时间不晚于簿记截止日次一工作日【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】。（如有）</w:t>
      </w:r>
    </w:p>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（二）分销安排</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bookmarkStart w:id="229" w:name="_Toc31001"/>
      <w:bookmarkStart w:id="230" w:name="_Toc8745"/>
      <w:r>
        <w:rPr>
          <w:rFonts w:hint="eastAsia" w:ascii="楷体_GB2312" w:hAnsi="楷体_GB2312" w:eastAsia="楷体_GB2312" w:cs="楷体_GB2312"/>
          <w:snapToGrid w:val="0"/>
          <w:kern w:val="0"/>
          <w:sz w:val="24"/>
          <w:szCs w:val="24"/>
        </w:rPr>
        <w:t>1、分销期：</w:t>
      </w:r>
      <w:r>
        <w:rPr>
          <w:rFonts w:hint="eastAsia" w:ascii="楷体_GB2312" w:hAnsi="楷体_GB2312" w:eastAsia="楷体_GB2312" w:cs="楷体_GB2312"/>
          <w:kern w:val="0"/>
          <w:sz w:val="24"/>
          <w:szCs w:val="24"/>
        </w:rPr>
        <w:t>【  】年【  】月【  】日-【  】年【  】月【  】日。</w:t>
      </w:r>
      <w:bookmarkEnd w:id="229"/>
      <w:bookmarkEnd w:id="230"/>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bookmarkStart w:id="231" w:name="_Toc18688"/>
      <w:bookmarkStart w:id="232" w:name="_Toc418"/>
      <w:r>
        <w:rPr>
          <w:rFonts w:hint="eastAsia" w:ascii="楷体_GB2312" w:hAnsi="楷体_GB2312" w:eastAsia="楷体_GB2312" w:cs="楷体_GB2312"/>
          <w:kern w:val="0"/>
          <w:sz w:val="24"/>
          <w:szCs w:val="24"/>
        </w:rPr>
        <w:t>2、分销对象：认购本期优先级资产支持商业票据的投资人为全国银行间债券市场的机构投资者（国家法律、法规禁止购买者除外），且应已在上海清算所开立持有人账户。</w:t>
      </w:r>
      <w:bookmarkEnd w:id="231"/>
      <w:bookmarkEnd w:id="232"/>
    </w:p>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（三）缴款和结算安排</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1、缴款时间：【  】年【  】月【  】日【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2、簿记管理人将在【  】年【  】月【  】日通过集中簿记建档系统发送《【</w:t>
      </w:r>
      <w:r>
        <w:rPr>
          <w:rFonts w:hint="eastAsia" w:ascii="楷体_GB2312" w:hAnsi="楷体_GB2312" w:eastAsia="楷体_GB2312" w:cs="楷体_GB2312"/>
          <w:b/>
          <w:bCs/>
          <w:i/>
          <w:iCs/>
          <w:color w:val="FF0000"/>
          <w:kern w:val="0"/>
          <w:sz w:val="24"/>
          <w:szCs w:val="24"/>
          <w:u w:val="single"/>
        </w:rPr>
        <w:t>资产支持商业票据名称</w:t>
      </w:r>
      <w:r>
        <w:rPr>
          <w:rFonts w:hint="eastAsia" w:ascii="楷体_GB2312" w:hAnsi="楷体_GB2312" w:eastAsia="楷体_GB2312" w:cs="楷体_GB2312"/>
          <w:kern w:val="0"/>
          <w:sz w:val="24"/>
          <w:szCs w:val="24"/>
        </w:rPr>
        <w:t>】配售确认及缴款通知书》（以下简称《缴款通知书》），通知每个承销团成员获配的资产支持商业票据面额和需缴纳的认购款金额、付款日期、划款账户等。</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3、合格的承销商应于缴款日【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】，将按簿记管理人的《缴款通知书》中明确的承销额对应的募集款项划至以下指定账户：</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户名：【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开户行：【</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账号：【  】</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中国人民银行支付系统行号：【  】</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textAlignment w:val="auto"/>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附言：（如有）</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如合格的承销商不能按期足额缴款，则按照中国银行间市场交易商协会的相关规定和《承销协议》《承销团协议》（如有）的有关条款办理。</w:t>
      </w:r>
    </w:p>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（四）登记托管安排</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以实名记账方式发行，在上海清算所进行登记托管。上海清算所为本期资产支持商业票据的法定债权登记人，在发行结束后负责对本期资产支持商业票据进行债权管理，权益监护和代理付息兑付，并负责向投资人提供有关信息服务。</w:t>
      </w:r>
    </w:p>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（五）上市流通安排</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本期优先级资产支持商业票据在【  】年【  】月【  】日，即可以在全国银行间债券市场流通转让。按照全国银行间同业拆借中心颁布的相关规定进行。</w:t>
      </w:r>
    </w:p>
    <w:p>
      <w:pPr>
        <w:autoSpaceDE w:val="0"/>
        <w:autoSpaceDN w:val="0"/>
        <w:adjustRightInd w:val="0"/>
        <w:snapToGrid w:val="0"/>
        <w:spacing w:before="120" w:beforeLines="50" w:after="120" w:afterLines="50" w:line="300" w:lineRule="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233" w:name="_Toc27971"/>
      <w:bookmarkStart w:id="234" w:name="_Toc5511"/>
      <w:bookmarkStart w:id="235" w:name="_Toc26904"/>
      <w:bookmarkStart w:id="236" w:name="_Toc21691"/>
      <w:bookmarkStart w:id="237" w:name="_Toc332"/>
      <w:bookmarkStart w:id="238" w:name="_Toc22500"/>
      <w:bookmarkStart w:id="239" w:name="_Toc28865"/>
      <w:bookmarkStart w:id="240" w:name="_Toc7288"/>
      <w:bookmarkStart w:id="241" w:name="_Toc5380"/>
      <w:bookmarkStart w:id="242" w:name="_Toc15729"/>
      <w:bookmarkStart w:id="243" w:name="_Toc13076"/>
      <w:bookmarkStart w:id="244" w:name="_Toc5212"/>
      <w:bookmarkStart w:id="245" w:name="_Toc21884"/>
      <w:bookmarkStart w:id="246" w:name="_Toc11653"/>
      <w:bookmarkStart w:id="247" w:name="_Toc15998"/>
      <w:bookmarkStart w:id="248" w:name="_Toc27807"/>
      <w:bookmarkStart w:id="249" w:name="_Toc5605"/>
      <w:bookmarkStart w:id="250" w:name="_Toc2680"/>
      <w:bookmarkStart w:id="251" w:name="_Toc21190"/>
      <w:bookmarkStart w:id="252" w:name="_Toc35499359"/>
      <w:bookmarkStart w:id="253" w:name="_Toc5284"/>
      <w:bookmarkStart w:id="254" w:name="_Toc21815"/>
      <w:bookmarkStart w:id="255" w:name="_Toc1349"/>
      <w:bookmarkStart w:id="256" w:name="_Toc28559"/>
      <w:bookmarkStart w:id="257" w:name="_Toc13863"/>
      <w:bookmarkStart w:id="258" w:name="_Toc923"/>
      <w:bookmarkStart w:id="259" w:name="_Toc14129"/>
      <w:bookmarkStart w:id="260" w:name="_Toc4550"/>
      <w:bookmarkStart w:id="261" w:name="_Toc7884"/>
      <w:bookmarkStart w:id="262" w:name="_Toc1565"/>
      <w:bookmarkStart w:id="263" w:name="_Toc31970"/>
      <w:bookmarkStart w:id="264" w:name="_Toc26584"/>
      <w:bookmarkStart w:id="265" w:name="_Toc20784"/>
      <w:bookmarkStart w:id="266" w:name="_Toc27444"/>
      <w:bookmarkStart w:id="267" w:name="_Toc7921"/>
      <w:bookmarkStart w:id="268" w:name="_Toc10998"/>
      <w:bookmarkStart w:id="269" w:name="_Toc22914"/>
      <w:bookmarkStart w:id="270" w:name="_Toc7516"/>
      <w:bookmarkStart w:id="271" w:name="_Toc7268"/>
      <w:r>
        <w:rPr>
          <w:rFonts w:hint="eastAsia" w:ascii="楷体_GB2312" w:hAnsi="楷体_GB2312" w:eastAsia="楷体_GB2312" w:cs="楷体_GB2312"/>
          <w:b/>
          <w:bCs/>
          <w:kern w:val="0"/>
          <w:sz w:val="30"/>
          <w:szCs w:val="30"/>
        </w:rPr>
        <w:t>风险提示及说明</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keepNext w:val="0"/>
        <w:keepLines w:val="0"/>
        <w:pageBreakBefore w:val="0"/>
        <w:widowControl w:val="0"/>
        <w:kinsoku/>
        <w:wordWrap/>
        <w:overflowPunct/>
        <w:topLinePunct w:val="0"/>
        <w:bidi w:val="0"/>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bookmarkStart w:id="272" w:name="_Toc28289"/>
      <w:bookmarkStart w:id="273" w:name="_Toc18752"/>
      <w:bookmarkStart w:id="274" w:name="_Toc9082"/>
      <w:bookmarkStart w:id="275" w:name="_Toc25785"/>
      <w:bookmarkStart w:id="276" w:name="_Toc25598"/>
      <w:bookmarkStart w:id="277" w:name="_Toc20069"/>
      <w:bookmarkStart w:id="278" w:name="_Toc35499360"/>
      <w:bookmarkStart w:id="279" w:name="_Toc18256"/>
      <w:bookmarkStart w:id="280" w:name="_Toc20773"/>
      <w:bookmarkStart w:id="281" w:name="_Toc29736"/>
      <w:bookmarkStart w:id="282" w:name="_Toc18955"/>
      <w:bookmarkStart w:id="283" w:name="_Toc19091"/>
      <w:bookmarkStart w:id="284" w:name="_Toc111"/>
      <w:bookmarkStart w:id="285" w:name="_Toc31072"/>
      <w:bookmarkStart w:id="286" w:name="_Toc4093"/>
      <w:bookmarkStart w:id="287" w:name="_Toc31330"/>
      <w:bookmarkStart w:id="288" w:name="_Toc5787"/>
      <w:bookmarkStart w:id="289" w:name="_Toc26203"/>
      <w:bookmarkStart w:id="290" w:name="_Toc31773"/>
      <w:bookmarkStart w:id="291" w:name="_Toc23821"/>
      <w:bookmarkStart w:id="292" w:name="_Toc15826"/>
      <w:bookmarkStart w:id="293" w:name="_Toc10477"/>
      <w:r>
        <w:rPr>
          <w:rFonts w:hint="eastAsia" w:ascii="楷体_GB2312" w:hAnsi="楷体_GB2312" w:eastAsia="楷体_GB2312" w:cs="楷体_GB2312"/>
          <w:kern w:val="0"/>
          <w:sz w:val="24"/>
          <w:szCs w:val="24"/>
        </w:rPr>
        <w:t>投资人在评价和认购本期资产支持商业票据时，应特别认真地考虑下列各种风险因素：</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294" w:name="_Toc17941"/>
      <w:bookmarkStart w:id="295" w:name="_Toc10438"/>
      <w:bookmarkStart w:id="296" w:name="_Toc30831"/>
      <w:bookmarkStart w:id="297" w:name="_Toc8341"/>
      <w:bookmarkStart w:id="298" w:name="_Toc10033"/>
      <w:bookmarkStart w:id="299" w:name="_Toc13770"/>
      <w:bookmarkStart w:id="300" w:name="_Toc22600"/>
      <w:bookmarkStart w:id="301" w:name="_Toc8610"/>
      <w:bookmarkStart w:id="302" w:name="_Toc3437"/>
      <w:bookmarkStart w:id="303" w:name="_Toc26684"/>
      <w:bookmarkStart w:id="304" w:name="_Toc294"/>
      <w:bookmarkStart w:id="305" w:name="_Toc31029"/>
      <w:bookmarkStart w:id="306" w:name="_Toc17994"/>
      <w:bookmarkStart w:id="307" w:name="_Toc9507"/>
      <w:bookmarkStart w:id="308" w:name="_Toc20836"/>
      <w:r>
        <w:rPr>
          <w:rFonts w:hint="eastAsia" w:ascii="楷体_GB2312" w:hAnsi="楷体_GB2312" w:eastAsia="楷体_GB2312" w:cs="楷体_GB2312"/>
          <w:b/>
          <w:kern w:val="0"/>
          <w:sz w:val="24"/>
          <w:szCs w:val="24"/>
        </w:rPr>
        <w:t>一、</w:t>
      </w:r>
      <w:bookmarkStart w:id="309" w:name="_Hlk35211201"/>
      <w:r>
        <w:rPr>
          <w:rFonts w:hint="eastAsia" w:ascii="楷体_GB2312" w:hAnsi="楷体_GB2312" w:eastAsia="楷体_GB2312" w:cs="楷体_GB2312"/>
          <w:b/>
          <w:kern w:val="0"/>
          <w:sz w:val="24"/>
          <w:szCs w:val="24"/>
        </w:rPr>
        <w:t>投资风险</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（一）利率风险</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（二）流动性风险</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（三）偿付风险</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10" w:name="_Toc12662"/>
      <w:bookmarkStart w:id="311" w:name="_Toc246"/>
      <w:bookmarkStart w:id="312" w:name="_Toc1686"/>
      <w:bookmarkStart w:id="313" w:name="_Toc17860"/>
      <w:bookmarkStart w:id="314" w:name="_Toc31575"/>
      <w:bookmarkStart w:id="315" w:name="_Toc15469"/>
      <w:bookmarkStart w:id="316" w:name="_Toc30871"/>
      <w:bookmarkStart w:id="317" w:name="_Toc6391"/>
      <w:bookmarkStart w:id="318" w:name="_Toc4894"/>
      <w:bookmarkStart w:id="319" w:name="_Toc9938"/>
      <w:bookmarkStart w:id="320" w:name="_Toc21458"/>
      <w:bookmarkStart w:id="321" w:name="_Toc22478"/>
      <w:bookmarkStart w:id="322" w:name="_Toc26198"/>
      <w:bookmarkStart w:id="323" w:name="_Toc20514"/>
      <w:bookmarkStart w:id="324" w:name="_Toc11476"/>
      <w:bookmarkStart w:id="325" w:name="_Toc28881"/>
      <w:bookmarkStart w:id="326" w:name="_Toc11118"/>
      <w:bookmarkStart w:id="327" w:name="_Toc30245"/>
      <w:bookmarkStart w:id="328" w:name="_Toc9127"/>
      <w:bookmarkStart w:id="329" w:name="_Toc31247"/>
      <w:bookmarkStart w:id="330" w:name="_Toc29982"/>
      <w:bookmarkStart w:id="331" w:name="_Toc1995"/>
      <w:bookmarkStart w:id="332" w:name="_Toc9089"/>
      <w:bookmarkStart w:id="333" w:name="_Toc35499361"/>
      <w:bookmarkStart w:id="334" w:name="_Toc29106"/>
      <w:bookmarkStart w:id="335" w:name="_Toc16826"/>
      <w:bookmarkStart w:id="336" w:name="_Toc15437"/>
      <w:bookmarkStart w:id="337" w:name="_Toc27584"/>
      <w:bookmarkStart w:id="338" w:name="_Toc19680"/>
      <w:bookmarkStart w:id="339" w:name="_Toc17010"/>
      <w:bookmarkStart w:id="340" w:name="_Toc2391"/>
      <w:bookmarkStart w:id="341" w:name="_Toc17726"/>
      <w:bookmarkStart w:id="342" w:name="_Toc25945"/>
      <w:bookmarkStart w:id="343" w:name="_Toc30153"/>
      <w:bookmarkStart w:id="344" w:name="_Toc4443"/>
      <w:bookmarkStart w:id="345" w:name="_Toc4233"/>
      <w:bookmarkStart w:id="346" w:name="_Toc6094"/>
      <w:r>
        <w:rPr>
          <w:rFonts w:hint="eastAsia" w:ascii="楷体_GB2312" w:hAnsi="楷体_GB2312" w:eastAsia="楷体_GB2312" w:cs="楷体_GB2312"/>
          <w:b/>
          <w:kern w:val="0"/>
          <w:sz w:val="24"/>
          <w:szCs w:val="24"/>
        </w:rPr>
        <w:t>二、基础资产相关风险</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bookmarkEnd w:id="309"/>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47" w:name="_Toc11767"/>
      <w:bookmarkStart w:id="348" w:name="_Toc9009"/>
      <w:bookmarkStart w:id="349" w:name="_Toc13078"/>
      <w:bookmarkStart w:id="350" w:name="_Toc23867"/>
      <w:bookmarkStart w:id="351" w:name="_Toc22397"/>
      <w:bookmarkStart w:id="352" w:name="_Toc17865"/>
      <w:bookmarkStart w:id="353" w:name="_Toc26596"/>
      <w:bookmarkStart w:id="354" w:name="_Toc35499362"/>
      <w:bookmarkStart w:id="355" w:name="_Toc21280"/>
      <w:bookmarkStart w:id="356" w:name="_Toc26284"/>
      <w:bookmarkStart w:id="357" w:name="_Toc25543"/>
      <w:bookmarkStart w:id="358" w:name="_Toc14102"/>
      <w:bookmarkStart w:id="359" w:name="_Toc18326"/>
      <w:bookmarkStart w:id="360" w:name="_Toc21111"/>
      <w:bookmarkStart w:id="361" w:name="_Toc25440"/>
      <w:bookmarkStart w:id="362" w:name="_Toc26142"/>
      <w:bookmarkStart w:id="363" w:name="_Toc20849"/>
      <w:bookmarkStart w:id="364" w:name="_Toc9033"/>
      <w:bookmarkStart w:id="365" w:name="_Toc15649"/>
      <w:bookmarkStart w:id="366" w:name="_Toc6141"/>
      <w:bookmarkStart w:id="367" w:name="_Toc8106"/>
      <w:bookmarkStart w:id="368" w:name="_Toc28335"/>
      <w:bookmarkStart w:id="369" w:name="_Toc19332"/>
      <w:bookmarkStart w:id="370" w:name="_Toc20416"/>
      <w:bookmarkStart w:id="371" w:name="_Toc12903"/>
      <w:bookmarkStart w:id="372" w:name="_Toc14071"/>
      <w:bookmarkStart w:id="373" w:name="_Toc17292"/>
      <w:bookmarkStart w:id="374" w:name="_Toc31539"/>
      <w:bookmarkStart w:id="375" w:name="_Toc12296"/>
      <w:bookmarkStart w:id="376" w:name="_Toc8148"/>
      <w:bookmarkStart w:id="377" w:name="_Toc22871"/>
      <w:bookmarkStart w:id="378" w:name="_Toc7074"/>
      <w:bookmarkStart w:id="379" w:name="_Toc3462"/>
      <w:bookmarkStart w:id="380" w:name="_Toc22795"/>
      <w:bookmarkStart w:id="381" w:name="_Toc14117"/>
      <w:bookmarkStart w:id="382" w:name="_Toc32189"/>
      <w:bookmarkStart w:id="383" w:name="_Toc14638"/>
      <w:r>
        <w:rPr>
          <w:rFonts w:hint="eastAsia" w:ascii="楷体_GB2312" w:hAnsi="楷体_GB2312" w:eastAsia="楷体_GB2312" w:cs="楷体_GB2312"/>
          <w:b/>
          <w:kern w:val="0"/>
          <w:sz w:val="24"/>
          <w:szCs w:val="24"/>
        </w:rPr>
        <w:t>三、交易结构相关风险</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84" w:name="_Toc21203"/>
      <w:bookmarkStart w:id="385" w:name="_Toc35499363"/>
      <w:bookmarkStart w:id="386" w:name="_Toc16777"/>
      <w:bookmarkStart w:id="387" w:name="_Toc30011"/>
      <w:bookmarkStart w:id="388" w:name="_Toc28560"/>
      <w:bookmarkStart w:id="389" w:name="_Toc20658"/>
      <w:bookmarkStart w:id="390" w:name="_Toc17628"/>
      <w:bookmarkStart w:id="391" w:name="_Toc1102"/>
      <w:bookmarkStart w:id="392" w:name="_Toc16752"/>
      <w:bookmarkStart w:id="393" w:name="_Toc13087"/>
      <w:bookmarkStart w:id="394" w:name="_Toc28999"/>
      <w:bookmarkStart w:id="395" w:name="_Toc24594"/>
      <w:bookmarkStart w:id="396" w:name="_Toc29729"/>
      <w:bookmarkStart w:id="397" w:name="_Toc11361"/>
      <w:bookmarkStart w:id="398" w:name="_Toc5107"/>
      <w:bookmarkStart w:id="399" w:name="_Toc30632"/>
      <w:bookmarkStart w:id="400" w:name="_Toc28497"/>
      <w:bookmarkStart w:id="401" w:name="_Toc7924"/>
      <w:bookmarkStart w:id="402" w:name="_Toc5756"/>
      <w:bookmarkStart w:id="403" w:name="_Toc13977"/>
      <w:bookmarkStart w:id="404" w:name="_Toc30862"/>
      <w:bookmarkStart w:id="405" w:name="_Toc17464"/>
      <w:bookmarkStart w:id="406" w:name="_Toc10844"/>
      <w:bookmarkStart w:id="407" w:name="_Toc28018"/>
      <w:bookmarkStart w:id="408" w:name="_Toc25308"/>
      <w:bookmarkStart w:id="409" w:name="_Toc25621"/>
      <w:bookmarkStart w:id="410" w:name="_Toc11104"/>
      <w:bookmarkStart w:id="411" w:name="_Toc26691"/>
      <w:bookmarkStart w:id="412" w:name="_Toc6739"/>
      <w:bookmarkStart w:id="413" w:name="_Toc20399"/>
      <w:bookmarkStart w:id="414" w:name="_Toc29727"/>
      <w:bookmarkStart w:id="415" w:name="_Toc10687"/>
      <w:bookmarkStart w:id="416" w:name="_Toc27775"/>
      <w:bookmarkStart w:id="417" w:name="_Toc27545"/>
      <w:bookmarkStart w:id="418" w:name="_Toc18836"/>
      <w:bookmarkStart w:id="419" w:name="_Toc13516"/>
      <w:bookmarkStart w:id="420" w:name="_Toc8632"/>
      <w:r>
        <w:rPr>
          <w:rFonts w:hint="eastAsia" w:ascii="楷体_GB2312" w:hAnsi="楷体_GB2312" w:eastAsia="楷体_GB2312" w:cs="楷体_GB2312"/>
          <w:b/>
          <w:kern w:val="0"/>
          <w:sz w:val="24"/>
          <w:szCs w:val="24"/>
        </w:rPr>
        <w:t>四、发起机构相关风险</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21" w:name="_Toc25013"/>
      <w:bookmarkStart w:id="422" w:name="_Toc11859"/>
      <w:bookmarkStart w:id="423" w:name="_Toc5800"/>
      <w:bookmarkStart w:id="424" w:name="_Toc26870"/>
      <w:bookmarkStart w:id="425" w:name="_Toc11448"/>
      <w:bookmarkStart w:id="426" w:name="_Toc15373"/>
      <w:bookmarkStart w:id="427" w:name="_Toc16075"/>
      <w:bookmarkStart w:id="428" w:name="_Toc19432"/>
      <w:bookmarkStart w:id="429" w:name="_Toc1142"/>
      <w:bookmarkStart w:id="430" w:name="_Toc2277"/>
      <w:bookmarkStart w:id="431" w:name="_Toc22481"/>
      <w:bookmarkStart w:id="432" w:name="_Toc25041"/>
      <w:bookmarkStart w:id="433" w:name="_Toc15162"/>
      <w:bookmarkStart w:id="434" w:name="_Toc13080"/>
      <w:bookmarkStart w:id="435" w:name="_Toc18960"/>
      <w:bookmarkStart w:id="436" w:name="_Toc14577"/>
      <w:bookmarkStart w:id="437" w:name="_Toc32143"/>
      <w:bookmarkStart w:id="438" w:name="_Toc16838"/>
      <w:bookmarkStart w:id="439" w:name="_Toc17729"/>
      <w:bookmarkStart w:id="440" w:name="_Toc6941"/>
      <w:bookmarkStart w:id="441" w:name="_Toc24527"/>
      <w:bookmarkStart w:id="442" w:name="_Toc25568"/>
      <w:bookmarkStart w:id="443" w:name="_Toc31195"/>
      <w:bookmarkStart w:id="444" w:name="_Toc29950"/>
      <w:bookmarkStart w:id="445" w:name="_Toc19990"/>
      <w:bookmarkStart w:id="446" w:name="_Toc18767"/>
      <w:bookmarkStart w:id="447" w:name="_Toc5283"/>
      <w:bookmarkStart w:id="448" w:name="_Toc17587"/>
      <w:bookmarkStart w:id="449" w:name="_Toc21620"/>
      <w:bookmarkStart w:id="450" w:name="_Toc6553"/>
      <w:bookmarkStart w:id="451" w:name="_Toc35499364"/>
      <w:bookmarkStart w:id="452" w:name="_Toc9927"/>
      <w:bookmarkStart w:id="453" w:name="_Toc8466"/>
      <w:bookmarkStart w:id="454" w:name="_Toc6523"/>
      <w:bookmarkStart w:id="455" w:name="_Toc1550"/>
      <w:bookmarkStart w:id="456" w:name="_Toc27989"/>
      <w:bookmarkStart w:id="457" w:name="_Toc8152"/>
      <w:r>
        <w:rPr>
          <w:rFonts w:hint="eastAsia" w:ascii="楷体_GB2312" w:hAnsi="楷体_GB2312" w:eastAsia="楷体_GB2312" w:cs="楷体_GB2312"/>
          <w:b/>
          <w:kern w:val="0"/>
          <w:sz w:val="24"/>
          <w:szCs w:val="24"/>
        </w:rPr>
        <w:t>五、信用增级机构相关风险</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Pr>
          <w:rFonts w:hint="eastAsia" w:ascii="楷体_GB2312" w:hAnsi="楷体_GB2312" w:eastAsia="楷体_GB2312" w:cs="楷体_GB2312"/>
          <w:b/>
          <w:kern w:val="0"/>
          <w:sz w:val="24"/>
          <w:szCs w:val="24"/>
        </w:rPr>
        <w:t>（如有）</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pPr>
        <w:keepNext w:val="0"/>
        <w:keepLines w:val="0"/>
        <w:pageBreakBefore w:val="0"/>
        <w:widowControl w:val="0"/>
        <w:tabs>
          <w:tab w:val="left" w:pos="6811"/>
        </w:tabs>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ascii="楷体_GB2312" w:hAnsi="楷体_GB2312" w:eastAsia="楷体_GB2312" w:cs="楷体_GB2312"/>
          <w:b/>
          <w:kern w:val="0"/>
          <w:sz w:val="24"/>
          <w:szCs w:val="24"/>
        </w:rPr>
      </w:pPr>
      <w:bookmarkStart w:id="458" w:name="_Toc30287"/>
      <w:bookmarkStart w:id="459" w:name="_Toc11513"/>
      <w:bookmarkStart w:id="460" w:name="_Toc5668"/>
      <w:bookmarkStart w:id="461" w:name="_Toc3293"/>
      <w:bookmarkStart w:id="462" w:name="_Toc3402"/>
      <w:bookmarkStart w:id="463" w:name="_Toc9135"/>
      <w:bookmarkStart w:id="464" w:name="_Toc28109"/>
      <w:bookmarkStart w:id="465" w:name="_Toc22132"/>
      <w:bookmarkStart w:id="466" w:name="_Toc21321"/>
      <w:bookmarkStart w:id="467" w:name="_Toc31237"/>
      <w:bookmarkStart w:id="468" w:name="_Toc11659"/>
      <w:bookmarkStart w:id="469" w:name="_Toc31769"/>
      <w:bookmarkStart w:id="470" w:name="_Toc9745"/>
      <w:bookmarkStart w:id="471" w:name="_Toc3094"/>
      <w:bookmarkStart w:id="472" w:name="_Toc19218"/>
      <w:bookmarkStart w:id="473" w:name="_Toc9274"/>
      <w:bookmarkStart w:id="474" w:name="_Toc11238"/>
      <w:bookmarkStart w:id="475" w:name="_Toc21527"/>
      <w:bookmarkStart w:id="476" w:name="_Toc1027"/>
      <w:bookmarkStart w:id="477" w:name="_Toc17413"/>
      <w:bookmarkStart w:id="478" w:name="_Toc22223"/>
      <w:bookmarkStart w:id="479" w:name="_Toc8926"/>
      <w:bookmarkStart w:id="480" w:name="_Toc15129"/>
      <w:bookmarkStart w:id="481" w:name="_Toc2499"/>
      <w:bookmarkStart w:id="482" w:name="_Toc5531"/>
      <w:bookmarkStart w:id="483" w:name="_Toc10851"/>
      <w:bookmarkStart w:id="484" w:name="_Toc31744"/>
      <w:bookmarkStart w:id="485" w:name="_Toc4985"/>
      <w:bookmarkStart w:id="486" w:name="_Toc20931"/>
      <w:r>
        <w:rPr>
          <w:rFonts w:hint="eastAsia" w:ascii="楷体_GB2312" w:hAnsi="楷体_GB2312" w:eastAsia="楷体_GB2312" w:cs="楷体_GB2312"/>
          <w:b/>
          <w:kern w:val="0"/>
          <w:sz w:val="24"/>
          <w:szCs w:val="24"/>
        </w:rPr>
        <w:t>六、</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hint="eastAsia" w:ascii="楷体_GB2312" w:hAnsi="楷体_GB2312" w:eastAsia="楷体_GB2312" w:cs="楷体_GB2312"/>
          <w:b/>
          <w:kern w:val="0"/>
          <w:sz w:val="24"/>
          <w:szCs w:val="24"/>
        </w:rPr>
        <w:t>中介机构相关风险</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Fonts w:hint="eastAsia" w:ascii="楷体_GB2312" w:hAnsi="楷体_GB2312" w:eastAsia="楷体_GB2312" w:cs="楷体_GB2312"/>
          <w:b/>
          <w:kern w:val="0"/>
          <w:sz w:val="24"/>
          <w:szCs w:val="24"/>
        </w:rPr>
        <w:tab/>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87" w:name="_Toc27928"/>
      <w:bookmarkStart w:id="488" w:name="_Toc32169"/>
      <w:bookmarkStart w:id="489" w:name="_Toc16751"/>
      <w:bookmarkStart w:id="490" w:name="_Toc3936"/>
      <w:bookmarkStart w:id="491" w:name="_Toc25138"/>
      <w:bookmarkStart w:id="492" w:name="_Toc30420"/>
      <w:bookmarkStart w:id="493" w:name="_Toc23304"/>
      <w:bookmarkStart w:id="494" w:name="_Toc28039"/>
      <w:bookmarkStart w:id="495" w:name="_Toc25687"/>
      <w:bookmarkStart w:id="496" w:name="_Toc30610"/>
      <w:bookmarkStart w:id="497" w:name="_Toc25391"/>
      <w:bookmarkStart w:id="498" w:name="_Toc1856"/>
      <w:bookmarkStart w:id="499" w:name="_Toc31176"/>
      <w:bookmarkStart w:id="500" w:name="_Toc9283"/>
      <w:bookmarkStart w:id="501" w:name="_Toc23986"/>
      <w:bookmarkStart w:id="502" w:name="_Toc4139"/>
      <w:bookmarkStart w:id="503" w:name="_Toc2286"/>
      <w:bookmarkStart w:id="504" w:name="_Toc6577"/>
      <w:bookmarkStart w:id="505" w:name="_Toc6189"/>
      <w:bookmarkStart w:id="506" w:name="_Toc14460"/>
      <w:bookmarkStart w:id="507" w:name="_Toc25115"/>
      <w:bookmarkStart w:id="508" w:name="_Toc24176"/>
      <w:bookmarkStart w:id="509" w:name="_Toc488"/>
      <w:bookmarkStart w:id="510" w:name="_Toc19168"/>
      <w:bookmarkStart w:id="511" w:name="_Toc29673"/>
      <w:bookmarkStart w:id="512" w:name="_Toc27505"/>
      <w:bookmarkStart w:id="513" w:name="_Toc17335"/>
      <w:bookmarkStart w:id="514" w:name="_Toc18110"/>
      <w:bookmarkStart w:id="515" w:name="_Toc27874"/>
      <w:bookmarkStart w:id="516" w:name="_Toc20870"/>
      <w:bookmarkStart w:id="517" w:name="_Toc10926"/>
      <w:bookmarkStart w:id="518" w:name="_Toc15386"/>
      <w:bookmarkStart w:id="519" w:name="_Toc345"/>
      <w:bookmarkStart w:id="520" w:name="_Toc7085"/>
      <w:bookmarkStart w:id="521" w:name="_Toc35499365"/>
      <w:bookmarkStart w:id="522" w:name="_Toc26950"/>
      <w:bookmarkStart w:id="523" w:name="_Toc28734"/>
      <w:r>
        <w:rPr>
          <w:rFonts w:hint="eastAsia" w:ascii="楷体_GB2312" w:hAnsi="楷体_GB2312" w:eastAsia="楷体_GB2312" w:cs="楷体_GB2312"/>
          <w:b/>
          <w:kern w:val="0"/>
          <w:sz w:val="24"/>
          <w:szCs w:val="24"/>
        </w:rPr>
        <w:t>七、资产支持商业票据相关风险</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2"/>
        <w:keepNext w:val="0"/>
        <w:keepLines w:val="0"/>
        <w:pageBreakBefore w:val="0"/>
        <w:widowControl w:val="0"/>
        <w:kinsoku/>
        <w:wordWrap/>
        <w:overflowPunct/>
        <w:topLinePunct w:val="0"/>
        <w:bidi w:val="0"/>
        <w:spacing w:before="157" w:beforeLines="50" w:after="157" w:afterLines="50" w:line="240" w:lineRule="atLeast"/>
        <w:ind w:firstLine="482"/>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（一）滚动发行失败风险</w:t>
      </w:r>
    </w:p>
    <w:p>
      <w:pPr>
        <w:pStyle w:val="2"/>
        <w:keepNext w:val="0"/>
        <w:keepLines w:val="0"/>
        <w:pageBreakBefore w:val="0"/>
        <w:widowControl w:val="0"/>
        <w:kinsoku/>
        <w:wordWrap/>
        <w:overflowPunct/>
        <w:topLinePunct w:val="0"/>
        <w:bidi w:val="0"/>
        <w:spacing w:before="157" w:beforeLines="50" w:after="157" w:afterLines="50" w:line="240" w:lineRule="atLeast"/>
        <w:ind w:firstLine="482"/>
        <w:textAlignment w:val="auto"/>
        <w:rPr>
          <w:rFonts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（二）滚动</w:t>
      </w:r>
      <w:r>
        <w:rPr>
          <w:rFonts w:ascii="楷体_GB2312" w:hAnsi="楷体_GB2312" w:eastAsia="楷体_GB2312" w:cs="楷体_GB2312"/>
          <w:b/>
          <w:bCs/>
          <w:snapToGrid w:val="0"/>
          <w:sz w:val="24"/>
          <w:szCs w:val="24"/>
        </w:rPr>
        <w:t>发行利率上升导致基础资产现金流覆盖倍数不及预测值的风险</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（三）滚动发行的资产支持商业票据缴款后无法立即起息风险（如有）</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（四）追加交付资产质量下降风险（如有）</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（五）委托人未按约定支付信托受益权转让对价的风险（如有）</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（六）委托人未按约定支付回购资产对价的风险（如有）</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rPr>
        <w:t>指委托人选择进行回购的情形。</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（七）委托人未按约定支付回购资产池对价的风险（如有）</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rPr>
        <w:t>指委托人因中止滚动发行而产生回购义务的情形。</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（八）差额支付承诺人未按约定履行滚动发行差额</w:t>
      </w:r>
      <w:r>
        <w:rPr>
          <w:rFonts w:hint="eastAsia" w:ascii="楷体_GB2312" w:hAnsi="楷体_GB2312" w:eastAsia="楷体_GB2312" w:cs="楷体_GB2312"/>
          <w:b/>
          <w:bCs/>
          <w:snapToGrid w:val="0"/>
          <w:sz w:val="24"/>
          <w:szCs w:val="24"/>
          <w:lang w:val="en-US" w:eastAsia="zh-CN"/>
        </w:rPr>
        <w:t>支付</w:t>
      </w:r>
      <w:r>
        <w:rPr>
          <w:rFonts w:hint="eastAsia" w:ascii="楷体_GB2312" w:hAnsi="楷体_GB2312" w:eastAsia="楷体_GB2312" w:cs="楷体_GB2312"/>
          <w:b/>
          <w:bCs/>
          <w:snapToGrid w:val="0"/>
          <w:sz w:val="24"/>
          <w:szCs w:val="24"/>
        </w:rPr>
        <w:t>义务的风险（如有）</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rPr>
      </w:pPr>
      <w:r>
        <w:rPr>
          <w:rFonts w:hint="eastAsia" w:ascii="Times New Roman" w:hAnsi="Times New Roman" w:eastAsia="楷体_GB2312" w:cs="Times New Roman"/>
          <w:b/>
          <w:i/>
          <w:color w:val="FF0000"/>
          <w:sz w:val="24"/>
          <w:szCs w:val="28"/>
          <w:u w:val="single"/>
          <w:lang w:val="en-US" w:eastAsia="zh-CN"/>
        </w:rPr>
        <w:t>应</w:t>
      </w:r>
      <w:r>
        <w:rPr>
          <w:rFonts w:hint="eastAsia" w:ascii="Times New Roman" w:hAnsi="Times New Roman" w:eastAsia="楷体_GB2312" w:cs="Times New Roman"/>
          <w:b/>
          <w:i/>
          <w:color w:val="FF0000"/>
          <w:sz w:val="24"/>
          <w:szCs w:val="28"/>
          <w:u w:val="single"/>
        </w:rPr>
        <w:t>根据项目实际情况阐述可能存在的风险。</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524" w:name="_Toc26669"/>
      <w:bookmarkStart w:id="525" w:name="_Toc20468"/>
      <w:bookmarkStart w:id="526" w:name="_Toc7732"/>
      <w:bookmarkStart w:id="527" w:name="_Toc14741"/>
      <w:bookmarkStart w:id="528" w:name="_Toc23070"/>
      <w:bookmarkStart w:id="529" w:name="_Toc17696"/>
      <w:bookmarkStart w:id="530" w:name="_Toc23998"/>
      <w:bookmarkStart w:id="531" w:name="_Toc27129"/>
      <w:bookmarkStart w:id="532" w:name="_Toc30583"/>
      <w:bookmarkStart w:id="533" w:name="_Toc31688"/>
      <w:bookmarkStart w:id="534" w:name="_Toc6151"/>
      <w:bookmarkStart w:id="535" w:name="_Toc20942"/>
      <w:bookmarkStart w:id="536" w:name="_Toc12590"/>
      <w:bookmarkStart w:id="537" w:name="_Toc5358"/>
      <w:bookmarkStart w:id="538" w:name="_Toc10052"/>
      <w:r>
        <w:rPr>
          <w:rFonts w:hint="eastAsia" w:ascii="楷体_GB2312" w:hAnsi="楷体_GB2312" w:eastAsia="楷体_GB2312" w:cs="楷体_GB2312"/>
          <w:b/>
          <w:kern w:val="0"/>
          <w:sz w:val="24"/>
          <w:szCs w:val="24"/>
        </w:rPr>
        <w:t>八、其他特有风险</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pPr>
        <w:pStyle w:val="156"/>
        <w:autoSpaceDE w:val="0"/>
        <w:autoSpaceDN w:val="0"/>
        <w:adjustRightInd w:val="0"/>
        <w:spacing w:before="120" w:beforeLines="50" w:after="120" w:afterLines="50" w:line="300" w:lineRule="auto"/>
        <w:ind w:firstLine="0" w:firstLineChars="0"/>
        <w:jc w:val="both"/>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bookmarkStart w:id="539" w:name="_Toc19935"/>
      <w:bookmarkStart w:id="540" w:name="_Toc626"/>
      <w:bookmarkStart w:id="541" w:name="_Toc10393"/>
      <w:bookmarkStart w:id="542" w:name="_Toc10304"/>
      <w:bookmarkStart w:id="543" w:name="_Toc25304"/>
      <w:bookmarkStart w:id="544" w:name="_Toc1444"/>
      <w:bookmarkStart w:id="545" w:name="_Toc13820"/>
      <w:bookmarkStart w:id="546" w:name="_Toc12159"/>
      <w:bookmarkStart w:id="547" w:name="_Toc13570"/>
      <w:bookmarkStart w:id="548" w:name="_Toc29913"/>
      <w:bookmarkStart w:id="549" w:name="_Toc18640"/>
      <w:bookmarkStart w:id="550" w:name="_Toc14358"/>
      <w:bookmarkStart w:id="551" w:name="_Toc17928"/>
      <w:bookmarkStart w:id="552" w:name="_Toc12100"/>
      <w:bookmarkStart w:id="553" w:name="_Toc1214"/>
      <w:bookmarkStart w:id="554" w:name="_Toc35499366"/>
      <w:bookmarkStart w:id="555" w:name="_Toc18639"/>
      <w:bookmarkStart w:id="556" w:name="_Toc20126"/>
      <w:bookmarkStart w:id="557" w:name="_Toc26445"/>
      <w:bookmarkStart w:id="558" w:name="_Toc11845"/>
      <w:bookmarkStart w:id="559" w:name="_Toc32253"/>
      <w:bookmarkStart w:id="560" w:name="_Toc27069"/>
    </w:p>
    <w:p>
      <w:pPr>
        <w:pStyle w:val="156"/>
        <w:keepNext w:val="0"/>
        <w:keepLines w:val="0"/>
        <w:pageBreakBefore w:val="0"/>
        <w:widowControl w:val="0"/>
        <w:numPr>
          <w:ilvl w:val="0"/>
          <w:numId w:val="1"/>
        </w:numPr>
        <w:kinsoku/>
        <w:wordWrap/>
        <w:overflowPunct/>
        <w:topLinePunct w:val="0"/>
        <w:autoSpaceDE w:val="0"/>
        <w:autoSpaceDN w:val="0"/>
        <w:bidi w:val="0"/>
        <w:adjustRightInd w:val="0"/>
        <w:snapToGrid/>
        <w:spacing w:before="120"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561" w:name="_Toc15442"/>
      <w:bookmarkStart w:id="562" w:name="_Toc23275"/>
      <w:bookmarkStart w:id="563" w:name="_Toc22796"/>
      <w:bookmarkStart w:id="564" w:name="_Toc619"/>
      <w:bookmarkStart w:id="565" w:name="_Toc2667"/>
      <w:bookmarkStart w:id="566" w:name="_Toc2841"/>
      <w:bookmarkStart w:id="567" w:name="_Toc21141"/>
      <w:bookmarkStart w:id="568" w:name="_Toc8003"/>
      <w:bookmarkStart w:id="569" w:name="_Toc2373"/>
      <w:bookmarkStart w:id="570" w:name="_Toc18917"/>
      <w:bookmarkStart w:id="571" w:name="_Toc6706"/>
      <w:bookmarkStart w:id="572" w:name="_Toc27110"/>
      <w:bookmarkStart w:id="573" w:name="_Toc24197"/>
      <w:bookmarkStart w:id="574" w:name="_Toc5963"/>
      <w:bookmarkStart w:id="575" w:name="_Toc31493"/>
      <w:bookmarkStart w:id="576" w:name="_Toc12587"/>
      <w:bookmarkStart w:id="577" w:name="_Toc21204"/>
      <w:r>
        <w:rPr>
          <w:rFonts w:hint="eastAsia" w:ascii="楷体_GB2312" w:hAnsi="楷体_GB2312" w:eastAsia="楷体_GB2312" w:cs="楷体_GB2312"/>
          <w:b/>
          <w:bCs/>
          <w:kern w:val="0"/>
          <w:sz w:val="30"/>
          <w:szCs w:val="30"/>
        </w:rPr>
        <w:t>资产支持商业票据的交易结构</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578" w:name="_Toc25344"/>
      <w:bookmarkStart w:id="579" w:name="_Toc5765"/>
      <w:bookmarkStart w:id="580" w:name="_Toc3750"/>
      <w:bookmarkStart w:id="581" w:name="_Toc10371"/>
      <w:bookmarkStart w:id="582" w:name="_Toc19666"/>
      <w:bookmarkStart w:id="583" w:name="_Toc26856"/>
      <w:bookmarkStart w:id="584" w:name="_Toc35499367"/>
      <w:bookmarkStart w:id="585" w:name="_Toc10445"/>
      <w:bookmarkStart w:id="586" w:name="_Toc7098"/>
      <w:bookmarkStart w:id="587" w:name="_Toc16142"/>
      <w:bookmarkStart w:id="588" w:name="_Toc19492"/>
      <w:bookmarkStart w:id="589" w:name="_Toc2780"/>
      <w:bookmarkStart w:id="590" w:name="_Toc12876"/>
      <w:bookmarkStart w:id="591" w:name="_Toc25987"/>
      <w:bookmarkStart w:id="592" w:name="_Toc12180"/>
      <w:bookmarkStart w:id="593" w:name="_Toc25276"/>
      <w:bookmarkStart w:id="594" w:name="_Toc11693"/>
      <w:bookmarkStart w:id="595" w:name="_Toc14786"/>
      <w:bookmarkStart w:id="596" w:name="_Toc25623"/>
      <w:bookmarkStart w:id="597" w:name="_Toc31598"/>
      <w:bookmarkStart w:id="598" w:name="_Toc31516"/>
      <w:bookmarkStart w:id="599" w:name="_Toc25334"/>
      <w:bookmarkStart w:id="600" w:name="_Toc14945"/>
      <w:bookmarkStart w:id="601" w:name="_Toc8320"/>
      <w:bookmarkStart w:id="602" w:name="_Toc28378"/>
      <w:bookmarkStart w:id="603" w:name="_Toc15809"/>
      <w:bookmarkStart w:id="604" w:name="_Toc1733"/>
      <w:bookmarkStart w:id="605" w:name="_Toc26085"/>
      <w:bookmarkStart w:id="606" w:name="_Toc13180"/>
      <w:bookmarkStart w:id="607" w:name="_Toc1781"/>
      <w:bookmarkStart w:id="608" w:name="_Toc1433"/>
      <w:bookmarkStart w:id="609" w:name="_Toc15182"/>
      <w:bookmarkStart w:id="610" w:name="_Toc28171"/>
      <w:bookmarkStart w:id="611" w:name="_Toc1422"/>
      <w:bookmarkStart w:id="612" w:name="_Toc16017"/>
      <w:bookmarkStart w:id="613" w:name="_Toc14323"/>
      <w:bookmarkStart w:id="614" w:name="_Toc11819"/>
      <w:r>
        <w:rPr>
          <w:rFonts w:hint="eastAsia" w:ascii="楷体_GB2312" w:hAnsi="楷体_GB2312" w:eastAsia="楷体_GB2312" w:cs="楷体_GB2312"/>
          <w:b/>
          <w:kern w:val="0"/>
          <w:sz w:val="24"/>
          <w:szCs w:val="24"/>
        </w:rPr>
        <w:t>一、交易结构图</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Pr>
          <w:rStyle w:val="48"/>
          <w:rFonts w:hint="eastAsia" w:ascii="楷体_GB2312" w:hAnsi="楷体_GB2312" w:eastAsia="楷体_GB2312" w:cs="楷体_GB2312"/>
          <w:b/>
          <w:kern w:val="0"/>
          <w:sz w:val="24"/>
          <w:szCs w:val="24"/>
        </w:rPr>
        <w:footnoteReference w:id="18"/>
      </w:r>
      <w:bookmarkEnd w:id="612"/>
      <w:bookmarkEnd w:id="613"/>
      <w:bookmarkEnd w:id="614"/>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outlineLvl w:val="2"/>
        <w:rPr>
          <w:rFonts w:ascii="楷体_GB2312" w:hAnsi="楷体_GB2312" w:eastAsia="楷体_GB2312" w:cs="楷体_GB2312"/>
          <w:b/>
          <w:kern w:val="0"/>
          <w:sz w:val="24"/>
          <w:szCs w:val="24"/>
        </w:rPr>
      </w:pPr>
      <w:bookmarkStart w:id="615" w:name="_Toc15904"/>
      <w:bookmarkStart w:id="616" w:name="_Toc30790"/>
      <w:bookmarkStart w:id="617" w:name="_Toc6524"/>
      <w:bookmarkStart w:id="618" w:name="_Toc24269"/>
      <w:bookmarkStart w:id="619" w:name="_Toc781"/>
      <w:bookmarkStart w:id="620" w:name="_Toc8404"/>
      <w:bookmarkStart w:id="621" w:name="_Toc10788"/>
      <w:bookmarkStart w:id="622" w:name="_Toc6934"/>
      <w:bookmarkStart w:id="623" w:name="_Toc30118"/>
      <w:bookmarkStart w:id="624" w:name="_Toc21703"/>
      <w:bookmarkStart w:id="625" w:name="_Toc670"/>
      <w:bookmarkStart w:id="626" w:name="_Toc10273"/>
      <w:bookmarkStart w:id="627" w:name="_Toc12819"/>
      <w:bookmarkStart w:id="628" w:name="_Toc19278"/>
      <w:bookmarkStart w:id="629" w:name="_Toc22812"/>
      <w:bookmarkStart w:id="630" w:name="_Toc35499368"/>
      <w:bookmarkStart w:id="631" w:name="_Toc22029"/>
      <w:bookmarkStart w:id="632" w:name="_Toc7146"/>
      <w:bookmarkStart w:id="633" w:name="_Toc12239"/>
      <w:bookmarkStart w:id="634" w:name="_Toc26425"/>
      <w:bookmarkStart w:id="635" w:name="_Toc4256"/>
      <w:bookmarkStart w:id="636" w:name="_Toc10383"/>
      <w:bookmarkStart w:id="637" w:name="_Toc9951"/>
      <w:bookmarkStart w:id="638" w:name="_Toc5405"/>
      <w:bookmarkStart w:id="639" w:name="_Toc25009"/>
      <w:bookmarkStart w:id="640" w:name="_Toc181"/>
      <w:bookmarkStart w:id="641" w:name="_Toc23672"/>
      <w:bookmarkStart w:id="642" w:name="_Toc2877"/>
      <w:bookmarkStart w:id="643" w:name="_Toc25583"/>
      <w:bookmarkStart w:id="644" w:name="_Toc10854"/>
      <w:bookmarkStart w:id="645" w:name="_Toc21451"/>
      <w:bookmarkStart w:id="646" w:name="_Toc21507"/>
      <w:bookmarkStart w:id="647" w:name="_Toc9837"/>
      <w:bookmarkStart w:id="648" w:name="_Toc25323"/>
      <w:r>
        <w:rPr>
          <w:rFonts w:hint="eastAsia" w:ascii="楷体_GB2312" w:hAnsi="楷体_GB2312" w:eastAsia="楷体_GB2312" w:cs="楷体_GB2312"/>
          <w:b/>
          <w:kern w:val="0"/>
          <w:sz w:val="24"/>
          <w:szCs w:val="24"/>
        </w:rPr>
        <w:t>二、交易结构介绍</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Pr>
          <w:rStyle w:val="48"/>
          <w:rFonts w:hint="eastAsia" w:ascii="楷体_GB2312" w:hAnsi="楷体_GB2312" w:eastAsia="楷体_GB2312" w:cs="楷体_GB2312"/>
          <w:b/>
          <w:kern w:val="0"/>
          <w:sz w:val="24"/>
          <w:szCs w:val="24"/>
        </w:rPr>
        <w:footnoteReference w:id="19"/>
      </w:r>
      <w:bookmarkEnd w:id="644"/>
      <w:bookmarkEnd w:id="645"/>
      <w:bookmarkEnd w:id="646"/>
      <w:bookmarkEnd w:id="647"/>
      <w:bookmarkEnd w:id="648"/>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649" w:name="_Toc7228"/>
      <w:bookmarkStart w:id="650" w:name="_Toc4814"/>
      <w:bookmarkStart w:id="651" w:name="_Toc17708"/>
      <w:bookmarkStart w:id="652" w:name="_Toc11041"/>
      <w:bookmarkStart w:id="653" w:name="_Toc22615"/>
      <w:bookmarkStart w:id="654" w:name="_Toc9568"/>
      <w:bookmarkStart w:id="655" w:name="_Toc31329"/>
      <w:bookmarkStart w:id="656" w:name="_Toc1403"/>
      <w:bookmarkStart w:id="657" w:name="_Toc8793"/>
      <w:bookmarkStart w:id="658" w:name="_Toc10341"/>
      <w:bookmarkStart w:id="659" w:name="_Toc16581"/>
      <w:bookmarkStart w:id="660" w:name="_Toc32471"/>
      <w:bookmarkStart w:id="661" w:name="_Toc16702"/>
      <w:bookmarkStart w:id="662" w:name="_Toc5035"/>
      <w:r>
        <w:rPr>
          <w:rFonts w:hint="eastAsia" w:ascii="楷体_GB2312" w:hAnsi="楷体_GB2312" w:eastAsia="楷体_GB2312" w:cs="楷体_GB2312"/>
          <w:b/>
          <w:kern w:val="0"/>
          <w:sz w:val="24"/>
          <w:szCs w:val="24"/>
        </w:rPr>
        <w:t>（一）交易结构基本情况</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keepNext w:val="0"/>
        <w:keepLines w:val="0"/>
        <w:pageBreakBefore w:val="0"/>
        <w:widowControl w:val="0"/>
        <w:kinsoku/>
        <w:wordWrap/>
        <w:overflowPunct/>
        <w:topLinePunct w:val="0"/>
        <w:autoSpaceDE w:val="0"/>
        <w:autoSpaceDN w:val="0"/>
        <w:bidi w:val="0"/>
        <w:adjustRightInd w:val="0"/>
        <w:snapToGrid/>
        <w:spacing w:before="120" w:beforeLines="50" w:after="120"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663" w:name="_Toc11796"/>
      <w:bookmarkStart w:id="664" w:name="_Toc23805"/>
      <w:bookmarkStart w:id="665" w:name="_Toc18446"/>
      <w:bookmarkStart w:id="666" w:name="_Toc7688"/>
      <w:bookmarkStart w:id="667" w:name="_Toc4436"/>
      <w:bookmarkStart w:id="668" w:name="_Toc5081"/>
      <w:r>
        <w:rPr>
          <w:rFonts w:hint="eastAsia" w:ascii="楷体_GB2312" w:hAnsi="楷体_GB2312" w:eastAsia="楷体_GB2312" w:cs="楷体_GB2312"/>
          <w:b/>
          <w:kern w:val="0"/>
          <w:sz w:val="24"/>
          <w:szCs w:val="24"/>
        </w:rPr>
        <w:t>（二）本期主要机制流程</w:t>
      </w:r>
      <w:bookmarkEnd w:id="663"/>
      <w:bookmarkEnd w:id="664"/>
      <w:bookmarkEnd w:id="665"/>
      <w:bookmarkEnd w:id="666"/>
      <w:bookmarkEnd w:id="667"/>
      <w:bookmarkEnd w:id="668"/>
    </w:p>
    <w:p>
      <w:pPr>
        <w:jc w:val="center"/>
        <w:rPr>
          <w:rFonts w:ascii="楷体_GB2312" w:hAnsi="楷体_GB2312" w:eastAsia="楷体_GB2312" w:cs="楷体_GB2312"/>
          <w:b/>
          <w:bCs/>
          <w:sz w:val="24"/>
          <w:szCs w:val="24"/>
          <w:lang w:bidi="zh-TW"/>
        </w:rPr>
      </w:pPr>
      <w:r>
        <w:rPr>
          <w:rFonts w:hint="eastAsia" w:ascii="楷体_GB2312" w:hAnsi="楷体_GB2312" w:eastAsia="楷体_GB2312" w:cs="楷体_GB2312"/>
          <w:b/>
          <w:bCs/>
          <w:sz w:val="24"/>
          <w:szCs w:val="24"/>
          <w:lang w:bidi="zh-TW"/>
        </w:rPr>
        <w:t>图4-1本期主要机制流程</w:t>
      </w:r>
      <w:r>
        <w:rPr>
          <w:rStyle w:val="48"/>
          <w:rFonts w:hint="eastAsia" w:ascii="楷体_GB2312" w:hAnsi="楷体_GB2312" w:eastAsia="楷体_GB2312" w:cs="楷体_GB2312"/>
          <w:b/>
          <w:kern w:val="0"/>
          <w:sz w:val="24"/>
          <w:szCs w:val="24"/>
        </w:rPr>
        <w:footnoteReference w:id="20"/>
      </w:r>
    </w:p>
    <w:tbl>
      <w:tblPr>
        <w:tblStyle w:val="41"/>
        <w:tblW w:w="8560" w:type="dxa"/>
        <w:jc w:val="center"/>
        <w:tblLayout w:type="fixed"/>
        <w:tblCellMar>
          <w:top w:w="0" w:type="dxa"/>
          <w:left w:w="10" w:type="dxa"/>
          <w:bottom w:w="0" w:type="dxa"/>
          <w:right w:w="10" w:type="dxa"/>
        </w:tblCellMar>
      </w:tblPr>
      <w:tblGrid>
        <w:gridCol w:w="1531"/>
        <w:gridCol w:w="2796"/>
        <w:gridCol w:w="4233"/>
      </w:tblGrid>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滚动发行相关</w:t>
            </w:r>
            <w:r>
              <w:rPr>
                <w:rFonts w:hint="eastAsia" w:ascii="楷体_GB2312" w:hAnsi="楷体_GB2312" w:eastAsia="楷体_GB2312" w:cs="楷体_GB2312"/>
                <w:b/>
                <w:bCs/>
                <w:color w:val="000000"/>
                <w:sz w:val="24"/>
                <w:szCs w:val="24"/>
                <w:lang w:val="en-US" w:eastAsia="zh-CN"/>
              </w:rPr>
              <w:t>流程</w:t>
            </w:r>
            <w:r>
              <w:rPr>
                <w:rFonts w:hint="eastAsia" w:ascii="楷体_GB2312" w:hAnsi="楷体_GB2312" w:eastAsia="楷体_GB2312" w:cs="楷体_GB2312"/>
                <w:b/>
                <w:bCs/>
                <w:sz w:val="24"/>
                <w:szCs w:val="24"/>
                <w:lang w:val="en-US" w:eastAsia="zh-CN"/>
              </w:rPr>
              <w:t>（选择滚动发行）</w:t>
            </w:r>
          </w:p>
        </w:tc>
      </w:tr>
      <w:tr>
        <w:tblPrEx>
          <w:tblCellMar>
            <w:top w:w="0" w:type="dxa"/>
            <w:left w:w="10" w:type="dxa"/>
            <w:bottom w:w="0" w:type="dxa"/>
            <w:right w:w="10" w:type="dxa"/>
          </w:tblCellMar>
        </w:tblPrEx>
        <w:trPr>
          <w:trHeight w:val="90"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eastAsia="楷体_GB2312" w:cs="楷体_GB2312"/>
                <w:b/>
                <w:bCs/>
                <w:sz w:val="24"/>
                <w:szCs w:val="24"/>
              </w:rPr>
            </w:pPr>
            <w:r>
              <w:rPr>
                <w:rFonts w:hint="eastAsia" w:ascii="楷体_GB2312" w:hAnsi="楷体_GB2312" w:eastAsia="楷体_GB2312" w:cs="楷体_GB2312"/>
                <w:b/>
                <w:bCs/>
                <w:sz w:val="24"/>
                <w:szCs w:val="24"/>
                <w:lang w:val="en-US" w:eastAsia="zh-CN"/>
              </w:rPr>
              <w:t>日期</w:t>
            </w:r>
          </w:p>
        </w:tc>
        <w:tc>
          <w:tcPr>
            <w:tcW w:w="2796" w:type="dxa"/>
            <w:tcBorders>
              <w:top w:val="single" w:color="auto" w:sz="4" w:space="0"/>
              <w:left w:val="single" w:color="auto" w:sz="4" w:space="0"/>
              <w:right w:val="single" w:color="auto" w:sz="4" w:space="0"/>
            </w:tcBorders>
            <w:shd w:val="clear" w:color="auto" w:fill="FFFFFF"/>
            <w:noWrap w:val="0"/>
            <w:vAlign w:val="top"/>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90"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计算日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【预期到期日/到期日】所对应的计算日，即【T所在自然月前【  】个月的最后一日】</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回收款转付日</w:t>
            </w:r>
          </w:p>
          <w:p>
            <w:pPr>
              <w:pStyle w:val="183"/>
              <w:spacing w:after="0" w:line="240"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回收款转付期间未改变</w:t>
            </w:r>
            <w:r>
              <w:rPr>
                <w:rFonts w:hint="eastAsia" w:ascii="楷体_GB2312" w:hAnsi="楷体_GB2312" w:eastAsia="楷体_GB2312" w:cs="楷体_GB2312"/>
                <w:sz w:val="24"/>
                <w:szCs w:val="24"/>
                <w:lang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【预期到期日/到期日】所对应的回收款转付日，</w:t>
            </w:r>
            <w:r>
              <w:rPr>
                <w:rFonts w:hint="eastAsia" w:ascii="楷体_GB2312" w:hAnsi="楷体_GB2312" w:eastAsia="楷体_GB2312" w:cs="楷体_GB2312"/>
                <w:sz w:val="24"/>
                <w:szCs w:val="24"/>
              </w:rPr>
              <w:t>资产服务机构将</w:t>
            </w:r>
            <w:r>
              <w:rPr>
                <w:rFonts w:hint="eastAsia" w:ascii="楷体_GB2312" w:hAnsi="楷体_GB2312" w:eastAsia="楷体_GB2312" w:cs="楷体_GB2312"/>
                <w:sz w:val="24"/>
                <w:szCs w:val="24"/>
                <w:lang w:val="en-US" w:eastAsia="zh-CN"/>
              </w:rPr>
              <w:t>对应收款期间的</w:t>
            </w:r>
            <w:r>
              <w:rPr>
                <w:rFonts w:hint="eastAsia" w:ascii="楷体_GB2312" w:hAnsi="楷体_GB2312" w:eastAsia="楷体_GB2312" w:cs="楷体_GB2312"/>
                <w:sz w:val="24"/>
                <w:szCs w:val="24"/>
              </w:rPr>
              <w:t>回收款转付到信托账户</w:t>
            </w:r>
            <w:r>
              <w:rPr>
                <w:rFonts w:hint="eastAsia" w:ascii="楷体_GB2312" w:hAnsi="楷体_GB2312" w:eastAsia="楷体_GB2312" w:cs="楷体_GB2312"/>
                <w:sz w:val="24"/>
                <w:szCs w:val="24"/>
                <w:lang w:eastAsia="zh-CN"/>
              </w:rPr>
              <w:t>。</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截至该日期，委托人未书面通知受托人中止滚动发行后一期资产支持商业票据。</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信托核算日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受托人核算</w:t>
            </w:r>
            <w:r>
              <w:rPr>
                <w:rFonts w:hint="eastAsia" w:ascii="楷体_GB2312" w:hAnsi="楷体_GB2312" w:eastAsia="楷体_GB2312" w:cs="楷体_GB2312"/>
                <w:sz w:val="24"/>
                <w:szCs w:val="24"/>
              </w:rPr>
              <w:t>信托</w:t>
            </w:r>
            <w:r>
              <w:rPr>
                <w:rFonts w:hint="eastAsia" w:ascii="楷体_GB2312" w:hAnsi="楷体_GB2312" w:eastAsia="楷体_GB2312" w:cs="楷体_GB2312"/>
                <w:sz w:val="24"/>
                <w:szCs w:val="24"/>
                <w:lang w:val="en-US" w:eastAsia="zh-CN"/>
              </w:rPr>
              <w:t>账户内的资金。</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如信托账户内可供分配的资金不足以支付应由信托财产承担的全部税费、报酬和前一期资产支持商业票据的利息，受托人需通知差额支付承诺人履行相关付款义务。（如有）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差额支付承诺人支付回收款差额补足款项。（如有）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缴款日（后一期）</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后一期</w:t>
            </w:r>
            <w:r>
              <w:rPr>
                <w:rFonts w:hint="eastAsia" w:ascii="楷体_GB2312" w:hAnsi="楷体_GB2312" w:eastAsia="楷体_GB2312" w:cs="楷体_GB2312"/>
                <w:sz w:val="24"/>
                <w:szCs w:val="24"/>
              </w:rPr>
              <w:t>资产支持商业票据发行</w:t>
            </w:r>
            <w:r>
              <w:rPr>
                <w:rFonts w:hint="eastAsia" w:ascii="楷体_GB2312" w:hAnsi="楷体_GB2312" w:eastAsia="楷体_GB2312" w:cs="楷体_GB2312"/>
                <w:sz w:val="24"/>
                <w:szCs w:val="24"/>
                <w:lang w:val="en-US" w:eastAsia="zh-CN"/>
              </w:rPr>
              <w:t>缴款。</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募集资金划付日</w:t>
            </w:r>
          </w:p>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（后一期）</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簿记管理人将后一期资产支持商业票据的募集资金划至发行收入缴款账户。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受益权价款支付日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如后一期资产支持商业票据未发行成功，委托人需履行受让信托受益权的义务，将对应的信托受益权转让对价支付至发行收入缴款账户。（如有）</w:t>
            </w:r>
            <w:r>
              <w:rPr>
                <w:rStyle w:val="48"/>
                <w:rFonts w:hint="eastAsia" w:ascii="楷体_GB2312" w:hAnsi="楷体_GB2312" w:eastAsia="楷体_GB2312" w:cs="楷体_GB2312"/>
                <w:sz w:val="24"/>
                <w:szCs w:val="24"/>
                <w:lang w:val="en-US" w:eastAsia="zh-CN"/>
              </w:rPr>
              <w:footnoteReference w:id="21"/>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】/T-【 】</w:t>
            </w:r>
            <w:r>
              <w:rPr>
                <w:rStyle w:val="48"/>
                <w:rFonts w:hint="eastAsia" w:ascii="楷体_GB2312" w:hAnsi="楷体_GB2312" w:eastAsia="楷体_GB2312" w:cs="楷体_GB2312"/>
                <w:color w:val="000000"/>
                <w:sz w:val="24"/>
                <w:szCs w:val="24"/>
                <w:lang w:val="en-US" w:eastAsia="zh-CN"/>
              </w:rPr>
              <w:footnoteReference w:id="22"/>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如后一期资产支持商业票据未发行成功，委托人需履行回购资产池的义务，受托人计算本次回购对应的回购价格，并向委托人发出《回购义务通知》。（如有）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回购价款支付日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委托人将相当于回购价格的款项支付至信托账户。（如有）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滚动发行</w:t>
            </w:r>
            <w:r>
              <w:rPr>
                <w:rFonts w:ascii="楷体_GB2312" w:hAnsi="楷体_GB2312" w:eastAsia="楷体_GB2312" w:cs="楷体_GB2312"/>
                <w:sz w:val="24"/>
                <w:szCs w:val="24"/>
                <w:lang w:val="en-US" w:eastAsia="zh-CN"/>
              </w:rPr>
              <w:t>差额支付启动日</w:t>
            </w:r>
            <w:r>
              <w:rPr>
                <w:rFonts w:hint="eastAsia" w:ascii="楷体_GB2312" w:hAnsi="楷体_GB2312" w:eastAsia="楷体_GB2312" w:cs="楷体_GB2312"/>
                <w:sz w:val="24"/>
                <w:szCs w:val="24"/>
                <w:lang w:val="en-US" w:eastAsia="zh-CN"/>
              </w:rPr>
              <w:t>/</w:t>
            </w:r>
            <w:r>
              <w:rPr>
                <w:rFonts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如委托人未足额支付信托受益权转让对价/回购资产池的对应款项，受托人需通知差额支付承诺人履行相关付款义务。（如有）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差额支付承诺人支付差额补足款项。（如有）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信托</w:t>
            </w:r>
            <w:r>
              <w:rPr>
                <w:rFonts w:hint="eastAsia" w:ascii="楷体_GB2312" w:hAnsi="楷体_GB2312" w:eastAsia="楷体_GB2312" w:cs="楷体_GB2312"/>
                <w:sz w:val="24"/>
                <w:szCs w:val="24"/>
                <w:lang w:val="en-US" w:eastAsia="zh-CN"/>
              </w:rPr>
              <w:t>分配</w:t>
            </w:r>
            <w:r>
              <w:rPr>
                <w:rFonts w:ascii="楷体_GB2312" w:hAnsi="楷体_GB2312" w:eastAsia="楷体_GB2312" w:cs="楷体_GB2312"/>
                <w:sz w:val="24"/>
                <w:szCs w:val="24"/>
                <w:lang w:val="en-US" w:eastAsia="zh-CN"/>
              </w:rPr>
              <w:t>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受托人按照信托合同的约定分配</w:t>
            </w:r>
            <w:r>
              <w:rPr>
                <w:rFonts w:hint="eastAsia" w:ascii="楷体_GB2312" w:hAnsi="楷体_GB2312" w:eastAsia="楷体_GB2312" w:cs="楷体_GB2312"/>
                <w:sz w:val="24"/>
                <w:szCs w:val="24"/>
              </w:rPr>
              <w:t>信托</w:t>
            </w:r>
            <w:r>
              <w:rPr>
                <w:rFonts w:hint="eastAsia" w:ascii="楷体_GB2312" w:hAnsi="楷体_GB2312" w:eastAsia="楷体_GB2312" w:cs="楷体_GB2312"/>
                <w:sz w:val="24"/>
                <w:szCs w:val="24"/>
                <w:lang w:val="en-US" w:eastAsia="zh-CN"/>
              </w:rPr>
              <w:t>账户内的资金。</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不迟于该日，受托人向支付代理机构划付信托受益权转让对价。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u w:val="single"/>
                <w:lang w:val="en-US" w:eastAsia="zh-CN"/>
              </w:rPr>
              <w:t>预期到期日/到期日</w:t>
            </w: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支付代理机构将收到的应付资金划付给前一期</w:t>
            </w:r>
            <w:r>
              <w:rPr>
                <w:rFonts w:hint="eastAsia" w:ascii="楷体_GB2312" w:hAnsi="楷体_GB2312" w:eastAsia="楷体_GB2312" w:cs="楷体_GB2312"/>
                <w:sz w:val="24"/>
                <w:szCs w:val="24"/>
              </w:rPr>
              <w:t>资产支持商业票据</w:t>
            </w:r>
            <w:r>
              <w:rPr>
                <w:rFonts w:hint="eastAsia" w:ascii="楷体_GB2312" w:hAnsi="楷体_GB2312" w:eastAsia="楷体_GB2312" w:cs="楷体_GB2312"/>
                <w:sz w:val="24"/>
                <w:szCs w:val="24"/>
                <w:lang w:val="en-US" w:eastAsia="zh-CN"/>
              </w:rPr>
              <w:t>持有人。</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滚动发行相关</w:t>
            </w:r>
            <w:r>
              <w:rPr>
                <w:rFonts w:hint="eastAsia" w:ascii="楷体_GB2312" w:hAnsi="楷体_GB2312" w:eastAsia="楷体_GB2312" w:cs="楷体_GB2312"/>
                <w:b/>
                <w:bCs/>
                <w:color w:val="000000"/>
                <w:sz w:val="24"/>
                <w:szCs w:val="24"/>
                <w:lang w:val="en-US" w:eastAsia="zh-CN"/>
              </w:rPr>
              <w:t>流程</w:t>
            </w:r>
            <w:r>
              <w:rPr>
                <w:rFonts w:hint="eastAsia" w:ascii="楷体_GB2312" w:hAnsi="楷体_GB2312" w:eastAsia="楷体_GB2312" w:cs="楷体_GB2312"/>
                <w:b/>
                <w:bCs/>
                <w:sz w:val="24"/>
                <w:szCs w:val="24"/>
                <w:lang w:val="en-US" w:eastAsia="zh-CN"/>
              </w:rPr>
              <w:t>（中止滚动发行）</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b/>
                <w:bCs/>
                <w:color w:val="00000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不迟于该日，委托人书面通知受托人中止滚动发行后一期资产支持商业票据。</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受益权价款支付日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委托人履行受让信托受益权的义务，将对应的信托受益权转让对价支付至发行收入缴款账户。（如有）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受托人计算本次回购对应的回购价格，并向委托人发出《回购义务通知》。（如有）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回购价款支付日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委托人履行回购资产池的义务，将相当于回购价格的款项支付至信托账户。（如有）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滚动发行</w:t>
            </w:r>
            <w:r>
              <w:rPr>
                <w:rFonts w:ascii="楷体_GB2312" w:hAnsi="楷体_GB2312" w:eastAsia="楷体_GB2312" w:cs="楷体_GB2312"/>
                <w:sz w:val="24"/>
                <w:szCs w:val="24"/>
                <w:lang w:val="en-US" w:eastAsia="zh-CN"/>
              </w:rPr>
              <w:t>差额支付启动日</w:t>
            </w:r>
            <w:r>
              <w:rPr>
                <w:rFonts w:hint="eastAsia" w:ascii="楷体_GB2312" w:hAnsi="楷体_GB2312" w:eastAsia="楷体_GB2312" w:cs="楷体_GB2312"/>
                <w:sz w:val="24"/>
                <w:szCs w:val="24"/>
                <w:lang w:val="en-US" w:eastAsia="zh-CN"/>
              </w:rPr>
              <w:t>/</w:t>
            </w:r>
            <w:r>
              <w:rPr>
                <w:rFonts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如委托人未足额支付信托受益权转让对价/回购资产池的对应款项，受托人需通知差额支付承诺人履行相关付款义务。（如有）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差额支付承诺人支付差额补足款项。（如有）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信托</w:t>
            </w:r>
            <w:r>
              <w:rPr>
                <w:rFonts w:hint="eastAsia" w:ascii="楷体_GB2312" w:hAnsi="楷体_GB2312" w:eastAsia="楷体_GB2312" w:cs="楷体_GB2312"/>
                <w:sz w:val="24"/>
                <w:szCs w:val="24"/>
                <w:lang w:val="en-US" w:eastAsia="zh-CN"/>
              </w:rPr>
              <w:t>分配</w:t>
            </w:r>
            <w:r>
              <w:rPr>
                <w:rFonts w:ascii="楷体_GB2312" w:hAnsi="楷体_GB2312" w:eastAsia="楷体_GB2312" w:cs="楷体_GB2312"/>
                <w:sz w:val="24"/>
                <w:szCs w:val="24"/>
                <w:lang w:val="en-US" w:eastAsia="zh-CN"/>
              </w:rPr>
              <w:t>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受托人按照信托合同的约定分配</w:t>
            </w:r>
            <w:r>
              <w:rPr>
                <w:rFonts w:hint="eastAsia" w:ascii="楷体_GB2312" w:hAnsi="楷体_GB2312" w:eastAsia="楷体_GB2312" w:cs="楷体_GB2312"/>
                <w:sz w:val="24"/>
                <w:szCs w:val="24"/>
              </w:rPr>
              <w:t>信托</w:t>
            </w:r>
            <w:r>
              <w:rPr>
                <w:rFonts w:hint="eastAsia" w:ascii="楷体_GB2312" w:hAnsi="楷体_GB2312" w:eastAsia="楷体_GB2312" w:cs="楷体_GB2312"/>
                <w:sz w:val="24"/>
                <w:szCs w:val="24"/>
                <w:lang w:val="en-US" w:eastAsia="zh-CN"/>
              </w:rPr>
              <w:t>账户内的资金。</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不迟于该日，受托人向支付代理机构划付信托受益权转让对价。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u w:val="single"/>
                <w:lang w:val="en-US" w:eastAsia="zh-CN"/>
              </w:rPr>
              <w:t>预期到期日/到期日</w:t>
            </w: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支付代理机构将收到的应付资金划付给前一期</w:t>
            </w:r>
            <w:r>
              <w:rPr>
                <w:rFonts w:hint="eastAsia" w:ascii="楷体_GB2312" w:hAnsi="楷体_GB2312" w:eastAsia="楷体_GB2312" w:cs="楷体_GB2312"/>
                <w:sz w:val="24"/>
                <w:szCs w:val="24"/>
              </w:rPr>
              <w:t>资产支持商业票据</w:t>
            </w:r>
            <w:r>
              <w:rPr>
                <w:rFonts w:hint="eastAsia" w:ascii="楷体_GB2312" w:hAnsi="楷体_GB2312" w:eastAsia="楷体_GB2312" w:cs="楷体_GB2312"/>
                <w:sz w:val="24"/>
                <w:szCs w:val="24"/>
                <w:lang w:val="en-US" w:eastAsia="zh-CN"/>
              </w:rPr>
              <w:t>持有人。</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color w:val="000000"/>
                <w:sz w:val="24"/>
                <w:szCs w:val="24"/>
                <w:lang w:val="en-US" w:eastAsia="zh-CN"/>
              </w:rPr>
              <w:t>循环购买流程（如有）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b/>
                <w:bCs/>
                <w:color w:val="00000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S-【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不迟于该日，委托人</w:t>
            </w:r>
            <w:r>
              <w:rPr>
                <w:rFonts w:hint="eastAsia" w:ascii="楷体_GB2312" w:hAnsi="楷体_GB2312" w:eastAsia="楷体_GB2312" w:cs="楷体_GB2312"/>
                <w:sz w:val="24"/>
                <w:szCs w:val="24"/>
                <w:lang w:eastAsia="zh-CN"/>
              </w:rPr>
              <w:t>以书面形式通知受托人启动</w:t>
            </w:r>
            <w:r>
              <w:rPr>
                <w:rFonts w:hint="eastAsia" w:ascii="楷体_GB2312" w:hAnsi="楷体_GB2312" w:eastAsia="楷体_GB2312" w:cs="楷体_GB2312"/>
                <w:sz w:val="24"/>
                <w:szCs w:val="24"/>
                <w:lang w:val="en-US" w:eastAsia="zh-CN"/>
              </w:rPr>
              <w:t>循环购买</w:t>
            </w:r>
            <w:r>
              <w:rPr>
                <w:rFonts w:hint="eastAsia" w:ascii="楷体_GB2312" w:hAnsi="楷体_GB2312" w:eastAsia="楷体_GB2312" w:cs="楷体_GB2312"/>
                <w:sz w:val="24"/>
                <w:szCs w:val="24"/>
                <w:lang w:eastAsia="zh-CN"/>
              </w:rPr>
              <w:t>流程。</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S-【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不迟于该日，委托人向受托人提供可供入池基础资产相关资料。</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S-【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不迟于该日，受托人根据可支配资金、尽职调查情况确定拟循环购买的资产。</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S</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循环购买日/支付日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委托人与受托人进行循环购买，完成价款支付和资产交付。</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追加交付</w:t>
            </w:r>
            <w:r>
              <w:rPr>
                <w:rFonts w:hint="eastAsia" w:ascii="楷体_GB2312" w:hAnsi="楷体_GB2312" w:eastAsia="楷体_GB2312" w:cs="楷体_GB2312"/>
                <w:b/>
                <w:bCs/>
                <w:color w:val="000000"/>
                <w:sz w:val="24"/>
                <w:szCs w:val="24"/>
                <w:lang w:val="en-US" w:eastAsia="zh-CN"/>
              </w:rPr>
              <w:t>流程</w:t>
            </w:r>
            <w:r>
              <w:rPr>
                <w:rFonts w:hint="eastAsia" w:ascii="楷体_GB2312" w:hAnsi="楷体_GB2312" w:eastAsia="楷体_GB2312" w:cs="楷体_GB2312"/>
                <w:b/>
                <w:bCs/>
                <w:sz w:val="24"/>
                <w:szCs w:val="24"/>
                <w:lang w:val="en-US" w:eastAsia="zh-CN"/>
              </w:rPr>
              <w:t>（如有）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b/>
                <w:bCs/>
                <w:color w:val="00000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90"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不迟于该日，委托人</w:t>
            </w:r>
            <w:r>
              <w:rPr>
                <w:rFonts w:hint="eastAsia" w:ascii="楷体_GB2312" w:hAnsi="楷体_GB2312" w:eastAsia="楷体_GB2312" w:cs="楷体_GB2312"/>
                <w:sz w:val="24"/>
                <w:szCs w:val="24"/>
                <w:lang w:eastAsia="zh-CN"/>
              </w:rPr>
              <w:t>以书面形式通知受托人启动追加交付流程。</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w:t>
            </w:r>
            <w:r>
              <w:rPr>
                <w:rFonts w:hint="eastAsia" w:ascii="楷体_GB2312" w:hAnsi="楷体_GB2312" w:eastAsia="楷体_GB2312" w:cs="楷体_GB2312"/>
                <w:sz w:val="24"/>
                <w:szCs w:val="24"/>
                <w:lang w:eastAsia="zh-CN"/>
              </w:rPr>
              <w:t>委托人向受托人提供拟追加资产相关资料。</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w:t>
            </w:r>
            <w:r>
              <w:rPr>
                <w:rFonts w:hint="eastAsia" w:ascii="楷体_GB2312" w:hAnsi="楷体_GB2312" w:eastAsia="楷体_GB2312" w:cs="楷体_GB2312"/>
                <w:sz w:val="24"/>
                <w:szCs w:val="24"/>
                <w:lang w:eastAsia="zh-CN"/>
              </w:rPr>
              <w:t>委托人与受托人根据尽职调查情况确定拟追加交付的资产。</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追加信托财产交付日（</w:t>
            </w:r>
            <w:r>
              <w:rPr>
                <w:rFonts w:hint="eastAsia" w:ascii="楷体_GB2312" w:hAnsi="楷体_GB2312" w:eastAsia="楷体_GB2312" w:cs="楷体_GB2312"/>
                <w:sz w:val="24"/>
                <w:szCs w:val="24"/>
                <w:lang w:val="en-US" w:eastAsia="zh-CN"/>
              </w:rPr>
              <w:t>后一期</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u w:val="single"/>
                <w:lang w:val="en-US" w:eastAsia="zh-CN"/>
              </w:rPr>
              <w:t>预期到期日/到期日</w:t>
            </w: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委托人与受托人完成追加资产的价款支付和资产交付。</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回购资产</w:t>
            </w:r>
            <w:r>
              <w:rPr>
                <w:rFonts w:hint="eastAsia" w:ascii="楷体_GB2312" w:hAnsi="楷体_GB2312" w:eastAsia="楷体_GB2312" w:cs="楷体_GB2312"/>
                <w:b/>
                <w:bCs/>
                <w:color w:val="000000"/>
                <w:sz w:val="24"/>
                <w:szCs w:val="24"/>
                <w:lang w:val="en-US" w:eastAsia="zh-CN"/>
              </w:rPr>
              <w:t>流程</w:t>
            </w:r>
            <w:r>
              <w:rPr>
                <w:rFonts w:hint="eastAsia" w:ascii="楷体_GB2312" w:hAnsi="楷体_GB2312" w:eastAsia="楷体_GB2312" w:cs="楷体_GB2312"/>
                <w:b/>
                <w:bCs/>
                <w:sz w:val="24"/>
                <w:szCs w:val="24"/>
                <w:lang w:val="en-US" w:eastAsia="zh-CN"/>
              </w:rPr>
              <w:t>（如有）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b/>
                <w:bCs/>
                <w:color w:val="00000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委托人选择进行回购，向受托人发出《回购通知书》。</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w:t>
            </w:r>
            <w:r>
              <w:rPr>
                <w:rFonts w:hint="eastAsia" w:ascii="楷体_GB2312" w:hAnsi="楷体_GB2312" w:eastAsia="楷体_GB2312" w:cs="楷体_GB2312"/>
                <w:sz w:val="24"/>
                <w:szCs w:val="24"/>
                <w:lang w:eastAsia="zh-CN"/>
              </w:rPr>
              <w:t>受托人向委托人发出《回购确认函》。</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P</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计算日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即各收款期间届满之日</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回购价款支付日</w:t>
            </w:r>
          </w:p>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/回收款转付日</w:t>
            </w:r>
          </w:p>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（回收款转付期间未改变）</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委托人将相当于回购价格的款项支付至信托账户。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如委托人未能足额支付回购资产的对应款项，受托人需通知差额支付承诺人履行相关付款义务。（如有）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差额支付承诺人支付回收款差额补足款项。（如有）</w:t>
            </w:r>
          </w:p>
        </w:tc>
      </w:tr>
    </w:tbl>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82"/>
        <w:textAlignment w:val="auto"/>
        <w:rPr>
          <w:rFonts w:hint="eastAsia" w:ascii="楷体_GB2312" w:hAnsi="楷体_GB2312" w:eastAsia="楷体_GB2312" w:cs="楷体_GB2312"/>
          <w:b/>
          <w:bCs/>
          <w:i/>
          <w:iCs/>
          <w:color w:val="FF0000"/>
          <w:kern w:val="2"/>
          <w:sz w:val="24"/>
          <w:szCs w:val="24"/>
          <w:u w:val="single"/>
        </w:rPr>
      </w:pPr>
      <w:r>
        <w:rPr>
          <w:rFonts w:hint="eastAsia" w:ascii="楷体_GB2312" w:hAnsi="楷体_GB2312" w:eastAsia="楷体_GB2312" w:cs="楷体_GB2312"/>
          <w:b/>
          <w:bCs/>
          <w:i/>
          <w:iCs/>
          <w:color w:val="FF0000"/>
          <w:kern w:val="2"/>
          <w:sz w:val="24"/>
          <w:szCs w:val="24"/>
          <w:u w:val="single"/>
          <w:lang w:val="en-US" w:eastAsia="zh-CN"/>
        </w:rPr>
        <w:t>应</w:t>
      </w:r>
      <w:r>
        <w:rPr>
          <w:rFonts w:hint="eastAsia" w:ascii="楷体_GB2312" w:hAnsi="楷体_GB2312" w:eastAsia="楷体_GB2312" w:cs="楷体_GB2312"/>
          <w:b/>
          <w:bCs/>
          <w:i/>
          <w:iCs/>
          <w:color w:val="FF0000"/>
          <w:kern w:val="2"/>
          <w:sz w:val="24"/>
          <w:szCs w:val="24"/>
          <w:u w:val="single"/>
        </w:rPr>
        <w:t>根据项目实际情况调整主要机制流程。</w:t>
      </w:r>
    </w:p>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00"/>
        <w:textAlignment w:val="auto"/>
        <w:rPr>
          <w:rFonts w:hint="eastAsia"/>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669" w:name="_Toc5375"/>
      <w:bookmarkStart w:id="670" w:name="_Toc5723"/>
      <w:bookmarkStart w:id="671" w:name="_Toc5817"/>
      <w:bookmarkStart w:id="672" w:name="_Toc4990"/>
      <w:bookmarkStart w:id="673" w:name="_Toc32179"/>
      <w:bookmarkStart w:id="674" w:name="_Toc32390"/>
      <w:bookmarkStart w:id="675" w:name="_Toc31016"/>
      <w:bookmarkStart w:id="676" w:name="_Toc31048"/>
      <w:bookmarkStart w:id="677" w:name="_Toc4508"/>
      <w:bookmarkStart w:id="678" w:name="_Toc16278"/>
      <w:bookmarkStart w:id="679" w:name="_Toc26987"/>
      <w:bookmarkStart w:id="680" w:name="_Toc8920"/>
      <w:bookmarkStart w:id="681" w:name="_Toc12512"/>
      <w:bookmarkStart w:id="682" w:name="_Toc29902"/>
      <w:r>
        <w:rPr>
          <w:rFonts w:hint="eastAsia" w:ascii="楷体_GB2312" w:hAnsi="楷体_GB2312" w:eastAsia="楷体_GB2312" w:cs="楷体_GB2312"/>
          <w:b/>
          <w:kern w:val="0"/>
          <w:sz w:val="24"/>
          <w:szCs w:val="24"/>
        </w:rPr>
        <w:t>（三）滚动发行安排</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82"/>
        <w:textAlignment w:val="auto"/>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《信托合同》“7.7.2资产支持商业票据的滚动发行”的内容。</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683" w:name="_Toc31202"/>
      <w:bookmarkStart w:id="684" w:name="_Toc25545"/>
      <w:r>
        <w:rPr>
          <w:rFonts w:hint="eastAsia" w:ascii="楷体_GB2312" w:hAnsi="楷体_GB2312" w:eastAsia="楷体_GB2312" w:cs="楷体_GB2312"/>
          <w:b/>
          <w:kern w:val="0"/>
          <w:sz w:val="24"/>
          <w:szCs w:val="24"/>
        </w:rPr>
        <w:t>（四）受让信托受益权后的后续发行（如有）</w:t>
      </w:r>
      <w:bookmarkEnd w:id="683"/>
      <w:bookmarkEnd w:id="684"/>
    </w:p>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《信托合同》“7.7.3委托人成为信托项下唯一受益人情形下的后续发行”的内容。</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685" w:name="_Toc15555"/>
      <w:bookmarkStart w:id="686" w:name="_Toc27630"/>
      <w:bookmarkStart w:id="687" w:name="_Toc672"/>
      <w:bookmarkStart w:id="688" w:name="_Toc10599"/>
      <w:bookmarkStart w:id="689" w:name="_Toc14363"/>
      <w:bookmarkStart w:id="690" w:name="_Toc16044"/>
      <w:bookmarkStart w:id="691" w:name="_Toc18664"/>
      <w:bookmarkStart w:id="692" w:name="_Toc11025"/>
      <w:bookmarkStart w:id="693" w:name="_Toc14233"/>
      <w:bookmarkStart w:id="694" w:name="_Toc4953"/>
      <w:bookmarkStart w:id="695" w:name="_Toc25050"/>
      <w:bookmarkStart w:id="696" w:name="_Toc31051"/>
      <w:bookmarkStart w:id="697" w:name="_Toc26820"/>
      <w:bookmarkStart w:id="698" w:name="_Toc17720"/>
      <w:r>
        <w:rPr>
          <w:rFonts w:hint="eastAsia" w:ascii="楷体_GB2312" w:hAnsi="楷体_GB2312" w:eastAsia="楷体_GB2312" w:cs="楷体_GB2312"/>
          <w:b/>
          <w:kern w:val="0"/>
          <w:sz w:val="24"/>
          <w:szCs w:val="24"/>
        </w:rPr>
        <w:t>（五）循环购买安排（如有）</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《信托合同》“13资产的循环购买”的内容。</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699" w:name="_Toc6474"/>
      <w:bookmarkStart w:id="700" w:name="_Toc12294"/>
      <w:bookmarkStart w:id="701" w:name="_Toc3630"/>
      <w:bookmarkStart w:id="702" w:name="_Toc30908"/>
      <w:bookmarkStart w:id="703" w:name="_Toc17220"/>
      <w:bookmarkStart w:id="704" w:name="_Toc29478"/>
      <w:bookmarkStart w:id="705" w:name="_Toc7917"/>
      <w:bookmarkStart w:id="706" w:name="_Toc19721"/>
      <w:bookmarkStart w:id="707" w:name="_Toc7953"/>
      <w:bookmarkStart w:id="708" w:name="_Toc19389"/>
      <w:bookmarkStart w:id="709" w:name="_Toc13457"/>
      <w:bookmarkStart w:id="710" w:name="_Toc29735"/>
      <w:bookmarkStart w:id="711" w:name="_Toc20891"/>
      <w:bookmarkStart w:id="712" w:name="_Toc20029"/>
      <w:bookmarkStart w:id="713" w:name="_Toc35499369"/>
      <w:bookmarkStart w:id="714" w:name="_Toc4882"/>
      <w:bookmarkStart w:id="715" w:name="_Toc18220"/>
      <w:bookmarkStart w:id="716" w:name="_Toc31849"/>
      <w:bookmarkStart w:id="717" w:name="_Toc13320"/>
      <w:bookmarkStart w:id="718" w:name="_Toc13297"/>
      <w:bookmarkStart w:id="719" w:name="_Toc17698"/>
      <w:bookmarkStart w:id="720" w:name="_Toc27532"/>
      <w:bookmarkStart w:id="721" w:name="_Toc24159"/>
      <w:bookmarkStart w:id="722" w:name="_Toc4384"/>
      <w:bookmarkStart w:id="723" w:name="_Toc18415"/>
      <w:r>
        <w:rPr>
          <w:rFonts w:hint="eastAsia" w:ascii="楷体_GB2312" w:hAnsi="楷体_GB2312" w:eastAsia="楷体_GB2312" w:cs="楷体_GB2312"/>
          <w:b/>
          <w:kern w:val="0"/>
          <w:sz w:val="24"/>
          <w:szCs w:val="24"/>
        </w:rPr>
        <w:t>（六）追加交付安排（如有）</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《信托合同》“14资产的追加交付”的内容。</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724" w:name="_Toc7478"/>
      <w:bookmarkStart w:id="725" w:name="_Toc26531"/>
      <w:bookmarkStart w:id="726" w:name="_Toc4412"/>
      <w:bookmarkStart w:id="727" w:name="_Toc9725"/>
      <w:bookmarkStart w:id="728" w:name="_Toc10893"/>
      <w:bookmarkStart w:id="729" w:name="_Toc21933"/>
      <w:bookmarkStart w:id="730" w:name="_Toc27929"/>
      <w:bookmarkStart w:id="731" w:name="_Toc23900"/>
      <w:bookmarkStart w:id="732" w:name="_Toc11984"/>
      <w:bookmarkStart w:id="733" w:name="_Toc17602"/>
      <w:bookmarkStart w:id="734" w:name="_Toc31489"/>
      <w:bookmarkStart w:id="735" w:name="_Toc15310"/>
      <w:bookmarkStart w:id="736" w:name="_Toc14114"/>
      <w:bookmarkStart w:id="737" w:name="_Toc21882"/>
      <w:r>
        <w:rPr>
          <w:rFonts w:hint="eastAsia" w:ascii="楷体_GB2312" w:hAnsi="楷体_GB2312" w:eastAsia="楷体_GB2312" w:cs="楷体_GB2312"/>
          <w:b/>
          <w:kern w:val="0"/>
          <w:sz w:val="24"/>
          <w:szCs w:val="24"/>
        </w:rPr>
        <w:t>（七）回购资产安排（如有）</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《信托合同》“15.1委托人选择进行回购”的内容。</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738" w:name="_Toc6555"/>
      <w:bookmarkStart w:id="739" w:name="_Toc15034"/>
      <w:bookmarkStart w:id="740" w:name="_Toc20061"/>
      <w:bookmarkStart w:id="741" w:name="_Toc26891"/>
      <w:bookmarkStart w:id="742" w:name="_Toc1155"/>
      <w:bookmarkStart w:id="743" w:name="_Toc6511"/>
      <w:bookmarkStart w:id="744" w:name="_Toc261"/>
      <w:bookmarkStart w:id="745" w:name="_Toc109"/>
      <w:bookmarkStart w:id="746" w:name="_Toc30811"/>
      <w:bookmarkStart w:id="747" w:name="_Toc107"/>
      <w:bookmarkStart w:id="748" w:name="_Toc16252"/>
      <w:bookmarkStart w:id="749" w:name="_Toc1809"/>
      <w:bookmarkStart w:id="750" w:name="_Toc15786"/>
      <w:bookmarkStart w:id="751" w:name="_Toc18350"/>
      <w:bookmarkStart w:id="752" w:name="_Toc7260"/>
      <w:bookmarkStart w:id="753" w:name="_Toc31"/>
      <w:bookmarkStart w:id="754" w:name="_Toc31770"/>
      <w:bookmarkStart w:id="755" w:name="_Toc7803"/>
      <w:bookmarkStart w:id="756" w:name="_Toc4774"/>
      <w:bookmarkStart w:id="757" w:name="_Toc6436"/>
      <w:bookmarkStart w:id="758" w:name="_Toc15670"/>
      <w:bookmarkStart w:id="759" w:name="_Toc21868"/>
      <w:bookmarkStart w:id="760" w:name="_Toc5796"/>
      <w:bookmarkStart w:id="761" w:name="_Toc12380"/>
      <w:bookmarkStart w:id="762" w:name="_Toc29366"/>
      <w:bookmarkStart w:id="763" w:name="_Toc23311"/>
      <w:r>
        <w:rPr>
          <w:rFonts w:hint="eastAsia" w:ascii="楷体_GB2312" w:hAnsi="楷体_GB2312" w:eastAsia="楷体_GB2312" w:cs="楷体_GB2312"/>
          <w:b/>
          <w:kern w:val="0"/>
          <w:sz w:val="24"/>
          <w:szCs w:val="24"/>
        </w:rPr>
        <w:t>三、各当事方的权利与义务</w:t>
      </w:r>
      <w:bookmarkEnd w:id="713"/>
      <w:bookmarkEnd w:id="714"/>
      <w:bookmarkEnd w:id="715"/>
      <w:bookmarkEnd w:id="716"/>
      <w:bookmarkEnd w:id="717"/>
      <w:bookmarkEnd w:id="718"/>
      <w:bookmarkEnd w:id="719"/>
      <w:bookmarkEnd w:id="720"/>
      <w:bookmarkEnd w:id="721"/>
      <w:bookmarkEnd w:id="722"/>
      <w:bookmarkEnd w:id="723"/>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764" w:name="_Toc32046"/>
      <w:bookmarkStart w:id="765" w:name="_Toc30619"/>
      <w:bookmarkStart w:id="766" w:name="_Toc6859"/>
      <w:bookmarkStart w:id="767" w:name="_Toc23322"/>
      <w:bookmarkStart w:id="768" w:name="_Toc19554"/>
      <w:bookmarkStart w:id="769" w:name="_Toc30653"/>
      <w:bookmarkStart w:id="770" w:name="_Toc10777"/>
      <w:bookmarkStart w:id="771" w:name="_Toc9814"/>
      <w:bookmarkStart w:id="772" w:name="_Toc24842"/>
      <w:bookmarkStart w:id="773" w:name="_Toc14753"/>
      <w:bookmarkStart w:id="774" w:name="_Toc15330"/>
      <w:bookmarkStart w:id="775" w:name="_Toc4284"/>
      <w:bookmarkStart w:id="776" w:name="_Toc22403"/>
      <w:bookmarkStart w:id="777" w:name="_Toc28052"/>
      <w:bookmarkStart w:id="778" w:name="_Toc9413"/>
      <w:r>
        <w:rPr>
          <w:rFonts w:hint="eastAsia" w:ascii="楷体_GB2312" w:hAnsi="楷体_GB2312" w:eastAsia="楷体_GB2312" w:cs="楷体_GB2312"/>
          <w:b/>
          <w:kern w:val="0"/>
          <w:sz w:val="24"/>
          <w:szCs w:val="24"/>
        </w:rPr>
        <w:t>（一）发起机构/委托人</w:t>
      </w:r>
      <w:bookmarkEnd w:id="764"/>
      <w:bookmarkEnd w:id="765"/>
      <w:bookmarkEnd w:id="766"/>
      <w:bookmarkEnd w:id="767"/>
      <w:bookmarkEnd w:id="768"/>
      <w:bookmarkEnd w:id="769"/>
      <w:bookmarkEnd w:id="770"/>
      <w:bookmarkEnd w:id="771"/>
      <w:bookmarkEnd w:id="772"/>
    </w:p>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《信托合同》“4委托人”的内容。</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779" w:name="_Toc12506"/>
      <w:bookmarkStart w:id="780" w:name="_Toc17611"/>
      <w:bookmarkStart w:id="781" w:name="_Toc31564"/>
      <w:bookmarkStart w:id="782" w:name="_Toc3162"/>
      <w:bookmarkStart w:id="783" w:name="_Toc19884"/>
      <w:bookmarkStart w:id="784" w:name="_Toc742"/>
      <w:bookmarkStart w:id="785" w:name="_Toc14704"/>
      <w:bookmarkStart w:id="786" w:name="_Toc9710"/>
      <w:bookmarkStart w:id="787" w:name="_Toc13319"/>
      <w:r>
        <w:rPr>
          <w:rFonts w:hint="eastAsia" w:ascii="楷体_GB2312" w:hAnsi="楷体_GB2312" w:eastAsia="楷体_GB2312" w:cs="楷体_GB2312"/>
          <w:b/>
          <w:kern w:val="0"/>
          <w:sz w:val="24"/>
          <w:szCs w:val="24"/>
        </w:rPr>
        <w:t>（二）发行载体管理机构/受托人</w:t>
      </w:r>
      <w:bookmarkEnd w:id="779"/>
      <w:bookmarkEnd w:id="780"/>
      <w:bookmarkEnd w:id="781"/>
      <w:bookmarkEnd w:id="782"/>
      <w:bookmarkEnd w:id="783"/>
      <w:bookmarkEnd w:id="784"/>
      <w:bookmarkEnd w:id="785"/>
      <w:bookmarkEnd w:id="786"/>
      <w:bookmarkEnd w:id="787"/>
    </w:p>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82"/>
        <w:textAlignment w:val="auto"/>
        <w:rPr>
          <w:rFonts w:hint="eastAsia"/>
        </w:rPr>
      </w:pPr>
      <w:bookmarkStart w:id="788" w:name="_Toc4429"/>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《信托合同》“5受托人”的内容。</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789" w:name="_Toc16476"/>
      <w:bookmarkStart w:id="790" w:name="_Toc32732"/>
      <w:bookmarkStart w:id="791" w:name="_Toc15814"/>
      <w:bookmarkStart w:id="792" w:name="_Toc17156"/>
      <w:bookmarkStart w:id="793" w:name="_Toc18248"/>
      <w:bookmarkStart w:id="794" w:name="_Toc14592"/>
      <w:bookmarkStart w:id="795" w:name="_Toc32658"/>
      <w:bookmarkStart w:id="796" w:name="_Toc17875"/>
      <w:r>
        <w:rPr>
          <w:rFonts w:hint="eastAsia" w:ascii="楷体_GB2312" w:hAnsi="楷体_GB2312" w:eastAsia="楷体_GB2312" w:cs="楷体_GB2312"/>
          <w:b/>
          <w:kern w:val="0"/>
          <w:sz w:val="24"/>
          <w:szCs w:val="24"/>
        </w:rPr>
        <w:t>（三）投资人/受益人</w:t>
      </w:r>
      <w:bookmarkEnd w:id="788"/>
      <w:bookmarkEnd w:id="789"/>
      <w:bookmarkEnd w:id="790"/>
      <w:bookmarkEnd w:id="791"/>
      <w:bookmarkEnd w:id="792"/>
      <w:bookmarkEnd w:id="793"/>
      <w:bookmarkEnd w:id="794"/>
      <w:bookmarkEnd w:id="795"/>
      <w:bookmarkEnd w:id="796"/>
    </w:p>
    <w:p>
      <w:pPr>
        <w:pStyle w:val="2"/>
        <w:keepNext w:val="0"/>
        <w:keepLines w:val="0"/>
        <w:pageBreakBefore w:val="0"/>
        <w:widowControl w:val="0"/>
        <w:kinsoku/>
        <w:wordWrap/>
        <w:overflowPunct/>
        <w:topLinePunct w:val="0"/>
        <w:bidi w:val="0"/>
        <w:snapToGrid w:val="0"/>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《信托合同》“6受益人”的内容。</w:t>
      </w:r>
    </w:p>
    <w:bookmarkEnd w:id="773"/>
    <w:bookmarkEnd w:id="774"/>
    <w:bookmarkEnd w:id="775"/>
    <w:bookmarkEnd w:id="776"/>
    <w:bookmarkEnd w:id="777"/>
    <w:bookmarkEnd w:id="778"/>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797" w:name="_Toc19295"/>
      <w:bookmarkStart w:id="798" w:name="_Toc19772"/>
      <w:bookmarkStart w:id="799" w:name="_Toc20599"/>
      <w:bookmarkStart w:id="800" w:name="_Toc14266"/>
      <w:bookmarkStart w:id="801" w:name="_Toc32661"/>
      <w:bookmarkStart w:id="802" w:name="_Toc12158"/>
      <w:bookmarkStart w:id="803" w:name="_Toc15205"/>
      <w:bookmarkStart w:id="804" w:name="_Toc23714"/>
      <w:bookmarkStart w:id="805" w:name="_Toc19693"/>
      <w:bookmarkStart w:id="806" w:name="_Toc24642"/>
      <w:bookmarkStart w:id="807" w:name="_Toc6196"/>
      <w:bookmarkStart w:id="808" w:name="_Toc32685"/>
      <w:bookmarkStart w:id="809" w:name="_Toc6814"/>
      <w:bookmarkStart w:id="810" w:name="_Toc19320"/>
      <w:r>
        <w:rPr>
          <w:rFonts w:hint="eastAsia" w:ascii="楷体_GB2312" w:hAnsi="楷体_GB2312" w:eastAsia="楷体_GB2312" w:cs="楷体_GB2312"/>
          <w:b/>
          <w:kern w:val="0"/>
          <w:sz w:val="24"/>
          <w:szCs w:val="24"/>
        </w:rPr>
        <w:t>（四）信用增级机构（如有）</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811" w:name="_Toc30579"/>
      <w:bookmarkStart w:id="812" w:name="_Toc24313"/>
      <w:bookmarkStart w:id="813" w:name="_Toc9121"/>
      <w:bookmarkStart w:id="814" w:name="_Toc20075"/>
      <w:bookmarkStart w:id="815" w:name="_Toc24775"/>
      <w:bookmarkStart w:id="816" w:name="_Toc9482"/>
      <w:bookmarkStart w:id="817" w:name="_Toc27924"/>
      <w:bookmarkStart w:id="818" w:name="_Toc21240"/>
      <w:bookmarkStart w:id="819" w:name="_Toc9205"/>
      <w:bookmarkStart w:id="820" w:name="_Toc26118"/>
      <w:bookmarkStart w:id="821" w:name="_Toc3910"/>
      <w:bookmarkStart w:id="822" w:name="_Toc10366"/>
      <w:bookmarkStart w:id="823" w:name="_Toc3515"/>
      <w:bookmarkStart w:id="824" w:name="_Toc3754"/>
      <w:r>
        <w:rPr>
          <w:rFonts w:hint="eastAsia" w:ascii="楷体_GB2312" w:hAnsi="楷体_GB2312" w:eastAsia="楷体_GB2312" w:cs="楷体_GB2312"/>
          <w:b/>
          <w:kern w:val="0"/>
          <w:sz w:val="24"/>
          <w:szCs w:val="24"/>
        </w:rPr>
        <w:t>（五）资产服务机构（如有）</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825" w:name="_Toc17238"/>
      <w:bookmarkStart w:id="826" w:name="_Toc17444"/>
      <w:bookmarkStart w:id="827" w:name="_Toc24799"/>
      <w:bookmarkStart w:id="828" w:name="_Toc22436"/>
      <w:bookmarkStart w:id="829" w:name="_Toc29390"/>
      <w:bookmarkStart w:id="830" w:name="_Toc9322"/>
      <w:bookmarkStart w:id="831" w:name="_Toc22774"/>
      <w:bookmarkStart w:id="832" w:name="_Toc8350"/>
      <w:bookmarkStart w:id="833" w:name="_Toc10824"/>
      <w:bookmarkStart w:id="834" w:name="_Toc9513"/>
      <w:bookmarkStart w:id="835" w:name="_Toc6584"/>
      <w:bookmarkStart w:id="836" w:name="_Toc28790"/>
      <w:bookmarkStart w:id="837" w:name="_Toc4911"/>
      <w:bookmarkStart w:id="838" w:name="_Toc27499"/>
      <w:r>
        <w:rPr>
          <w:rFonts w:hint="eastAsia" w:ascii="楷体_GB2312" w:hAnsi="楷体_GB2312" w:eastAsia="楷体_GB2312" w:cs="楷体_GB2312"/>
          <w:b/>
          <w:kern w:val="0"/>
          <w:sz w:val="24"/>
          <w:szCs w:val="24"/>
        </w:rPr>
        <w:t>（六）资金保管机构</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pPr>
      <w:bookmarkStart w:id="839" w:name="_Toc20858"/>
      <w:bookmarkStart w:id="840" w:name="_Toc31840"/>
      <w:bookmarkStart w:id="841" w:name="_Toc7648"/>
      <w:bookmarkStart w:id="842" w:name="_Toc12749"/>
      <w:bookmarkStart w:id="843" w:name="_Toc23501"/>
      <w:bookmarkStart w:id="844" w:name="_Toc16524"/>
      <w:bookmarkStart w:id="845" w:name="_Toc21694"/>
      <w:bookmarkStart w:id="846" w:name="_Toc16170"/>
      <w:bookmarkStart w:id="847" w:name="_Toc19197"/>
      <w:bookmarkStart w:id="848" w:name="_Toc28398"/>
      <w:bookmarkStart w:id="849" w:name="_Toc9036"/>
      <w:bookmarkStart w:id="850" w:name="_Toc4044"/>
      <w:bookmarkStart w:id="851" w:name="_Toc25758"/>
      <w:bookmarkStart w:id="852" w:name="_Toc12783"/>
      <w:r>
        <w:rPr>
          <w:rFonts w:hint="eastAsia" w:ascii="楷体_GB2312" w:hAnsi="楷体_GB2312" w:eastAsia="楷体_GB2312" w:cs="楷体_GB2312"/>
          <w:b/>
          <w:kern w:val="0"/>
          <w:sz w:val="24"/>
          <w:szCs w:val="24"/>
        </w:rPr>
        <w:t>（七）资金监管机构（如有）</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kern w:val="0"/>
          <w:sz w:val="24"/>
          <w:szCs w:val="24"/>
        </w:rPr>
      </w:pPr>
      <w:bookmarkStart w:id="853" w:name="_Toc3084"/>
      <w:bookmarkStart w:id="854" w:name="_Toc30170"/>
      <w:bookmarkStart w:id="855" w:name="_Toc725"/>
      <w:bookmarkStart w:id="856" w:name="_Toc29432"/>
      <w:bookmarkStart w:id="857" w:name="_Toc1573"/>
      <w:bookmarkStart w:id="858" w:name="_Toc28251"/>
      <w:bookmarkStart w:id="859" w:name="_Toc16060"/>
      <w:bookmarkStart w:id="860" w:name="_Toc19233"/>
      <w:bookmarkStart w:id="861" w:name="_Toc12620"/>
      <w:bookmarkStart w:id="862" w:name="_Toc15855"/>
      <w:bookmarkStart w:id="863" w:name="_Toc3441"/>
      <w:bookmarkStart w:id="864" w:name="_Toc16160"/>
      <w:bookmarkStart w:id="865" w:name="_Toc26080"/>
      <w:r>
        <w:rPr>
          <w:rFonts w:hint="eastAsia" w:ascii="楷体_GB2312" w:hAnsi="楷体_GB2312" w:eastAsia="楷体_GB2312" w:cs="楷体_GB2312"/>
          <w:b/>
          <w:kern w:val="0"/>
          <w:sz w:val="24"/>
          <w:szCs w:val="24"/>
        </w:rPr>
        <w:t>（八）主承销商</w:t>
      </w:r>
      <w:bookmarkEnd w:id="853"/>
      <w:bookmarkEnd w:id="854"/>
      <w:bookmarkEnd w:id="855"/>
      <w:bookmarkEnd w:id="856"/>
      <w:bookmarkEnd w:id="857"/>
      <w:bookmarkEnd w:id="858"/>
      <w:bookmarkEnd w:id="859"/>
      <w:bookmarkEnd w:id="860"/>
      <w:bookmarkEnd w:id="861"/>
      <w:bookmarkEnd w:id="862"/>
      <w:bookmarkEnd w:id="863"/>
      <w:bookmarkEnd w:id="864"/>
      <w:bookmarkEnd w:id="865"/>
    </w:p>
    <w:p>
      <w:pPr>
        <w:overflowPunct w:val="0"/>
        <w:autoSpaceDE w:val="0"/>
        <w:autoSpaceDN w:val="0"/>
        <w:adjustRightInd w:val="0"/>
        <w:snapToGrid w:val="0"/>
        <w:spacing w:before="120" w:beforeLines="50" w:after="120" w:afterLines="50" w:line="300" w:lineRule="auto"/>
        <w:jc w:val="both"/>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57" w:afterLines="50" w:line="240" w:lineRule="atLeast"/>
        <w:ind w:left="0" w:firstLine="0" w:firstLineChars="0"/>
        <w:jc w:val="center"/>
        <w:outlineLvl w:val="1"/>
        <w:rPr>
          <w:rFonts w:hint="eastAsia" w:ascii="楷体_GB2312" w:hAnsi="楷体_GB2312" w:eastAsia="楷体_GB2312" w:cs="楷体_GB2312"/>
          <w:b/>
          <w:bCs/>
          <w:kern w:val="0"/>
          <w:sz w:val="30"/>
          <w:szCs w:val="30"/>
        </w:rPr>
      </w:pPr>
      <w:bookmarkStart w:id="866" w:name="_Toc35415927"/>
      <w:bookmarkEnd w:id="866"/>
      <w:bookmarkStart w:id="867" w:name="_Toc35415657"/>
      <w:bookmarkEnd w:id="867"/>
      <w:bookmarkStart w:id="868" w:name="_Toc35416174"/>
      <w:bookmarkEnd w:id="868"/>
      <w:bookmarkStart w:id="869" w:name="_Toc9286"/>
      <w:bookmarkStart w:id="870" w:name="_Toc22876"/>
      <w:bookmarkStart w:id="871" w:name="_Toc14295"/>
      <w:bookmarkStart w:id="872" w:name="_Toc1732"/>
      <w:bookmarkStart w:id="873" w:name="_Toc3087"/>
      <w:bookmarkStart w:id="874" w:name="_Toc1388"/>
      <w:bookmarkStart w:id="875" w:name="_Toc35499370"/>
      <w:bookmarkStart w:id="876" w:name="_Toc18483"/>
      <w:bookmarkStart w:id="877" w:name="_Toc9332"/>
      <w:bookmarkStart w:id="878" w:name="_Toc8556"/>
      <w:bookmarkStart w:id="879" w:name="_Toc9822"/>
      <w:bookmarkStart w:id="880" w:name="_Toc9817"/>
      <w:bookmarkStart w:id="881" w:name="_Toc30634"/>
      <w:bookmarkStart w:id="882" w:name="_Toc21924"/>
      <w:bookmarkStart w:id="883" w:name="_Toc11754"/>
      <w:bookmarkStart w:id="884" w:name="_Toc17747"/>
      <w:bookmarkStart w:id="885" w:name="_Toc22764"/>
      <w:bookmarkStart w:id="886" w:name="_Toc31904"/>
      <w:bookmarkStart w:id="887" w:name="_Toc7974"/>
      <w:bookmarkStart w:id="888" w:name="_Toc16598"/>
      <w:bookmarkStart w:id="889" w:name="_Toc1710"/>
      <w:bookmarkStart w:id="890" w:name="_Toc15772"/>
      <w:bookmarkStart w:id="891" w:name="_Toc29566"/>
      <w:bookmarkStart w:id="892" w:name="_Toc15390"/>
      <w:bookmarkStart w:id="893" w:name="_Toc4399"/>
      <w:bookmarkStart w:id="894" w:name="_Toc27233"/>
      <w:bookmarkStart w:id="895" w:name="_Toc25196"/>
      <w:bookmarkStart w:id="896" w:name="_Toc5294"/>
      <w:bookmarkStart w:id="897" w:name="_Toc26704"/>
      <w:bookmarkStart w:id="898" w:name="_Toc8800"/>
      <w:bookmarkStart w:id="899" w:name="_Toc9509"/>
      <w:bookmarkStart w:id="900" w:name="_Toc13720"/>
      <w:bookmarkStart w:id="901" w:name="_Toc22407"/>
      <w:bookmarkStart w:id="902" w:name="_Toc12846"/>
      <w:bookmarkStart w:id="903" w:name="_Toc6121"/>
      <w:bookmarkStart w:id="904" w:name="_Toc8873"/>
      <w:bookmarkStart w:id="905" w:name="_Toc19486"/>
      <w:bookmarkStart w:id="906" w:name="_Toc29845"/>
      <w:bookmarkStart w:id="907" w:name="_Toc31981"/>
      <w:r>
        <w:rPr>
          <w:rFonts w:hint="eastAsia" w:ascii="楷体_GB2312" w:hAnsi="楷体_GB2312" w:eastAsia="楷体_GB2312" w:cs="楷体_GB2312"/>
          <w:b/>
          <w:bCs/>
          <w:kern w:val="0"/>
          <w:sz w:val="30"/>
          <w:szCs w:val="30"/>
        </w:rPr>
        <w:t>资产支持商业票据的信用增级方式</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本期资产支持商业票据安排了【优先级/次级分层、现金流超额覆盖、差额支付承诺等/（其他）】信用增级方式，以下就相关信用增级方式介绍如下：</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outlineLvl w:val="2"/>
        <w:rPr>
          <w:rFonts w:hint="eastAsia" w:ascii="楷体_GB2312" w:hAnsi="楷体_GB2312" w:eastAsia="楷体_GB2312" w:cs="楷体_GB2312"/>
          <w:b/>
          <w:kern w:val="0"/>
          <w:sz w:val="24"/>
          <w:szCs w:val="24"/>
        </w:rPr>
      </w:pPr>
      <w:bookmarkStart w:id="908" w:name="_Toc25650"/>
      <w:bookmarkStart w:id="909" w:name="_Toc21622"/>
      <w:bookmarkStart w:id="910" w:name="_Toc10881"/>
      <w:bookmarkStart w:id="911" w:name="_Toc22847"/>
      <w:bookmarkStart w:id="912" w:name="_Toc21410"/>
      <w:bookmarkStart w:id="913" w:name="_Toc7397"/>
      <w:bookmarkStart w:id="914" w:name="_Toc3907"/>
      <w:bookmarkStart w:id="915" w:name="_Toc30482"/>
      <w:bookmarkStart w:id="916" w:name="_Toc15136"/>
      <w:bookmarkStart w:id="917" w:name="_Toc29482"/>
      <w:bookmarkStart w:id="918" w:name="_Toc14004"/>
      <w:bookmarkStart w:id="919" w:name="_Toc12474"/>
      <w:bookmarkStart w:id="920" w:name="_Toc20950"/>
      <w:bookmarkStart w:id="921" w:name="_Toc1848"/>
      <w:bookmarkStart w:id="922" w:name="_Toc14518"/>
      <w:bookmarkStart w:id="923" w:name="_Toc27620"/>
      <w:bookmarkStart w:id="924" w:name="_Toc11835"/>
      <w:bookmarkStart w:id="925" w:name="_Toc8663"/>
      <w:bookmarkStart w:id="926" w:name="_Toc13462"/>
      <w:bookmarkStart w:id="927" w:name="_Toc21175"/>
      <w:bookmarkStart w:id="928" w:name="_Toc2314"/>
      <w:bookmarkStart w:id="929" w:name="_Toc24076"/>
      <w:bookmarkStart w:id="930" w:name="_Toc30671"/>
      <w:bookmarkStart w:id="931" w:name="_Toc8181"/>
      <w:bookmarkStart w:id="932" w:name="_Toc25346"/>
      <w:bookmarkStart w:id="933" w:name="_Toc16293"/>
      <w:bookmarkStart w:id="934" w:name="_Toc23995"/>
      <w:bookmarkStart w:id="935" w:name="_Toc1562"/>
      <w:bookmarkStart w:id="936" w:name="_Toc24335"/>
      <w:bookmarkStart w:id="937" w:name="_Toc15353"/>
      <w:bookmarkStart w:id="938" w:name="_Toc35499371"/>
      <w:bookmarkStart w:id="939" w:name="_Toc29616"/>
      <w:bookmarkStart w:id="940" w:name="_Toc19358"/>
      <w:bookmarkStart w:id="941" w:name="_Toc21808"/>
      <w:bookmarkStart w:id="942" w:name="_Toc26933"/>
      <w:bookmarkStart w:id="943" w:name="_Toc24804"/>
      <w:bookmarkStart w:id="944" w:name="_Toc4740"/>
      <w:r>
        <w:rPr>
          <w:rFonts w:hint="eastAsia" w:ascii="楷体_GB2312" w:hAnsi="楷体_GB2312" w:eastAsia="楷体_GB2312" w:cs="楷体_GB2312"/>
          <w:b/>
          <w:kern w:val="0"/>
          <w:sz w:val="24"/>
          <w:szCs w:val="24"/>
        </w:rPr>
        <w:t>一、内部增信安排</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945" w:name="_Toc22699"/>
      <w:bookmarkStart w:id="946" w:name="_Toc20642"/>
      <w:bookmarkStart w:id="947" w:name="_Toc26931"/>
      <w:bookmarkStart w:id="948" w:name="_Toc11293"/>
      <w:bookmarkStart w:id="949" w:name="_Toc19753"/>
      <w:bookmarkStart w:id="950" w:name="_Toc10520"/>
      <w:bookmarkStart w:id="951" w:name="_Toc7158"/>
      <w:bookmarkStart w:id="952" w:name="_Toc30368"/>
      <w:bookmarkStart w:id="953" w:name="_Toc13550"/>
      <w:bookmarkStart w:id="954" w:name="_Toc571"/>
      <w:bookmarkStart w:id="955" w:name="_Toc29198"/>
      <w:bookmarkStart w:id="956" w:name="_Toc667"/>
      <w:bookmarkStart w:id="957" w:name="_Toc12490"/>
      <w:bookmarkStart w:id="958" w:name="_Toc18522"/>
      <w:r>
        <w:rPr>
          <w:rFonts w:hint="eastAsia" w:ascii="楷体_GB2312" w:hAnsi="楷体_GB2312" w:eastAsia="楷体_GB2312" w:cs="楷体_GB2312"/>
          <w:b/>
          <w:bCs/>
          <w:snapToGrid w:val="0"/>
          <w:kern w:val="0"/>
          <w:sz w:val="24"/>
          <w:szCs w:val="24"/>
        </w:rPr>
        <w:t>（一）优先级/次级分层</w:t>
      </w:r>
      <w:r>
        <w:rPr>
          <w:rFonts w:hint="eastAsia" w:ascii="楷体_GB2312" w:hAnsi="楷体_GB2312" w:eastAsia="楷体_GB2312" w:cs="楷体_GB2312"/>
          <w:b/>
          <w:kern w:val="0"/>
          <w:sz w:val="24"/>
          <w:szCs w:val="24"/>
        </w:rPr>
        <w:t>（如有）</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959" w:name="_Toc13780"/>
      <w:bookmarkStart w:id="960" w:name="_Toc16923"/>
      <w:bookmarkStart w:id="961" w:name="_Toc13637"/>
      <w:bookmarkStart w:id="962" w:name="_Toc22"/>
      <w:bookmarkStart w:id="963" w:name="_Toc23776"/>
      <w:bookmarkStart w:id="964" w:name="_Toc20183"/>
      <w:bookmarkStart w:id="965" w:name="_Toc19406"/>
      <w:bookmarkStart w:id="966" w:name="_Toc13332"/>
      <w:bookmarkStart w:id="967" w:name="_Toc24211"/>
      <w:bookmarkStart w:id="968" w:name="_Toc10121"/>
      <w:bookmarkStart w:id="969" w:name="_Toc20080"/>
      <w:bookmarkStart w:id="970" w:name="_Toc31841"/>
      <w:bookmarkStart w:id="971" w:name="_Toc20127"/>
      <w:bookmarkStart w:id="972" w:name="_Toc6368"/>
      <w:r>
        <w:rPr>
          <w:rFonts w:hint="eastAsia" w:ascii="楷体_GB2312" w:hAnsi="楷体_GB2312" w:eastAsia="楷体_GB2312" w:cs="楷体_GB2312"/>
          <w:b/>
          <w:bCs/>
          <w:snapToGrid w:val="0"/>
          <w:kern w:val="0"/>
          <w:sz w:val="24"/>
          <w:szCs w:val="24"/>
        </w:rPr>
        <w:t>（二）</w:t>
      </w:r>
      <w:r>
        <w:rPr>
          <w:rFonts w:hint="eastAsia" w:ascii="楷体_GB2312" w:hAnsi="楷体_GB2312" w:eastAsia="楷体_GB2312" w:cs="楷体_GB2312"/>
          <w:b/>
          <w:kern w:val="0"/>
          <w:sz w:val="24"/>
          <w:szCs w:val="24"/>
        </w:rPr>
        <w:t>现金流超额覆盖（如有）</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973" w:name="_Toc29796"/>
      <w:bookmarkStart w:id="974" w:name="_Toc21397"/>
      <w:bookmarkStart w:id="975" w:name="_Toc6051"/>
      <w:bookmarkStart w:id="976" w:name="_Toc11186"/>
      <w:bookmarkStart w:id="977" w:name="_Toc275"/>
      <w:bookmarkStart w:id="978" w:name="_Toc20369"/>
      <w:bookmarkStart w:id="979" w:name="_Toc762"/>
      <w:bookmarkStart w:id="980" w:name="_Toc13571"/>
      <w:bookmarkStart w:id="981" w:name="_Toc31155"/>
      <w:bookmarkStart w:id="982" w:name="_Toc7184"/>
      <w:bookmarkStart w:id="983" w:name="_Toc26511"/>
      <w:bookmarkStart w:id="984" w:name="_Toc28274"/>
      <w:bookmarkStart w:id="985" w:name="_Toc14575"/>
      <w:bookmarkStart w:id="986" w:name="_Toc16132"/>
      <w:r>
        <w:rPr>
          <w:rFonts w:hint="eastAsia" w:ascii="楷体_GB2312" w:hAnsi="楷体_GB2312" w:eastAsia="楷体_GB2312" w:cs="楷体_GB2312"/>
          <w:b/>
          <w:bCs/>
          <w:snapToGrid w:val="0"/>
          <w:kern w:val="0"/>
          <w:sz w:val="24"/>
          <w:szCs w:val="24"/>
        </w:rPr>
        <w:t>（三）</w:t>
      </w:r>
      <w:r>
        <w:rPr>
          <w:rFonts w:hint="eastAsia" w:ascii="楷体_GB2312" w:hAnsi="楷体_GB2312" w:eastAsia="楷体_GB2312" w:cs="楷体_GB2312"/>
          <w:b/>
          <w:kern w:val="0"/>
          <w:sz w:val="24"/>
          <w:szCs w:val="24"/>
        </w:rPr>
        <w:t>信用触发机制</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1、加速清偿事件（如有）</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2、违约事件</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ascii="楷体_GB2312" w:hAnsi="楷体_GB2312" w:eastAsia="楷体_GB2312" w:cs="楷体_GB2312"/>
          <w:b/>
          <w:sz w:val="24"/>
          <w:szCs w:val="24"/>
        </w:rPr>
      </w:pPr>
      <w:r>
        <w:rPr>
          <w:rFonts w:hint="eastAsia" w:ascii="楷体_GB2312" w:hAnsi="楷体_GB2312" w:eastAsia="楷体_GB2312" w:cs="楷体_GB2312"/>
          <w:b/>
          <w:sz w:val="24"/>
          <w:szCs w:val="24"/>
        </w:rPr>
        <w:t>3、</w:t>
      </w:r>
      <w:r>
        <w:rPr>
          <w:rFonts w:ascii="楷体_GB2312" w:hAnsi="楷体_GB2312" w:eastAsia="楷体_GB2312" w:cs="楷体_GB2312"/>
          <w:b/>
          <w:sz w:val="24"/>
          <w:szCs w:val="24"/>
        </w:rPr>
        <w:t>循环期提前终止事件</w:t>
      </w:r>
      <w:r>
        <w:rPr>
          <w:rFonts w:hint="eastAsia" w:ascii="楷体_GB2312" w:hAnsi="楷体_GB2312" w:eastAsia="楷体_GB2312" w:cs="楷体_GB2312"/>
          <w:b/>
          <w:sz w:val="24"/>
          <w:szCs w:val="24"/>
        </w:rPr>
        <w:t>（如有）</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4、滚动发行提前终止事件</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5、权利完善事件（如有）</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ascii="楷体_GB2312" w:hAnsi="楷体_GB2312" w:eastAsia="楷体_GB2312" w:cs="楷体_GB2312"/>
          <w:b/>
          <w:color w:val="FF0000"/>
          <w:sz w:val="24"/>
          <w:szCs w:val="24"/>
          <w:u w:val="single"/>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《主定义表》“一、定义（138）</w:t>
      </w:r>
      <w:r>
        <w:rPr>
          <w:rFonts w:hint="eastAsia" w:ascii="楷体_GB2312" w:hAnsi="楷体_GB2312" w:eastAsia="楷体_GB2312" w:cs="楷体_GB2312"/>
          <w:b/>
          <w:color w:val="FF0000"/>
          <w:sz w:val="24"/>
          <w:szCs w:val="24"/>
          <w:u w:val="single"/>
        </w:rPr>
        <w:t>加速清偿事件、</w:t>
      </w:r>
      <w:r>
        <w:rPr>
          <w:rFonts w:hint="eastAsia" w:ascii="Times New Roman" w:hAnsi="Times New Roman" w:eastAsia="楷体_GB2312" w:cs="Times New Roman"/>
          <w:b/>
          <w:i/>
          <w:color w:val="FF0000"/>
          <w:sz w:val="24"/>
          <w:szCs w:val="28"/>
          <w:u w:val="single"/>
        </w:rPr>
        <w:t>（139）</w:t>
      </w:r>
      <w:r>
        <w:rPr>
          <w:rFonts w:hint="eastAsia" w:ascii="楷体_GB2312" w:hAnsi="楷体_GB2312" w:eastAsia="楷体_GB2312" w:cs="楷体_GB2312"/>
          <w:b/>
          <w:color w:val="FF0000"/>
          <w:sz w:val="24"/>
          <w:szCs w:val="24"/>
          <w:u w:val="single"/>
        </w:rPr>
        <w:t>违约事件</w:t>
      </w:r>
      <w:r>
        <w:rPr>
          <w:rFonts w:hint="eastAsia" w:ascii="Times New Roman" w:hAnsi="Times New Roman" w:eastAsia="楷体_GB2312" w:cs="Times New Roman"/>
          <w:b/>
          <w:i/>
          <w:color w:val="FF0000"/>
          <w:sz w:val="24"/>
          <w:szCs w:val="28"/>
          <w:u w:val="single"/>
        </w:rPr>
        <w:t>、（143）</w:t>
      </w:r>
      <w:r>
        <w:rPr>
          <w:rFonts w:ascii="楷体_GB2312" w:hAnsi="楷体_GB2312" w:eastAsia="楷体_GB2312" w:cs="楷体_GB2312"/>
          <w:b/>
          <w:color w:val="FF0000"/>
          <w:sz w:val="24"/>
          <w:szCs w:val="24"/>
          <w:u w:val="single"/>
        </w:rPr>
        <w:t>循环期提前终止事件</w:t>
      </w:r>
      <w:r>
        <w:rPr>
          <w:rFonts w:hint="eastAsia" w:ascii="Times New Roman" w:hAnsi="Times New Roman" w:eastAsia="楷体_GB2312" w:cs="Times New Roman"/>
          <w:b/>
          <w:i/>
          <w:color w:val="FF0000"/>
          <w:sz w:val="24"/>
          <w:szCs w:val="28"/>
          <w:u w:val="single"/>
        </w:rPr>
        <w:t>、（144）</w:t>
      </w:r>
      <w:r>
        <w:rPr>
          <w:rFonts w:hint="eastAsia" w:ascii="楷体_GB2312" w:hAnsi="楷体_GB2312" w:eastAsia="楷体_GB2312" w:cs="楷体_GB2312"/>
          <w:b/>
          <w:color w:val="FF0000"/>
          <w:sz w:val="24"/>
          <w:szCs w:val="24"/>
          <w:u w:val="single"/>
        </w:rPr>
        <w:t>滚动发行提前终止事件</w:t>
      </w:r>
      <w:r>
        <w:rPr>
          <w:rFonts w:hint="eastAsia" w:ascii="Times New Roman" w:hAnsi="Times New Roman" w:eastAsia="楷体_GB2312" w:cs="Times New Roman"/>
          <w:b/>
          <w:i/>
          <w:color w:val="FF0000"/>
          <w:sz w:val="24"/>
          <w:szCs w:val="28"/>
          <w:u w:val="single"/>
        </w:rPr>
        <w:t>和（1</w:t>
      </w:r>
      <w:r>
        <w:rPr>
          <w:rFonts w:hint="eastAsia" w:ascii="Times New Roman" w:hAnsi="Times New Roman" w:eastAsia="楷体_GB2312" w:cs="Times New Roman"/>
          <w:b/>
          <w:i/>
          <w:color w:val="FF0000"/>
          <w:sz w:val="24"/>
          <w:szCs w:val="28"/>
          <w:u w:val="single"/>
          <w:lang w:val="en-US" w:eastAsia="zh-CN"/>
        </w:rPr>
        <w:t>50</w:t>
      </w:r>
      <w:r>
        <w:rPr>
          <w:rFonts w:hint="eastAsia" w:ascii="Times New Roman" w:hAnsi="Times New Roman" w:eastAsia="楷体_GB2312" w:cs="Times New Roman"/>
          <w:b/>
          <w:i/>
          <w:color w:val="FF0000"/>
          <w:sz w:val="24"/>
          <w:szCs w:val="28"/>
          <w:u w:val="single"/>
        </w:rPr>
        <w:t>）</w:t>
      </w:r>
      <w:r>
        <w:rPr>
          <w:rFonts w:hint="eastAsia" w:ascii="楷体_GB2312" w:hAnsi="楷体_GB2312" w:eastAsia="楷体_GB2312" w:cs="楷体_GB2312"/>
          <w:b/>
          <w:color w:val="FF0000"/>
          <w:sz w:val="24"/>
          <w:szCs w:val="24"/>
          <w:u w:val="single"/>
        </w:rPr>
        <w:t>权利完善事件</w:t>
      </w:r>
      <w:r>
        <w:rPr>
          <w:rFonts w:hint="eastAsia" w:ascii="Times New Roman" w:hAnsi="Times New Roman" w:eastAsia="楷体_GB2312" w:cs="Times New Roman"/>
          <w:b/>
          <w:i/>
          <w:color w:val="FF0000"/>
          <w:sz w:val="24"/>
          <w:szCs w:val="28"/>
          <w:u w:val="single"/>
        </w:rPr>
        <w:t>”的内容。</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项目实际情况阐述其他内部增信安排。</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outlineLvl w:val="2"/>
        <w:rPr>
          <w:rFonts w:ascii="楷体_GB2312" w:hAnsi="楷体_GB2312" w:eastAsia="楷体_GB2312" w:cs="楷体_GB2312"/>
          <w:b/>
          <w:kern w:val="0"/>
          <w:sz w:val="24"/>
          <w:szCs w:val="24"/>
        </w:rPr>
      </w:pPr>
      <w:bookmarkStart w:id="987" w:name="_Toc8822"/>
      <w:bookmarkStart w:id="988" w:name="_Toc2343"/>
      <w:bookmarkStart w:id="989" w:name="_Toc14070"/>
      <w:bookmarkStart w:id="990" w:name="_Toc10289"/>
      <w:bookmarkStart w:id="991" w:name="_Toc2019"/>
      <w:bookmarkStart w:id="992" w:name="_Toc35499372"/>
      <w:bookmarkStart w:id="993" w:name="_Toc18391"/>
      <w:bookmarkStart w:id="994" w:name="_Toc26068"/>
      <w:bookmarkStart w:id="995" w:name="_Toc11208"/>
      <w:bookmarkStart w:id="996" w:name="_Toc15375"/>
      <w:bookmarkStart w:id="997" w:name="_Toc13767"/>
      <w:bookmarkStart w:id="998" w:name="_Toc30421"/>
      <w:bookmarkStart w:id="999" w:name="_Toc27403"/>
      <w:bookmarkStart w:id="1000" w:name="_Toc9341"/>
      <w:bookmarkStart w:id="1001" w:name="_Toc19724"/>
      <w:bookmarkStart w:id="1002" w:name="_Toc2948"/>
      <w:bookmarkStart w:id="1003" w:name="_Toc2480"/>
      <w:bookmarkStart w:id="1004" w:name="_Toc21799"/>
      <w:bookmarkStart w:id="1005" w:name="_Toc28201"/>
      <w:bookmarkStart w:id="1006" w:name="_Toc24755"/>
      <w:bookmarkStart w:id="1007" w:name="_Toc28811"/>
      <w:bookmarkStart w:id="1008" w:name="_Toc96"/>
      <w:bookmarkStart w:id="1009" w:name="_Toc29990"/>
      <w:bookmarkStart w:id="1010" w:name="_Toc16417"/>
      <w:bookmarkStart w:id="1011" w:name="_Toc23226"/>
      <w:bookmarkStart w:id="1012" w:name="_Toc13073"/>
      <w:bookmarkStart w:id="1013" w:name="_Toc23516"/>
      <w:bookmarkStart w:id="1014" w:name="_Toc30015"/>
      <w:bookmarkStart w:id="1015" w:name="_Toc25477"/>
      <w:bookmarkStart w:id="1016" w:name="_Toc25175"/>
      <w:bookmarkStart w:id="1017" w:name="_Toc23907"/>
      <w:bookmarkStart w:id="1018" w:name="_Toc23548"/>
      <w:bookmarkStart w:id="1019" w:name="_Toc19537"/>
      <w:bookmarkStart w:id="1020" w:name="_Toc4880"/>
      <w:bookmarkStart w:id="1021" w:name="_Toc15315"/>
      <w:bookmarkStart w:id="1022" w:name="_Toc30040"/>
      <w:bookmarkStart w:id="1023" w:name="_Toc12453"/>
      <w:r>
        <w:rPr>
          <w:rFonts w:hint="eastAsia" w:ascii="楷体_GB2312" w:hAnsi="楷体_GB2312" w:eastAsia="楷体_GB2312" w:cs="楷体_GB2312"/>
          <w:b/>
          <w:kern w:val="0"/>
          <w:sz w:val="24"/>
          <w:szCs w:val="24"/>
        </w:rPr>
        <w:t>二、外部增</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Pr>
          <w:rFonts w:hint="eastAsia" w:ascii="楷体_GB2312" w:hAnsi="楷体_GB2312" w:eastAsia="楷体_GB2312" w:cs="楷体_GB2312"/>
          <w:b/>
          <w:kern w:val="0"/>
          <w:sz w:val="24"/>
          <w:szCs w:val="24"/>
        </w:rPr>
        <w:t>信安排</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r>
        <w:rPr>
          <w:rStyle w:val="48"/>
          <w:rFonts w:hint="eastAsia" w:ascii="楷体_GB2312" w:hAnsi="楷体_GB2312" w:eastAsia="楷体_GB2312" w:cs="楷体_GB2312"/>
          <w:b/>
          <w:kern w:val="0"/>
          <w:sz w:val="24"/>
          <w:szCs w:val="24"/>
        </w:rPr>
        <w:footnoteReference w:id="23"/>
      </w:r>
      <w:bookmarkEnd w:id="1022"/>
      <w:bookmarkEnd w:id="1023"/>
      <w:r>
        <w:rPr>
          <w:rFonts w:hint="eastAsia" w:ascii="楷体_GB2312" w:hAnsi="楷体_GB2312" w:eastAsia="楷体_GB2312" w:cs="楷体_GB2312"/>
          <w:b/>
          <w:kern w:val="0"/>
          <w:sz w:val="24"/>
          <w:szCs w:val="24"/>
        </w:rPr>
        <w:t>（如有）</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outlineLvl w:val="3"/>
        <w:rPr>
          <w:rFonts w:hint="eastAsia" w:ascii="楷体_GB2312" w:hAnsi="楷体_GB2312" w:eastAsia="楷体_GB2312" w:cs="楷体_GB2312"/>
          <w:b/>
          <w:bCs/>
          <w:snapToGrid w:val="0"/>
          <w:kern w:val="0"/>
          <w:sz w:val="24"/>
          <w:szCs w:val="24"/>
        </w:rPr>
      </w:pPr>
      <w:bookmarkStart w:id="1024" w:name="_Toc18057"/>
      <w:bookmarkStart w:id="1025" w:name="_Toc17068"/>
      <w:bookmarkStart w:id="1026" w:name="_Toc25405"/>
      <w:bookmarkStart w:id="1027" w:name="_Toc10461"/>
      <w:bookmarkStart w:id="1028" w:name="_Toc18564"/>
      <w:bookmarkStart w:id="1029" w:name="_Toc14910"/>
      <w:bookmarkStart w:id="1030" w:name="_Toc14728"/>
      <w:bookmarkStart w:id="1031" w:name="_Toc25911"/>
      <w:bookmarkStart w:id="1032" w:name="_Toc16197"/>
      <w:bookmarkStart w:id="1033" w:name="_Toc14628"/>
      <w:bookmarkStart w:id="1034" w:name="_Toc28426"/>
      <w:bookmarkStart w:id="1035" w:name="_Toc22133"/>
      <w:r>
        <w:rPr>
          <w:rFonts w:hint="eastAsia" w:ascii="楷体_GB2312" w:hAnsi="楷体_GB2312" w:eastAsia="楷体_GB2312" w:cs="楷体_GB2312"/>
          <w:b/>
          <w:bCs/>
          <w:snapToGrid w:val="0"/>
          <w:kern w:val="0"/>
          <w:sz w:val="24"/>
          <w:szCs w:val="24"/>
        </w:rPr>
        <w:t>（一）差额支付承诺（如有）</w:t>
      </w:r>
      <w:bookmarkEnd w:id="1024"/>
      <w:bookmarkEnd w:id="1025"/>
      <w:bookmarkEnd w:id="1026"/>
      <w:bookmarkEnd w:id="1027"/>
      <w:bookmarkEnd w:id="1028"/>
      <w:bookmarkEnd w:id="1029"/>
      <w:bookmarkEnd w:id="1030"/>
      <w:bookmarkEnd w:id="1031"/>
      <w:bookmarkEnd w:id="1032"/>
      <w:bookmarkEnd w:id="1033"/>
      <w:bookmarkEnd w:id="1034"/>
      <w:bookmarkEnd w:id="1035"/>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《差额支付承诺函》及《主定义表》“一、定义（140）差额支付启动事件、（141）回收款差额支付启动事件和（142）滚动发行差额支付启动事件”的内容。</w:t>
      </w:r>
    </w:p>
    <w:p>
      <w:pPr>
        <w:keepNext w:val="0"/>
        <w:keepLines w:val="0"/>
        <w:pageBreakBefore w:val="0"/>
        <w:widowControl w:val="0"/>
        <w:kinsoku/>
        <w:wordWrap/>
        <w:overflowPunct/>
        <w:topLinePunct w:val="0"/>
        <w:bidi w:val="0"/>
        <w:adjustRightInd w:val="0"/>
        <w:snapToGrid/>
        <w:spacing w:before="157" w:beforeLines="50" w:after="157" w:afterLines="50" w:line="240" w:lineRule="atLeast"/>
        <w:ind w:firstLine="482" w:firstLineChars="200"/>
        <w:jc w:val="both"/>
        <w:textAlignment w:val="baseline"/>
        <w:rPr>
          <w:rFonts w:hint="eastAsia" w:ascii="Times New Roman" w:hAnsi="Times New Roman" w:eastAsia="楷体_GB2312" w:cs="Times New Roman"/>
          <w:b/>
          <w:i/>
          <w:color w:val="FF0000"/>
          <w:kern w:val="0"/>
          <w:sz w:val="24"/>
          <w:szCs w:val="28"/>
          <w:u w:val="single"/>
        </w:rPr>
      </w:pPr>
      <w:r>
        <w:rPr>
          <w:rFonts w:hint="eastAsia" w:ascii="Times New Roman" w:hAnsi="Times New Roman" w:eastAsia="楷体_GB2312" w:cs="Times New Roman"/>
          <w:b/>
          <w:i/>
          <w:color w:val="FF0000"/>
          <w:kern w:val="0"/>
          <w:sz w:val="24"/>
          <w:szCs w:val="28"/>
          <w:u w:val="single"/>
        </w:rPr>
        <w:t>差额支付承诺函需明确约定的内容，包括但不限于承诺对象、承诺范围、承诺期间、差额支付的启动条件、差额支付的操作流程、差额支付义务的承接、差额支付资金的偿还与追偿、法律适用与争议解决、差额支付承诺函的生效、对差额支付承诺函进行修改、变更、解除或终止应经过资产支持商业票据持有人会议同意等事项，差额支付范围可能包括（1）对基础资产回收款不足以按顺序支付完毕各期优先级资产支持商业票据的</w:t>
      </w:r>
      <w:r>
        <w:rPr>
          <w:rFonts w:hint="eastAsia" w:ascii="Times New Roman" w:hAnsi="Times New Roman" w:eastAsia="楷体_GB2312" w:cs="Times New Roman"/>
          <w:b/>
          <w:i/>
          <w:color w:val="FF0000"/>
          <w:kern w:val="0"/>
          <w:sz w:val="24"/>
          <w:szCs w:val="28"/>
          <w:u w:val="single"/>
          <w:lang w:val="en-US" w:eastAsia="zh-CN"/>
        </w:rPr>
        <w:t>利息</w:t>
      </w:r>
      <w:r>
        <w:rPr>
          <w:rFonts w:hint="eastAsia" w:ascii="Times New Roman" w:hAnsi="Times New Roman" w:eastAsia="楷体_GB2312" w:cs="Times New Roman"/>
          <w:b/>
          <w:i/>
          <w:color w:val="FF0000"/>
          <w:kern w:val="0"/>
          <w:sz w:val="24"/>
          <w:szCs w:val="28"/>
          <w:u w:val="single"/>
        </w:rPr>
        <w:t>以及最后一期优先级资产支持商业票据未偿本金余额的差额部分承担补足义务，（2）委托人未足额支付信托受益权转让对价或后一期优先级资产支持商业票据未滚动发行成功，对信托受益权转让对价的差额部分承担补足义务，（3）委托人未足额支付回购价款，包括委托人选择进行回购需支付的回购价款以及因中止滚动发行或滚动发行不成功委托人产生回购义务需支付的回购价款。</w:t>
      </w:r>
    </w:p>
    <w:p>
      <w:pPr>
        <w:keepNext w:val="0"/>
        <w:keepLines w:val="0"/>
        <w:pageBreakBefore w:val="0"/>
        <w:widowControl w:val="0"/>
        <w:kinsoku/>
        <w:wordWrap/>
        <w:overflowPunct/>
        <w:topLinePunct w:val="0"/>
        <w:bidi w:val="0"/>
        <w:adjustRightInd w:val="0"/>
        <w:snapToGrid/>
        <w:spacing w:before="157" w:beforeLines="50" w:after="157" w:afterLines="50" w:line="240" w:lineRule="atLeast"/>
        <w:ind w:firstLine="482" w:firstLineChars="200"/>
        <w:jc w:val="both"/>
        <w:textAlignment w:val="baseline"/>
        <w:rPr>
          <w:rFonts w:hint="eastAsia" w:ascii="Times New Roman" w:hAnsi="Times New Roman" w:eastAsia="楷体_GB2312" w:cs="Times New Roman"/>
          <w:b/>
          <w:i/>
          <w:color w:val="FF0000"/>
          <w:kern w:val="0"/>
          <w:sz w:val="24"/>
          <w:szCs w:val="28"/>
          <w:u w:val="single"/>
        </w:rPr>
      </w:pPr>
      <w:r>
        <w:rPr>
          <w:rFonts w:hint="eastAsia" w:ascii="Times New Roman" w:hAnsi="Times New Roman" w:eastAsia="楷体_GB2312" w:cs="Times New Roman"/>
          <w:b/>
          <w:i/>
          <w:color w:val="FF0000"/>
          <w:kern w:val="0"/>
          <w:sz w:val="24"/>
          <w:szCs w:val="28"/>
          <w:u w:val="single"/>
          <w:lang w:eastAsia="zh-CN"/>
        </w:rPr>
        <w:t>应根据</w:t>
      </w:r>
      <w:r>
        <w:rPr>
          <w:rFonts w:hint="eastAsia" w:ascii="Times New Roman" w:hAnsi="Times New Roman" w:eastAsia="楷体_GB2312" w:cs="Times New Roman"/>
          <w:b/>
          <w:i/>
          <w:color w:val="FF0000"/>
          <w:kern w:val="0"/>
          <w:sz w:val="24"/>
          <w:szCs w:val="28"/>
          <w:u w:val="single"/>
        </w:rPr>
        <w:t>项目实际情况调整差额支付承诺的内容。</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outlineLvl w:val="3"/>
        <w:rPr>
          <w:rFonts w:hint="eastAsia" w:ascii="楷体_GB2312" w:hAnsi="楷体_GB2312" w:eastAsia="楷体_GB2312" w:cs="楷体_GB2312"/>
          <w:b/>
          <w:bCs/>
          <w:snapToGrid w:val="0"/>
          <w:kern w:val="0"/>
          <w:sz w:val="24"/>
          <w:szCs w:val="24"/>
        </w:rPr>
      </w:pPr>
      <w:bookmarkStart w:id="1036" w:name="_Toc24837"/>
      <w:bookmarkStart w:id="1037" w:name="_Toc6473"/>
      <w:bookmarkStart w:id="1038" w:name="_Toc8608"/>
      <w:bookmarkStart w:id="1039" w:name="_Toc15371"/>
      <w:bookmarkStart w:id="1040" w:name="_Toc13189"/>
      <w:bookmarkStart w:id="1041" w:name="_Toc5758"/>
      <w:bookmarkStart w:id="1042" w:name="_Hlk35253003"/>
      <w:bookmarkStart w:id="1043" w:name="_Toc14411"/>
      <w:bookmarkStart w:id="1044" w:name="_Toc4977"/>
      <w:bookmarkStart w:id="1045" w:name="_Toc10682"/>
      <w:bookmarkStart w:id="1046" w:name="_Toc4772"/>
      <w:bookmarkStart w:id="1047" w:name="_Toc9257"/>
      <w:bookmarkStart w:id="1048" w:name="_Toc15603"/>
      <w:bookmarkStart w:id="1049" w:name="_Toc25722"/>
      <w:r>
        <w:rPr>
          <w:rFonts w:hint="eastAsia" w:ascii="楷体_GB2312" w:hAnsi="楷体_GB2312" w:eastAsia="楷体_GB2312" w:cs="楷体_GB2312"/>
          <w:b/>
          <w:bCs/>
          <w:snapToGrid w:val="0"/>
          <w:kern w:val="0"/>
          <w:sz w:val="24"/>
          <w:szCs w:val="24"/>
        </w:rPr>
        <w:t>（二）回购资产池（如有）</w:t>
      </w:r>
      <w:bookmarkEnd w:id="1036"/>
      <w:bookmarkEnd w:id="1037"/>
      <w:bookmarkEnd w:id="1038"/>
      <w:bookmarkEnd w:id="1039"/>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《信托合同》“15资产的回购15.2委托人因中止滚动发行产生的回购义务和15.3委托人因滚动发行不成功需承担的回购义务”的内容。</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outlineLvl w:val="3"/>
        <w:rPr>
          <w:rFonts w:hint="eastAsia" w:ascii="楷体_GB2312" w:hAnsi="楷体_GB2312" w:eastAsia="楷体_GB2312" w:cs="楷体_GB2312"/>
          <w:b/>
          <w:bCs/>
          <w:snapToGrid w:val="0"/>
          <w:kern w:val="0"/>
          <w:sz w:val="24"/>
          <w:szCs w:val="24"/>
        </w:rPr>
      </w:pPr>
      <w:bookmarkStart w:id="1050" w:name="_Toc24679"/>
      <w:bookmarkStart w:id="1051" w:name="_Toc23447"/>
      <w:bookmarkStart w:id="1052" w:name="_Toc11341"/>
      <w:r>
        <w:rPr>
          <w:rFonts w:hint="eastAsia" w:ascii="楷体_GB2312" w:hAnsi="楷体_GB2312" w:eastAsia="楷体_GB2312" w:cs="楷体_GB2312"/>
          <w:b/>
          <w:bCs/>
          <w:snapToGrid w:val="0"/>
          <w:kern w:val="0"/>
          <w:sz w:val="24"/>
          <w:szCs w:val="24"/>
        </w:rPr>
        <w:t>（三）受让信托受益权（如有）</w:t>
      </w:r>
      <w:bookmarkEnd w:id="1050"/>
      <w:bookmarkEnd w:id="1051"/>
      <w:bookmarkEnd w:id="1052"/>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《信托合同》“7信托受益权和资产支持商业票据7.7资产支持商业票据的发行、承销、登记、交易和结算7.7.2资产支持商业票据的滚动发行7.7.2.3和7.8资产支持商业票据发行不成功”的内容。</w:t>
      </w:r>
    </w:p>
    <w:bookmarkEnd w:id="1040"/>
    <w:bookmarkEnd w:id="1041"/>
    <w:bookmarkEnd w:id="1042"/>
    <w:bookmarkEnd w:id="1043"/>
    <w:bookmarkEnd w:id="1044"/>
    <w:bookmarkEnd w:id="1045"/>
    <w:bookmarkEnd w:id="1046"/>
    <w:bookmarkEnd w:id="1047"/>
    <w:bookmarkEnd w:id="1048"/>
    <w:bookmarkEnd w:id="1049"/>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outlineLvl w:val="2"/>
        <w:rPr>
          <w:rFonts w:hint="eastAsia" w:ascii="楷体_GB2312" w:hAnsi="楷体_GB2312" w:eastAsia="楷体_GB2312" w:cs="楷体_GB2312"/>
          <w:b/>
          <w:kern w:val="0"/>
          <w:sz w:val="24"/>
          <w:szCs w:val="24"/>
        </w:rPr>
      </w:pPr>
      <w:bookmarkStart w:id="1053" w:name="_Toc13872"/>
      <w:bookmarkStart w:id="1054" w:name="_Toc29747"/>
      <w:bookmarkStart w:id="1055" w:name="_Toc21953"/>
      <w:bookmarkStart w:id="1056" w:name="_Toc17028"/>
      <w:bookmarkStart w:id="1057" w:name="_Toc16651"/>
      <w:bookmarkStart w:id="1058" w:name="_Toc25535"/>
      <w:bookmarkStart w:id="1059" w:name="_Toc5855"/>
      <w:bookmarkStart w:id="1060" w:name="_Toc12754"/>
      <w:bookmarkStart w:id="1061" w:name="_Toc11652"/>
      <w:bookmarkStart w:id="1062" w:name="_Toc7886"/>
      <w:bookmarkStart w:id="1063" w:name="_Toc3651"/>
      <w:bookmarkStart w:id="1064" w:name="_Toc23455"/>
      <w:bookmarkStart w:id="1065" w:name="_Toc27536"/>
      <w:bookmarkStart w:id="1066" w:name="_Toc8416"/>
      <w:bookmarkStart w:id="1067" w:name="_Toc20115"/>
      <w:bookmarkStart w:id="1068" w:name="_Toc27062"/>
      <w:bookmarkStart w:id="1069" w:name="_Toc15490"/>
      <w:bookmarkStart w:id="1070" w:name="_Toc1341"/>
      <w:bookmarkStart w:id="1071" w:name="_Toc23570"/>
      <w:bookmarkStart w:id="1072" w:name="_Toc9228"/>
      <w:bookmarkStart w:id="1073" w:name="_Toc11023"/>
      <w:bookmarkStart w:id="1074" w:name="_Toc1542"/>
      <w:bookmarkStart w:id="1075" w:name="_Toc19189"/>
      <w:bookmarkStart w:id="1076" w:name="_Toc12281"/>
      <w:bookmarkStart w:id="1077" w:name="_Toc32480"/>
      <w:bookmarkStart w:id="1078" w:name="_Toc14487"/>
      <w:bookmarkStart w:id="1079" w:name="_Toc11564"/>
      <w:bookmarkStart w:id="1080" w:name="_Toc27919"/>
      <w:bookmarkStart w:id="1081" w:name="_Toc31843"/>
      <w:bookmarkStart w:id="1082" w:name="_Toc16026"/>
      <w:bookmarkStart w:id="1083" w:name="_Toc23807"/>
      <w:bookmarkStart w:id="1084" w:name="_Toc8055"/>
      <w:bookmarkStart w:id="1085" w:name="_Toc6624"/>
      <w:bookmarkStart w:id="1086" w:name="_Toc18915"/>
      <w:bookmarkStart w:id="1087" w:name="_Toc7887"/>
      <w:r>
        <w:rPr>
          <w:rFonts w:hint="eastAsia" w:ascii="楷体_GB2312" w:hAnsi="楷体_GB2312" w:eastAsia="楷体_GB2312" w:cs="楷体_GB2312"/>
          <w:b/>
          <w:kern w:val="0"/>
          <w:sz w:val="24"/>
          <w:szCs w:val="24"/>
        </w:rPr>
        <w:t>三、增级方式的触发顺序</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pPr>
        <w:autoSpaceDE w:val="0"/>
        <w:autoSpaceDN w:val="0"/>
        <w:adjustRightInd w:val="0"/>
        <w:spacing w:before="120" w:beforeLines="50" w:after="120" w:afterLines="50" w:line="300" w:lineRule="auto"/>
        <w:jc w:val="both"/>
        <w:rPr>
          <w:rFonts w:hint="eastAsia" w:ascii="楷体_GB2312" w:hAnsi="楷体_GB2312" w:eastAsia="楷体_GB2312" w:cs="楷体_GB2312"/>
          <w:sz w:val="24"/>
        </w:rPr>
      </w:pPr>
      <w:r>
        <w:rPr>
          <w:rFonts w:hint="eastAsia" w:ascii="楷体_GB2312" w:hAnsi="楷体_GB2312" w:eastAsia="楷体_GB2312" w:cs="楷体_GB2312"/>
          <w:sz w:val="24"/>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1088" w:name="_Toc20540"/>
      <w:bookmarkStart w:id="1089" w:name="_Toc1900"/>
      <w:bookmarkStart w:id="1090" w:name="_Toc9410"/>
      <w:bookmarkStart w:id="1091" w:name="_Toc30969"/>
      <w:bookmarkStart w:id="1092" w:name="_Toc14559"/>
      <w:bookmarkStart w:id="1093" w:name="_Toc5627"/>
      <w:bookmarkStart w:id="1094" w:name="_Toc11162"/>
      <w:bookmarkStart w:id="1095" w:name="_Toc16866"/>
      <w:bookmarkStart w:id="1096" w:name="_Toc4486"/>
      <w:bookmarkStart w:id="1097" w:name="_Toc31944"/>
      <w:bookmarkStart w:id="1098" w:name="_Toc22183"/>
      <w:bookmarkStart w:id="1099" w:name="_Toc31240"/>
      <w:bookmarkStart w:id="1100" w:name="_Toc14395"/>
      <w:bookmarkStart w:id="1101" w:name="_Toc9212"/>
      <w:bookmarkStart w:id="1102" w:name="_Toc25934"/>
      <w:bookmarkStart w:id="1103" w:name="_Toc28419"/>
      <w:bookmarkStart w:id="1104" w:name="_Toc30200"/>
      <w:bookmarkStart w:id="1105" w:name="_Toc32116"/>
      <w:bookmarkStart w:id="1106" w:name="_Toc23599"/>
      <w:bookmarkStart w:id="1107" w:name="_Toc29501"/>
      <w:bookmarkStart w:id="1108" w:name="_Toc19743"/>
      <w:bookmarkStart w:id="1109" w:name="_Toc11479"/>
      <w:bookmarkStart w:id="1110" w:name="_Toc35499373"/>
      <w:bookmarkStart w:id="1111" w:name="_Toc24439"/>
      <w:bookmarkStart w:id="1112" w:name="_Toc28167"/>
      <w:bookmarkStart w:id="1113" w:name="_Toc24864"/>
      <w:bookmarkStart w:id="1114" w:name="_Toc4942"/>
      <w:bookmarkStart w:id="1115" w:name="_Toc9857"/>
      <w:bookmarkStart w:id="1116" w:name="_Toc6065"/>
      <w:bookmarkStart w:id="1117" w:name="_Toc7937"/>
      <w:bookmarkStart w:id="1118" w:name="_Toc18305"/>
      <w:bookmarkStart w:id="1119" w:name="_Toc22423"/>
      <w:bookmarkStart w:id="1120" w:name="_Toc20182"/>
      <w:bookmarkStart w:id="1121" w:name="_Toc15024"/>
      <w:bookmarkStart w:id="1122" w:name="_Toc20417"/>
      <w:bookmarkStart w:id="1123" w:name="_Toc12438"/>
      <w:bookmarkStart w:id="1124" w:name="_Toc15999"/>
      <w:bookmarkStart w:id="1125" w:name="_Toc27149"/>
      <w:bookmarkStart w:id="1126" w:name="_Toc22307"/>
      <w:r>
        <w:rPr>
          <w:rFonts w:hint="eastAsia" w:ascii="楷体_GB2312" w:hAnsi="楷体_GB2312" w:eastAsia="楷体_GB2312" w:cs="楷体_GB2312"/>
          <w:b/>
          <w:bCs/>
          <w:kern w:val="0"/>
          <w:sz w:val="30"/>
          <w:szCs w:val="30"/>
        </w:rPr>
        <w:t>发起机构、信用增级机构（如有）、发行载体管理机构及相关中介机构的基本情况</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Start w:id="1127" w:name="_Toc27697"/>
      <w:bookmarkStart w:id="1128" w:name="_Toc7542"/>
      <w:bookmarkStart w:id="1129" w:name="_Toc6775"/>
      <w:bookmarkStart w:id="1130" w:name="_Toc35499374"/>
      <w:bookmarkStart w:id="1131" w:name="_Toc27996"/>
      <w:bookmarkStart w:id="1132" w:name="_Toc31445"/>
      <w:bookmarkStart w:id="1133" w:name="_Toc17385"/>
      <w:bookmarkStart w:id="1134" w:name="_Toc16953"/>
      <w:bookmarkStart w:id="1135" w:name="_Toc3578"/>
      <w:bookmarkStart w:id="1136" w:name="_Toc28961"/>
      <w:bookmarkStart w:id="1137" w:name="_Toc8392"/>
    </w:p>
    <w:bookmarkEnd w:id="1127"/>
    <w:bookmarkEnd w:id="1128"/>
    <w:bookmarkEnd w:id="1129"/>
    <w:bookmarkEnd w:id="1130"/>
    <w:bookmarkEnd w:id="1131"/>
    <w:bookmarkEnd w:id="1132"/>
    <w:bookmarkEnd w:id="1133"/>
    <w:bookmarkEnd w:id="1134"/>
    <w:bookmarkEnd w:id="1135"/>
    <w:bookmarkEnd w:id="1136"/>
    <w:bookmarkEnd w:id="1137"/>
    <w:p>
      <w:pPr>
        <w:keepNext w:val="0"/>
        <w:keepLines w:val="0"/>
        <w:pageBreakBefore w:val="0"/>
        <w:widowControl w:val="0"/>
        <w:kinsoku/>
        <w:wordWrap/>
        <w:overflowPunct/>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138" w:name="_Toc7120"/>
      <w:bookmarkStart w:id="1139" w:name="_Toc19397"/>
      <w:bookmarkStart w:id="1140" w:name="_Toc10110"/>
      <w:bookmarkStart w:id="1141" w:name="_Toc26303"/>
      <w:bookmarkStart w:id="1142" w:name="_Toc26309"/>
      <w:bookmarkStart w:id="1143" w:name="_Toc21651"/>
      <w:bookmarkStart w:id="1144" w:name="_Toc21268"/>
      <w:bookmarkStart w:id="1145" w:name="_Toc23810"/>
      <w:bookmarkStart w:id="1146" w:name="_Toc28965"/>
      <w:bookmarkStart w:id="1147" w:name="_Toc20084"/>
      <w:bookmarkStart w:id="1148" w:name="_Toc24486"/>
      <w:bookmarkStart w:id="1149" w:name="_Toc9054"/>
      <w:bookmarkStart w:id="1150" w:name="_Toc19661"/>
      <w:bookmarkStart w:id="1151" w:name="_Toc24809"/>
      <w:r>
        <w:rPr>
          <w:rFonts w:hint="eastAsia" w:ascii="楷体_GB2312" w:hAnsi="楷体_GB2312" w:eastAsia="楷体_GB2312" w:cs="楷体_GB2312"/>
          <w:b/>
          <w:bCs/>
          <w:sz w:val="24"/>
          <w:szCs w:val="24"/>
        </w:rPr>
        <w:t>一、发起机构的基本情况</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color w:val="FF0000"/>
          <w:kern w:val="0"/>
          <w:sz w:val="24"/>
          <w:szCs w:val="24"/>
        </w:rPr>
      </w:pPr>
      <w:r>
        <w:rPr>
          <w:rFonts w:hint="eastAsia" w:ascii="楷体_GB2312" w:hAnsi="楷体_GB2312" w:eastAsia="楷体_GB2312" w:cs="楷体_GB2312"/>
          <w:b/>
          <w:bCs/>
          <w:snapToGrid w:val="0"/>
          <w:color w:val="FF0000"/>
          <w:kern w:val="0"/>
          <w:sz w:val="24"/>
          <w:szCs w:val="24"/>
        </w:rPr>
        <w:t>【基础资产现金流的获得取决于发起机构持续经营，或发起机构需持续承担基础资产现金流转付义务的情形】</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（一）基本情况</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（二）历史沿革</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（三）股权结构</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（四）独立性</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（五）重要权益投资</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（六）治理结构</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（七）内控制度</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（八）企业人员基本情况</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（九）经营情况</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（十）在建工程（如有）</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（十一）对投资人判断资产支持商业票据投资价值和投资风险有重要影响的其他信息（如有）</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（十二）财务报表</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（十三）财务报表分析</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（十四）有息债务</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（十五）关联交易</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（十六）或有事项</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（十七）受限资产情况</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（十八）资信情况</w:t>
      </w:r>
    </w:p>
    <w:p>
      <w:pPr>
        <w:pStyle w:val="110"/>
        <w:keepNext w:val="0"/>
        <w:keepLines w:val="0"/>
        <w:pageBreakBefore w:val="0"/>
        <w:widowControl w:val="0"/>
        <w:kinsoku/>
        <w:wordWrap/>
        <w:overflowPunct/>
        <w:topLinePunct w:val="0"/>
        <w:bidi w:val="0"/>
        <w:adjustRightInd w:val="0"/>
        <w:spacing w:before="157" w:beforeLines="50" w:after="157" w:afterLines="50" w:line="240" w:lineRule="atLeast"/>
        <w:ind w:firstLine="482" w:firstLineChars="200"/>
        <w:jc w:val="both"/>
        <w:textAlignment w:val="auto"/>
        <w:rPr>
          <w:rFonts w:hint="eastAsia" w:hAnsi="楷体_GB2312"/>
          <w:b/>
          <w:bCs/>
          <w:i/>
          <w:iCs/>
          <w:snapToGrid w:val="0"/>
          <w:color w:val="FF0000"/>
          <w:u w:val="single"/>
        </w:rPr>
      </w:pPr>
      <w:r>
        <w:rPr>
          <w:rFonts w:hint="eastAsia" w:hAnsi="楷体_GB2312"/>
          <w:b/>
          <w:bCs/>
          <w:i/>
          <w:iCs/>
          <w:snapToGrid w:val="0"/>
          <w:color w:val="FF0000"/>
          <w:u w:val="single"/>
        </w:rPr>
        <w:t>涉及基础设施建设、房地产等特定行业的，应符合《非金融企业债务融资工具公开发行注册文件表格体系》对应行业补充表格的要求。</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color w:val="FF0000"/>
          <w:kern w:val="0"/>
          <w:sz w:val="24"/>
          <w:szCs w:val="24"/>
        </w:rPr>
      </w:pPr>
      <w:r>
        <w:rPr>
          <w:rFonts w:hint="eastAsia" w:ascii="楷体_GB2312" w:hAnsi="楷体_GB2312" w:eastAsia="楷体_GB2312" w:cs="楷体_GB2312"/>
          <w:b/>
          <w:bCs/>
          <w:snapToGrid w:val="0"/>
          <w:color w:val="FF0000"/>
          <w:kern w:val="0"/>
          <w:sz w:val="24"/>
          <w:szCs w:val="24"/>
        </w:rPr>
        <w:t>【除上述情形外的其他情形】</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（一）基本情况</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（二）历史沿革</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（三）股权结构</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（四）治理结构</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（五）与基础资产相关的业务管理制度及风险控制制度</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（六）与基础资产相关的业务情况</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pPr>
      <w:r>
        <w:rPr>
          <w:rFonts w:hint="eastAsia" w:ascii="楷体_GB2312" w:hAnsi="楷体_GB2312" w:eastAsia="楷体_GB2312" w:cs="楷体_GB2312"/>
          <w:b/>
          <w:bCs/>
          <w:snapToGrid w:val="0"/>
          <w:kern w:val="0"/>
          <w:sz w:val="24"/>
          <w:szCs w:val="24"/>
        </w:rPr>
        <w:t>（七）财务报表</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（八）财务报表分析</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（九）资信情况</w:t>
      </w:r>
    </w:p>
    <w:p>
      <w:pPr>
        <w:keepNext w:val="0"/>
        <w:keepLines w:val="0"/>
        <w:pageBreakBefore w:val="0"/>
        <w:widowControl w:val="0"/>
        <w:kinsoku/>
        <w:wordWrap/>
        <w:overflowPunct/>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152" w:name="_Toc6901"/>
      <w:bookmarkStart w:id="1153" w:name="_Toc5106"/>
      <w:bookmarkStart w:id="1154" w:name="_Toc15346"/>
      <w:bookmarkStart w:id="1155" w:name="_Toc17936"/>
      <w:bookmarkStart w:id="1156" w:name="_Toc24107"/>
      <w:bookmarkStart w:id="1157" w:name="_Toc7723"/>
      <w:bookmarkStart w:id="1158" w:name="_Toc11611"/>
      <w:bookmarkStart w:id="1159" w:name="_Toc26110"/>
      <w:bookmarkStart w:id="1160" w:name="_Toc16936"/>
      <w:bookmarkStart w:id="1161" w:name="_Toc31966"/>
      <w:bookmarkStart w:id="1162" w:name="_Toc22738"/>
      <w:bookmarkStart w:id="1163" w:name="_Toc29234"/>
      <w:bookmarkStart w:id="1164" w:name="_Toc4161"/>
      <w:bookmarkStart w:id="1165" w:name="_Toc28423"/>
      <w:r>
        <w:rPr>
          <w:rFonts w:hint="eastAsia" w:ascii="楷体_GB2312" w:hAnsi="楷体_GB2312" w:eastAsia="楷体_GB2312" w:cs="楷体_GB2312"/>
          <w:b/>
          <w:bCs/>
          <w:sz w:val="24"/>
          <w:szCs w:val="24"/>
        </w:rPr>
        <w:t>二、信用增级机构的基本情况</w:t>
      </w:r>
      <w:r>
        <w:rPr>
          <w:rStyle w:val="48"/>
          <w:rFonts w:hint="eastAsia" w:ascii="楷体_GB2312" w:hAnsi="楷体_GB2312" w:eastAsia="楷体_GB2312" w:cs="楷体_GB2312"/>
          <w:b/>
          <w:bCs/>
          <w:sz w:val="24"/>
          <w:szCs w:val="24"/>
        </w:rPr>
        <w:footnoteReference w:id="24"/>
      </w:r>
      <w:r>
        <w:rPr>
          <w:rFonts w:hint="eastAsia" w:ascii="楷体_GB2312" w:hAnsi="楷体_GB2312" w:eastAsia="楷体_GB2312" w:cs="楷体_GB2312"/>
          <w:b/>
          <w:bCs/>
          <w:sz w:val="24"/>
          <w:szCs w:val="24"/>
        </w:rPr>
        <w:t>（如有）</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Times New Roman" w:hAnsi="Times New Roman" w:eastAsia="楷体_GB2312" w:cs="Times New Roman"/>
          <w:b/>
          <w:i/>
          <w:color w:val="FF0000"/>
          <w:kern w:val="0"/>
          <w:sz w:val="24"/>
          <w:szCs w:val="28"/>
          <w:u w:val="single"/>
        </w:rPr>
      </w:pPr>
      <w:r>
        <w:rPr>
          <w:rFonts w:hint="eastAsia" w:ascii="Times New Roman" w:hAnsi="Times New Roman" w:eastAsia="楷体_GB2312" w:cs="Times New Roman"/>
          <w:b/>
          <w:i/>
          <w:color w:val="FF0000"/>
          <w:kern w:val="0"/>
          <w:sz w:val="24"/>
          <w:szCs w:val="28"/>
          <w:u w:val="single"/>
        </w:rPr>
        <w:t>由专业信用增进机构提供信用增级的，按照相关监管要求披露信息，同时披露其近一年及最近一期债券担保责任余额、集中度</w:t>
      </w:r>
      <w:r>
        <w:rPr>
          <w:rStyle w:val="48"/>
          <w:rFonts w:hint="eastAsia" w:ascii="Times New Roman" w:hAnsi="Times New Roman" w:eastAsia="楷体_GB2312" w:cs="Times New Roman"/>
          <w:b/>
          <w:i/>
          <w:color w:val="FF0000"/>
          <w:kern w:val="0"/>
          <w:sz w:val="24"/>
          <w:szCs w:val="28"/>
          <w:u w:val="single"/>
        </w:rPr>
        <w:footnoteReference w:id="25"/>
      </w:r>
      <w:r>
        <w:rPr>
          <w:rFonts w:hint="eastAsia" w:ascii="Times New Roman" w:hAnsi="Times New Roman" w:eastAsia="楷体_GB2312" w:cs="Times New Roman"/>
          <w:b/>
          <w:i/>
          <w:color w:val="FF0000"/>
          <w:kern w:val="0"/>
          <w:sz w:val="24"/>
          <w:szCs w:val="28"/>
          <w:u w:val="single"/>
        </w:rPr>
        <w:t>等指标。由</w:t>
      </w:r>
      <w:r>
        <w:rPr>
          <w:rFonts w:hint="eastAsia" w:ascii="楷体_GB2312" w:hAnsi="楷体_GB2312" w:eastAsia="楷体_GB2312" w:cs="楷体_GB2312"/>
          <w:b/>
          <w:bCs/>
          <w:i/>
          <w:iCs/>
          <w:snapToGrid w:val="0"/>
          <w:color w:val="FF0000"/>
          <w:sz w:val="24"/>
          <w:szCs w:val="24"/>
          <w:u w:val="single"/>
        </w:rPr>
        <w:t>其他信用增级主体</w:t>
      </w:r>
      <w:r>
        <w:rPr>
          <w:rFonts w:hint="eastAsia" w:ascii="Times New Roman" w:hAnsi="Times New Roman" w:eastAsia="楷体_GB2312" w:cs="Times New Roman"/>
          <w:b/>
          <w:i/>
          <w:color w:val="FF0000"/>
          <w:kern w:val="0"/>
          <w:sz w:val="24"/>
          <w:szCs w:val="28"/>
          <w:u w:val="single"/>
        </w:rPr>
        <w:t>提供信用增级的，参照发起机构的第一种情形进行信息披露。</w:t>
      </w:r>
    </w:p>
    <w:p>
      <w:pPr>
        <w:keepNext w:val="0"/>
        <w:keepLines w:val="0"/>
        <w:pageBreakBefore w:val="0"/>
        <w:widowControl w:val="0"/>
        <w:kinsoku/>
        <w:wordWrap/>
        <w:overflowPunct/>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166" w:name="_Toc7152"/>
      <w:bookmarkStart w:id="1167" w:name="_Toc3670"/>
      <w:bookmarkStart w:id="1168" w:name="_Toc23605"/>
      <w:bookmarkStart w:id="1169" w:name="_Toc13937"/>
      <w:bookmarkStart w:id="1170" w:name="_Toc13931"/>
      <w:bookmarkStart w:id="1171" w:name="_Toc5005"/>
      <w:bookmarkStart w:id="1172" w:name="_Toc19728"/>
      <w:bookmarkStart w:id="1173" w:name="_Toc12875"/>
      <w:bookmarkStart w:id="1174" w:name="_Toc31118"/>
      <w:bookmarkStart w:id="1175" w:name="_Toc10978"/>
      <w:bookmarkStart w:id="1176" w:name="_Toc35499375"/>
      <w:bookmarkStart w:id="1177" w:name="_Toc12526"/>
      <w:bookmarkStart w:id="1178" w:name="_Toc11725"/>
      <w:bookmarkStart w:id="1179" w:name="_Toc29881"/>
      <w:bookmarkStart w:id="1180" w:name="_Toc28662"/>
      <w:bookmarkStart w:id="1181" w:name="_Toc3403"/>
      <w:bookmarkStart w:id="1182" w:name="_Toc7401"/>
      <w:bookmarkStart w:id="1183" w:name="_Toc26547"/>
      <w:bookmarkStart w:id="1184" w:name="_Toc29131"/>
      <w:bookmarkStart w:id="1185" w:name="_Toc10840"/>
      <w:bookmarkStart w:id="1186" w:name="_Toc19478"/>
      <w:bookmarkStart w:id="1187" w:name="_Toc31243"/>
      <w:bookmarkStart w:id="1188" w:name="_Toc7807"/>
      <w:bookmarkStart w:id="1189" w:name="_Toc5427"/>
      <w:bookmarkStart w:id="1190" w:name="_Toc28717"/>
      <w:bookmarkStart w:id="1191" w:name="_Toc22730"/>
      <w:bookmarkStart w:id="1192" w:name="_Toc16786"/>
      <w:bookmarkStart w:id="1193" w:name="_Toc32702"/>
      <w:bookmarkStart w:id="1194" w:name="_Toc21780"/>
      <w:bookmarkStart w:id="1195" w:name="_Toc17037"/>
      <w:bookmarkStart w:id="1196" w:name="_Toc17033"/>
      <w:bookmarkStart w:id="1197" w:name="_Toc2048"/>
      <w:bookmarkStart w:id="1198" w:name="_Toc2811"/>
      <w:bookmarkStart w:id="1199" w:name="_Toc29037"/>
      <w:bookmarkStart w:id="1200" w:name="_Toc6477"/>
      <w:bookmarkStart w:id="1201" w:name="_Toc18061"/>
      <w:bookmarkStart w:id="1202" w:name="_Toc5685"/>
      <w:r>
        <w:rPr>
          <w:rFonts w:hint="eastAsia" w:ascii="楷体_GB2312" w:hAnsi="楷体_GB2312" w:eastAsia="楷体_GB2312" w:cs="楷体_GB2312"/>
          <w:b/>
          <w:bCs/>
          <w:sz w:val="24"/>
          <w:szCs w:val="24"/>
        </w:rPr>
        <w:t>三、发行载体管理机构的基本情况</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pPr>
        <w:keepNext w:val="0"/>
        <w:keepLines w:val="0"/>
        <w:pageBreakBefore w:val="0"/>
        <w:widowControl w:val="0"/>
        <w:kinsoku/>
        <w:wordWrap/>
        <w:overflowPunct/>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203" w:name="_Toc8691"/>
      <w:bookmarkStart w:id="1204" w:name="_Toc29714"/>
      <w:bookmarkStart w:id="1205" w:name="_Toc31461"/>
      <w:bookmarkStart w:id="1206" w:name="_Toc27026"/>
      <w:bookmarkStart w:id="1207" w:name="_Toc10949"/>
      <w:bookmarkStart w:id="1208" w:name="_Toc20439"/>
      <w:bookmarkStart w:id="1209" w:name="_Toc13646"/>
      <w:bookmarkStart w:id="1210" w:name="_Toc19780"/>
      <w:bookmarkStart w:id="1211" w:name="_Toc8872"/>
      <w:bookmarkStart w:id="1212" w:name="_Toc7461"/>
      <w:bookmarkStart w:id="1213" w:name="_Toc32378"/>
      <w:bookmarkStart w:id="1214" w:name="_Toc5878"/>
      <w:bookmarkStart w:id="1215" w:name="_Toc31113"/>
      <w:bookmarkStart w:id="1216" w:name="_Toc26523"/>
      <w:bookmarkStart w:id="1217" w:name="_Toc32719"/>
      <w:bookmarkStart w:id="1218" w:name="_Toc19334"/>
      <w:bookmarkStart w:id="1219" w:name="_Toc35499377"/>
      <w:bookmarkStart w:id="1220" w:name="_Toc1149"/>
      <w:bookmarkStart w:id="1221" w:name="_Toc25320"/>
      <w:bookmarkStart w:id="1222" w:name="_Toc14469"/>
      <w:bookmarkStart w:id="1223" w:name="_Toc21285"/>
      <w:bookmarkStart w:id="1224" w:name="_Toc26520"/>
      <w:bookmarkStart w:id="1225" w:name="_Toc3541"/>
      <w:bookmarkStart w:id="1226" w:name="_Toc12514"/>
      <w:r>
        <w:rPr>
          <w:rFonts w:hint="eastAsia" w:ascii="楷体_GB2312" w:hAnsi="楷体_GB2312" w:eastAsia="楷体_GB2312" w:cs="楷体_GB2312"/>
          <w:b/>
          <w:bCs/>
          <w:sz w:val="24"/>
          <w:szCs w:val="24"/>
        </w:rPr>
        <w:t>四、资金保管机构的基本情况</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pPr>
      <w:bookmarkStart w:id="1227" w:name="_Toc25494"/>
      <w:bookmarkStart w:id="1228" w:name="_Toc12772"/>
      <w:bookmarkStart w:id="1229" w:name="_Toc7051"/>
      <w:bookmarkStart w:id="1230" w:name="_Toc358"/>
      <w:bookmarkStart w:id="1231" w:name="_Toc10094"/>
      <w:bookmarkStart w:id="1232" w:name="_Toc25772"/>
      <w:bookmarkStart w:id="1233" w:name="_Toc3830"/>
      <w:bookmarkStart w:id="1234" w:name="_Toc24751"/>
      <w:bookmarkStart w:id="1235" w:name="_Toc23315"/>
      <w:bookmarkStart w:id="1236" w:name="_Toc8642"/>
      <w:bookmarkStart w:id="1237" w:name="_Toc24898"/>
      <w:bookmarkStart w:id="1238" w:name="_Toc2090"/>
      <w:bookmarkStart w:id="1239" w:name="_Toc4030"/>
      <w:bookmarkStart w:id="1240" w:name="_Toc12949"/>
      <w:bookmarkStart w:id="1241" w:name="_Toc16304"/>
      <w:r>
        <w:rPr>
          <w:rFonts w:hint="eastAsia" w:ascii="楷体_GB2312" w:hAnsi="楷体_GB2312" w:eastAsia="楷体_GB2312" w:cs="楷体_GB2312"/>
          <w:b/>
          <w:kern w:val="0"/>
          <w:sz w:val="24"/>
          <w:szCs w:val="24"/>
        </w:rPr>
        <w:t>五、资产服务机构的基本情况</w:t>
      </w:r>
      <w:r>
        <w:rPr>
          <w:rStyle w:val="48"/>
          <w:rFonts w:hint="eastAsia" w:ascii="楷体_GB2312" w:hAnsi="楷体_GB2312" w:eastAsia="楷体_GB2312" w:cs="楷体_GB2312"/>
          <w:b/>
          <w:kern w:val="0"/>
          <w:sz w:val="24"/>
          <w:szCs w:val="24"/>
        </w:rPr>
        <w:footnoteReference w:id="26"/>
      </w:r>
      <w:r>
        <w:rPr>
          <w:rFonts w:hint="eastAsia" w:ascii="楷体_GB2312" w:hAnsi="楷体_GB2312" w:eastAsia="楷体_GB2312" w:cs="楷体_GB2312"/>
          <w:b/>
          <w:kern w:val="0"/>
          <w:sz w:val="24"/>
          <w:szCs w:val="24"/>
        </w:rPr>
        <w:t>（如有）</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1242" w:name="_Toc28255"/>
      <w:bookmarkStart w:id="1243" w:name="_Toc5070"/>
      <w:bookmarkStart w:id="1244" w:name="_Toc11685"/>
      <w:bookmarkStart w:id="1245" w:name="_Toc3589"/>
      <w:bookmarkStart w:id="1246" w:name="_Toc15220"/>
      <w:bookmarkStart w:id="1247" w:name="_Toc28256"/>
      <w:bookmarkStart w:id="1248" w:name="_Toc28928"/>
      <w:bookmarkStart w:id="1249" w:name="_Toc24058"/>
      <w:bookmarkStart w:id="1250" w:name="_Toc10136"/>
      <w:bookmarkStart w:id="1251" w:name="_Toc20275"/>
      <w:bookmarkStart w:id="1252" w:name="_Toc526"/>
      <w:bookmarkStart w:id="1253" w:name="_Toc9497"/>
      <w:bookmarkStart w:id="1254" w:name="_Toc25191"/>
      <w:bookmarkStart w:id="1255" w:name="_Toc17280"/>
      <w:bookmarkStart w:id="1256" w:name="_Toc21986"/>
      <w:r>
        <w:rPr>
          <w:rFonts w:hint="eastAsia" w:ascii="楷体_GB2312" w:hAnsi="楷体_GB2312" w:eastAsia="楷体_GB2312" w:cs="楷体_GB2312"/>
          <w:b/>
          <w:kern w:val="0"/>
          <w:sz w:val="24"/>
          <w:szCs w:val="24"/>
        </w:rPr>
        <w:t>六、资金监管机构的基本情况（如有）</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kern w:val="0"/>
          <w:sz w:val="24"/>
          <w:szCs w:val="24"/>
        </w:rPr>
      </w:pPr>
      <w:bookmarkStart w:id="1257" w:name="_Toc14908"/>
      <w:bookmarkStart w:id="1258" w:name="_Toc6348"/>
      <w:bookmarkStart w:id="1259" w:name="_Toc8339"/>
      <w:bookmarkStart w:id="1260" w:name="_Toc15834"/>
      <w:bookmarkStart w:id="1261" w:name="_Toc10416"/>
      <w:bookmarkStart w:id="1262" w:name="_Toc27701"/>
      <w:bookmarkStart w:id="1263" w:name="_Toc5954"/>
      <w:bookmarkStart w:id="1264" w:name="_Toc30605"/>
      <w:bookmarkStart w:id="1265" w:name="_Toc20405"/>
      <w:bookmarkStart w:id="1266" w:name="_Toc19239"/>
      <w:bookmarkStart w:id="1267" w:name="_Toc2217"/>
      <w:bookmarkStart w:id="1268" w:name="_Toc10457"/>
      <w:bookmarkStart w:id="1269" w:name="_Toc21140"/>
      <w:bookmarkStart w:id="1270" w:name="_Toc21798"/>
      <w:bookmarkStart w:id="1271" w:name="_Toc5166"/>
      <w:r>
        <w:rPr>
          <w:rFonts w:hint="eastAsia" w:ascii="楷体_GB2312" w:hAnsi="楷体_GB2312" w:eastAsia="楷体_GB2312" w:cs="楷体_GB2312"/>
          <w:b/>
          <w:kern w:val="0"/>
          <w:sz w:val="24"/>
          <w:szCs w:val="24"/>
        </w:rPr>
        <w:t>七、主承销商的基本情况</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1272" w:name="_Toc16086"/>
      <w:bookmarkStart w:id="1273" w:name="_Toc26079"/>
      <w:bookmarkStart w:id="1274" w:name="_Toc26287"/>
      <w:bookmarkStart w:id="1275" w:name="_Toc1851"/>
      <w:bookmarkStart w:id="1276" w:name="_Toc628"/>
      <w:bookmarkStart w:id="1277" w:name="_Toc12666"/>
      <w:bookmarkStart w:id="1278" w:name="_Toc4589"/>
      <w:bookmarkStart w:id="1279" w:name="_Toc28120"/>
      <w:bookmarkStart w:id="1280" w:name="_Toc3233"/>
      <w:bookmarkStart w:id="1281" w:name="_Toc24321"/>
      <w:bookmarkStart w:id="1282" w:name="_Toc14163"/>
      <w:bookmarkStart w:id="1283" w:name="_Toc20175"/>
      <w:bookmarkStart w:id="1284" w:name="_Toc29336"/>
      <w:bookmarkStart w:id="1285" w:name="_Toc27194"/>
      <w:bookmarkStart w:id="1286" w:name="_Toc7153"/>
      <w:r>
        <w:rPr>
          <w:rFonts w:hint="eastAsia" w:ascii="楷体_GB2312" w:hAnsi="楷体_GB2312" w:eastAsia="楷体_GB2312" w:cs="楷体_GB2312"/>
          <w:b/>
          <w:kern w:val="0"/>
          <w:sz w:val="24"/>
          <w:szCs w:val="24"/>
        </w:rPr>
        <w:t>八、律师事务所的基本情况</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jc w:val="both"/>
        <w:textAlignment w:val="auto"/>
        <w:outlineLvl w:val="2"/>
        <w:rPr>
          <w:rFonts w:hint="eastAsia" w:ascii="楷体_GB2312" w:hAnsi="楷体_GB2312" w:eastAsia="楷体_GB2312" w:cs="楷体_GB2312"/>
          <w:b/>
          <w:kern w:val="0"/>
          <w:sz w:val="24"/>
          <w:szCs w:val="24"/>
        </w:rPr>
      </w:pPr>
      <w:bookmarkStart w:id="1287" w:name="_Toc20955"/>
      <w:bookmarkStart w:id="1288" w:name="_Toc3386"/>
      <w:bookmarkStart w:id="1289" w:name="_Toc24915"/>
      <w:bookmarkStart w:id="1290" w:name="_Toc31693"/>
      <w:bookmarkStart w:id="1291" w:name="_Toc1846"/>
      <w:bookmarkStart w:id="1292" w:name="_Toc21558"/>
      <w:bookmarkStart w:id="1293" w:name="_Toc23400"/>
      <w:bookmarkStart w:id="1294" w:name="_Toc9899"/>
      <w:bookmarkStart w:id="1295" w:name="_Toc64"/>
      <w:bookmarkStart w:id="1296" w:name="_Toc29095"/>
      <w:bookmarkStart w:id="1297" w:name="_Toc21810"/>
      <w:bookmarkStart w:id="1298" w:name="_Toc17442"/>
      <w:bookmarkStart w:id="1299" w:name="_Toc2934"/>
      <w:r>
        <w:rPr>
          <w:rFonts w:hint="eastAsia" w:ascii="楷体_GB2312" w:hAnsi="楷体_GB2312" w:eastAsia="楷体_GB2312" w:cs="楷体_GB2312"/>
          <w:b/>
          <w:kern w:val="0"/>
          <w:sz w:val="24"/>
          <w:szCs w:val="24"/>
        </w:rPr>
        <w:t>九、评级机构的基本情况</w:t>
      </w:r>
      <w:bookmarkEnd w:id="1287"/>
      <w:bookmarkEnd w:id="1288"/>
      <w:bookmarkEnd w:id="1289"/>
      <w:bookmarkEnd w:id="1290"/>
      <w:bookmarkEnd w:id="1291"/>
      <w:bookmarkEnd w:id="1292"/>
      <w:bookmarkEnd w:id="1293"/>
      <w:bookmarkEnd w:id="1294"/>
      <w:bookmarkEnd w:id="1295"/>
      <w:bookmarkEnd w:id="1296"/>
      <w:r>
        <w:rPr>
          <w:rFonts w:hint="eastAsia" w:ascii="楷体_GB2312" w:hAnsi="楷体_GB2312" w:eastAsia="楷体_GB2312" w:cs="楷体_GB2312"/>
          <w:b/>
          <w:kern w:val="0"/>
          <w:sz w:val="24"/>
          <w:szCs w:val="24"/>
        </w:rPr>
        <w:t>（如有）</w:t>
      </w:r>
      <w:bookmarkEnd w:id="1297"/>
      <w:bookmarkEnd w:id="1298"/>
      <w:bookmarkEnd w:id="1299"/>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1300" w:name="_Toc26222"/>
      <w:bookmarkStart w:id="1301" w:name="_Toc22457"/>
      <w:bookmarkStart w:id="1302" w:name="_Toc7124"/>
      <w:bookmarkStart w:id="1303" w:name="_Toc15473"/>
      <w:bookmarkStart w:id="1304" w:name="_Toc19307"/>
      <w:bookmarkStart w:id="1305" w:name="_Toc7215"/>
      <w:bookmarkStart w:id="1306" w:name="_Toc10101"/>
      <w:bookmarkStart w:id="1307" w:name="_Toc21611"/>
      <w:bookmarkStart w:id="1308" w:name="_Toc12727"/>
      <w:bookmarkStart w:id="1309" w:name="_Toc945"/>
      <w:bookmarkStart w:id="1310" w:name="_Toc4522"/>
      <w:bookmarkStart w:id="1311" w:name="_Toc15640"/>
      <w:bookmarkStart w:id="1312" w:name="_Toc16487"/>
      <w:r>
        <w:rPr>
          <w:rFonts w:hint="eastAsia" w:ascii="楷体_GB2312" w:hAnsi="楷体_GB2312" w:eastAsia="楷体_GB2312" w:cs="楷体_GB2312"/>
          <w:b/>
          <w:kern w:val="0"/>
          <w:sz w:val="24"/>
          <w:szCs w:val="24"/>
        </w:rPr>
        <w:t>十、与相关机构的关系</w:t>
      </w:r>
      <w:bookmarkEnd w:id="1300"/>
      <w:bookmarkEnd w:id="1301"/>
      <w:bookmarkEnd w:id="1302"/>
      <w:bookmarkEnd w:id="1303"/>
      <w:bookmarkEnd w:id="1304"/>
      <w:bookmarkEnd w:id="1305"/>
      <w:bookmarkEnd w:id="1306"/>
      <w:bookmarkEnd w:id="1307"/>
      <w:bookmarkEnd w:id="1308"/>
      <w:bookmarkEnd w:id="1309"/>
      <w:bookmarkEnd w:id="1310"/>
      <w:bookmarkEnd w:id="1311"/>
      <w:bookmarkEnd w:id="1312"/>
    </w:p>
    <w:bookmarkEnd w:id="1216"/>
    <w:bookmarkEnd w:id="1217"/>
    <w:bookmarkEnd w:id="1218"/>
    <w:bookmarkEnd w:id="1219"/>
    <w:bookmarkEnd w:id="1220"/>
    <w:bookmarkEnd w:id="1221"/>
    <w:bookmarkEnd w:id="1222"/>
    <w:bookmarkEnd w:id="1223"/>
    <w:bookmarkEnd w:id="1224"/>
    <w:bookmarkEnd w:id="1225"/>
    <w:bookmarkEnd w:id="1226"/>
    <w:p>
      <w:pPr>
        <w:autoSpaceDE w:val="0"/>
        <w:autoSpaceDN w:val="0"/>
        <w:adjustRightInd w:val="0"/>
        <w:spacing w:before="120" w:beforeLines="50" w:after="120" w:afterLines="50" w:line="300" w:lineRule="auto"/>
        <w:jc w:val="both"/>
        <w:rPr>
          <w:rFonts w:hint="eastAsia" w:ascii="楷体_GB2312" w:hAnsi="楷体_GB2312" w:eastAsia="楷体_GB2312" w:cs="楷体_GB2312"/>
          <w:b/>
          <w:bCs/>
          <w:kern w:val="0"/>
          <w:sz w:val="24"/>
          <w:szCs w:val="24"/>
        </w:rPr>
      </w:pPr>
      <w:bookmarkStart w:id="1313" w:name="_Toc11911"/>
      <w:bookmarkStart w:id="1314" w:name="_Toc31674"/>
      <w:bookmarkStart w:id="1315" w:name="_Toc2168"/>
      <w:bookmarkStart w:id="1316" w:name="_Toc27124"/>
      <w:bookmarkStart w:id="1317" w:name="_Toc3686"/>
      <w:bookmarkStart w:id="1318" w:name="_Toc1857"/>
      <w:bookmarkStart w:id="1319" w:name="_Toc14885"/>
      <w:bookmarkStart w:id="1320" w:name="_Toc31634"/>
      <w:bookmarkStart w:id="1321" w:name="_Toc18194"/>
      <w:bookmarkStart w:id="1322" w:name="_Toc35499379"/>
      <w:bookmarkStart w:id="1323" w:name="_Toc13463"/>
      <w:bookmarkStart w:id="1324" w:name="_Toc7107"/>
      <w:bookmarkStart w:id="1325" w:name="_Toc5436"/>
      <w:bookmarkStart w:id="1326" w:name="_Toc1486"/>
      <w:bookmarkStart w:id="1327" w:name="_Toc10132"/>
      <w:bookmarkStart w:id="1328" w:name="_Toc28535"/>
      <w:bookmarkStart w:id="1329" w:name="_Toc7767"/>
      <w:bookmarkStart w:id="1330" w:name="_Toc6432"/>
      <w:bookmarkStart w:id="1331" w:name="_Toc27591"/>
      <w:bookmarkStart w:id="1332" w:name="_Toc8684"/>
      <w:bookmarkStart w:id="1333" w:name="_Toc27262"/>
      <w:bookmarkStart w:id="1334" w:name="_Toc11866"/>
      <w:r>
        <w:rPr>
          <w:rFonts w:hint="eastAsia" w:ascii="楷体_GB2312" w:hAnsi="楷体_GB2312" w:eastAsia="楷体_GB2312" w:cs="楷体_GB2312"/>
          <w:b/>
          <w:bCs/>
          <w:kern w:val="0"/>
          <w:sz w:val="24"/>
          <w:szCs w:val="24"/>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1335" w:name="_Toc27832"/>
      <w:bookmarkStart w:id="1336" w:name="_Toc452"/>
      <w:bookmarkStart w:id="1337" w:name="_Toc11393"/>
      <w:bookmarkStart w:id="1338" w:name="_Toc5786"/>
      <w:bookmarkStart w:id="1339" w:name="_Toc6408"/>
      <w:bookmarkStart w:id="1340" w:name="_Toc10087"/>
      <w:bookmarkStart w:id="1341" w:name="_Toc26381"/>
      <w:bookmarkStart w:id="1342" w:name="_Toc28407"/>
      <w:bookmarkStart w:id="1343" w:name="_Toc26966"/>
      <w:bookmarkStart w:id="1344" w:name="_Toc15085"/>
      <w:bookmarkStart w:id="1345" w:name="_Toc12676"/>
      <w:bookmarkStart w:id="1346" w:name="_Toc6766"/>
      <w:bookmarkStart w:id="1347" w:name="_Toc18403"/>
      <w:bookmarkStart w:id="1348" w:name="_Toc5767"/>
      <w:bookmarkStart w:id="1349" w:name="_Toc25081"/>
      <w:bookmarkStart w:id="1350" w:name="_Toc30952"/>
      <w:bookmarkStart w:id="1351" w:name="_Toc10169"/>
      <w:r>
        <w:rPr>
          <w:rFonts w:hint="eastAsia" w:ascii="楷体_GB2312" w:hAnsi="楷体_GB2312" w:eastAsia="楷体_GB2312" w:cs="楷体_GB2312"/>
          <w:b/>
          <w:bCs/>
          <w:kern w:val="0"/>
          <w:sz w:val="30"/>
          <w:szCs w:val="30"/>
        </w:rPr>
        <w:t>基础资产情况及现金流预测分析</w:t>
      </w:r>
      <w:bookmarkEnd w:id="1335"/>
      <w:bookmarkEnd w:id="1336"/>
      <w:bookmarkEnd w:id="1337"/>
      <w:bookmarkEnd w:id="1338"/>
      <w:bookmarkEnd w:id="1339"/>
    </w:p>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40"/>
    <w:bookmarkEnd w:id="1341"/>
    <w:bookmarkEnd w:id="1342"/>
    <w:bookmarkEnd w:id="1343"/>
    <w:bookmarkEnd w:id="1344"/>
    <w:bookmarkEnd w:id="1345"/>
    <w:bookmarkEnd w:id="1346"/>
    <w:bookmarkEnd w:id="1347"/>
    <w:bookmarkEnd w:id="1348"/>
    <w:bookmarkEnd w:id="1349"/>
    <w:bookmarkEnd w:id="1350"/>
    <w:bookmarkEnd w:id="1351"/>
    <w:p>
      <w:pPr>
        <w:keepNext w:val="0"/>
        <w:keepLines w:val="0"/>
        <w:pageBreakBefore w:val="0"/>
        <w:widowControl w:val="0"/>
        <w:kinsoku/>
        <w:wordWrap/>
        <w:overflowPunct/>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352" w:name="_Toc26022"/>
      <w:bookmarkStart w:id="1353" w:name="_Toc18047"/>
      <w:bookmarkStart w:id="1354" w:name="_Toc17753"/>
      <w:bookmarkStart w:id="1355" w:name="_Toc13695"/>
      <w:bookmarkStart w:id="1356" w:name="_Toc31343"/>
      <w:bookmarkStart w:id="1357" w:name="_Toc3029"/>
      <w:bookmarkStart w:id="1358" w:name="_Toc5915"/>
      <w:bookmarkStart w:id="1359" w:name="_Toc24024"/>
      <w:bookmarkStart w:id="1360" w:name="_Toc4940"/>
      <w:bookmarkStart w:id="1361" w:name="_Toc35499380"/>
      <w:bookmarkStart w:id="1362" w:name="_Toc20751"/>
      <w:bookmarkStart w:id="1363" w:name="_Toc12050"/>
      <w:bookmarkStart w:id="1364" w:name="_Toc84"/>
      <w:bookmarkStart w:id="1365" w:name="_Toc11272"/>
      <w:bookmarkStart w:id="1366" w:name="_Toc9913"/>
      <w:bookmarkStart w:id="1367" w:name="_Toc16954"/>
      <w:bookmarkStart w:id="1368" w:name="_Toc22732"/>
      <w:bookmarkStart w:id="1369" w:name="_Toc11774"/>
      <w:bookmarkStart w:id="1370" w:name="_Toc26959"/>
      <w:bookmarkStart w:id="1371" w:name="_Toc4991"/>
      <w:bookmarkStart w:id="1372" w:name="_Toc26039"/>
      <w:bookmarkStart w:id="1373" w:name="_Toc10496"/>
      <w:bookmarkStart w:id="1374" w:name="_Toc3480"/>
      <w:bookmarkStart w:id="1375" w:name="_Toc18023"/>
      <w:bookmarkStart w:id="1376" w:name="_Toc32412"/>
      <w:bookmarkStart w:id="1377" w:name="_Toc8297"/>
      <w:bookmarkStart w:id="1378" w:name="_Toc1616"/>
      <w:bookmarkStart w:id="1379" w:name="_Toc18816"/>
      <w:bookmarkStart w:id="1380" w:name="_Toc14398"/>
      <w:bookmarkStart w:id="1381" w:name="_Toc12067"/>
      <w:bookmarkStart w:id="1382" w:name="_Toc11594"/>
      <w:bookmarkStart w:id="1383" w:name="_Toc23298"/>
      <w:bookmarkStart w:id="1384" w:name="_Toc22848"/>
      <w:bookmarkStart w:id="1385" w:name="_Toc27964"/>
      <w:bookmarkStart w:id="1386" w:name="_Toc3269"/>
      <w:bookmarkStart w:id="1387" w:name="_Toc25873"/>
      <w:bookmarkStart w:id="1388" w:name="_Toc28527"/>
      <w:r>
        <w:rPr>
          <w:rFonts w:hint="eastAsia" w:ascii="楷体_GB2312" w:hAnsi="楷体_GB2312" w:eastAsia="楷体_GB2312" w:cs="楷体_GB2312"/>
          <w:b/>
          <w:bCs/>
          <w:sz w:val="24"/>
          <w:szCs w:val="24"/>
        </w:rPr>
        <w:t>一、基础资产情况</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z w:val="24"/>
          <w:szCs w:val="24"/>
        </w:rPr>
      </w:pPr>
      <w:r>
        <w:rPr>
          <w:rFonts w:hint="eastAsia" w:ascii="楷体_GB2312" w:hAnsi="楷体_GB2312" w:eastAsia="楷体_GB2312" w:cs="楷体_GB2312"/>
          <w:b/>
          <w:bCs/>
          <w:snapToGrid w:val="0"/>
          <w:kern w:val="0"/>
          <w:sz w:val="24"/>
          <w:szCs w:val="24"/>
        </w:rPr>
        <w:t>（一）</w:t>
      </w:r>
      <w:r>
        <w:rPr>
          <w:rFonts w:hint="eastAsia" w:ascii="楷体_GB2312" w:hAnsi="楷体_GB2312" w:eastAsia="楷体_GB2312" w:cs="楷体_GB2312"/>
          <w:b/>
          <w:bCs/>
          <w:sz w:val="24"/>
          <w:szCs w:val="24"/>
        </w:rPr>
        <w:t>基础资产基本情况</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w:t>
      </w:r>
      <w:r>
        <w:rPr>
          <w:rFonts w:hint="eastAsia" w:ascii="楷体_GB2312" w:hAnsi="楷体_GB2312" w:eastAsia="楷体_GB2312" w:cs="楷体_GB2312"/>
          <w:b/>
          <w:bCs/>
          <w:sz w:val="24"/>
          <w:szCs w:val="24"/>
        </w:rPr>
        <w:t>基础资产</w:t>
      </w:r>
      <w:r>
        <w:rPr>
          <w:rFonts w:hint="eastAsia" w:ascii="楷体_GB2312" w:hAnsi="楷体_GB2312" w:eastAsia="楷体_GB2312" w:cs="楷体_GB2312"/>
          <w:b/>
          <w:bCs/>
          <w:snapToGrid w:val="0"/>
          <w:kern w:val="0"/>
          <w:sz w:val="24"/>
          <w:szCs w:val="24"/>
        </w:rPr>
        <w:t>的形成和取得</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（三）基础资产的合法性</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（四）基础资产合格标准</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（五）基础资产的管理与运营安排</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bookmarkStart w:id="1389" w:name="_Toc13660"/>
      <w:bookmarkStart w:id="1390" w:name="_Toc376"/>
      <w:bookmarkStart w:id="1391" w:name="_Toc2072"/>
      <w:bookmarkStart w:id="1392" w:name="_Toc19210"/>
      <w:bookmarkStart w:id="1393" w:name="_Toc15064"/>
      <w:bookmarkStart w:id="1394" w:name="_Toc15691"/>
      <w:bookmarkStart w:id="1395" w:name="_Toc12904"/>
      <w:bookmarkStart w:id="1396" w:name="_Toc4245"/>
      <w:bookmarkStart w:id="1397" w:name="_Toc10909"/>
      <w:bookmarkStart w:id="1398" w:name="_Toc6405"/>
      <w:bookmarkStart w:id="1399" w:name="_Toc4180"/>
      <w:bookmarkStart w:id="1400" w:name="_Toc35499381"/>
      <w:bookmarkStart w:id="1401" w:name="_Toc10047"/>
      <w:bookmarkStart w:id="1402" w:name="_Toc10197"/>
      <w:bookmarkStart w:id="1403" w:name="_Toc27353"/>
      <w:bookmarkStart w:id="1404" w:name="_Toc9288"/>
      <w:bookmarkStart w:id="1405" w:name="_Toc31875"/>
      <w:bookmarkStart w:id="1406" w:name="_Toc8119"/>
      <w:bookmarkStart w:id="1407" w:name="_Toc10674"/>
      <w:bookmarkStart w:id="1408" w:name="_Toc9627"/>
      <w:bookmarkStart w:id="1409" w:name="_Toc7304"/>
      <w:bookmarkStart w:id="1410" w:name="_Toc19595"/>
      <w:r>
        <w:rPr>
          <w:rFonts w:hint="eastAsia" w:ascii="楷体_GB2312" w:hAnsi="楷体_GB2312" w:eastAsia="楷体_GB2312" w:cs="楷体_GB2312"/>
          <w:b/>
          <w:bCs/>
          <w:snapToGrid w:val="0"/>
          <w:kern w:val="0"/>
          <w:sz w:val="24"/>
          <w:szCs w:val="24"/>
        </w:rPr>
        <w:t>（六）基础资产的总体信息与分布信息</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（七）基础资产尽职调查方法</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（八）基础资产集中度较高的债务人（如有）</w:t>
      </w:r>
    </w:p>
    <w:p>
      <w:pPr>
        <w:pStyle w:val="2"/>
        <w:keepNext w:val="0"/>
        <w:keepLines w:val="0"/>
        <w:pageBreakBefore w:val="0"/>
        <w:widowControl w:val="0"/>
        <w:kinsoku/>
        <w:wordWrap/>
        <w:overflowPunct/>
        <w:topLinePunct w:val="0"/>
        <w:bidi w:val="0"/>
        <w:spacing w:before="157" w:beforeLines="50" w:after="157" w:afterLines="50" w:line="240" w:lineRule="atLeast"/>
        <w:ind w:firstLine="482"/>
        <w:jc w:val="both"/>
        <w:textAlignment w:val="auto"/>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rPr>
        <w:t>包括但不限于集中度较高债务人的基本情况、主要经营和财务情况及资信评级情况。集中度较高的债务人指基础资产池所对应的单一债务人未偿还本金余额占比超过15%，或债务人及其关联方的未偿本金余额合计占比超过20%。</w:t>
      </w:r>
    </w:p>
    <w:p>
      <w:pPr>
        <w:keepNext w:val="0"/>
        <w:keepLines w:val="0"/>
        <w:pageBreakBefore w:val="0"/>
        <w:widowControl w:val="0"/>
        <w:kinsoku/>
        <w:wordWrap/>
        <w:overflowPunct/>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411" w:name="_Toc1065"/>
      <w:bookmarkStart w:id="1412" w:name="_Toc17526"/>
      <w:bookmarkStart w:id="1413" w:name="_Toc13689"/>
      <w:bookmarkStart w:id="1414" w:name="_Toc19072"/>
      <w:bookmarkStart w:id="1415" w:name="_Toc30789"/>
      <w:bookmarkStart w:id="1416" w:name="_Toc21304"/>
      <w:bookmarkStart w:id="1417" w:name="_Toc27228"/>
      <w:bookmarkStart w:id="1418" w:name="_Toc23374"/>
      <w:bookmarkStart w:id="1419" w:name="_Toc22746"/>
      <w:bookmarkStart w:id="1420" w:name="_Toc6850"/>
      <w:bookmarkStart w:id="1421" w:name="_Toc22878"/>
      <w:bookmarkStart w:id="1422" w:name="_Toc9248"/>
      <w:bookmarkStart w:id="1423" w:name="_Toc16496"/>
      <w:bookmarkStart w:id="1424" w:name="_Toc694"/>
      <w:bookmarkStart w:id="1425" w:name="_Toc7614"/>
      <w:r>
        <w:rPr>
          <w:rFonts w:hint="eastAsia" w:ascii="楷体_GB2312" w:hAnsi="楷体_GB2312" w:eastAsia="楷体_GB2312" w:cs="楷体_GB2312"/>
          <w:b/>
          <w:bCs/>
          <w:sz w:val="24"/>
          <w:szCs w:val="24"/>
        </w:rPr>
        <w:t>二、基础资产现金流形成机制及历史数据</w:t>
      </w:r>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pPr>
        <w:keepNext w:val="0"/>
        <w:keepLines w:val="0"/>
        <w:pageBreakBefore w:val="0"/>
        <w:widowControl w:val="0"/>
        <w:kinsoku/>
        <w:wordWrap/>
        <w:overflowPunct/>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napToGrid w:val="0"/>
          <w:kern w:val="0"/>
          <w:sz w:val="24"/>
          <w:szCs w:val="24"/>
        </w:rPr>
      </w:pPr>
      <w:bookmarkStart w:id="1426" w:name="_Toc4892"/>
      <w:bookmarkStart w:id="1427" w:name="_Toc15190"/>
      <w:bookmarkStart w:id="1428" w:name="_Toc3485"/>
      <w:bookmarkStart w:id="1429" w:name="_Toc12462"/>
      <w:bookmarkStart w:id="1430" w:name="_Toc25994"/>
      <w:bookmarkStart w:id="1431" w:name="_Toc10340"/>
      <w:bookmarkStart w:id="1432" w:name="_Toc11426"/>
      <w:bookmarkStart w:id="1433" w:name="_Toc13055"/>
      <w:bookmarkStart w:id="1434" w:name="_Toc21784"/>
      <w:bookmarkStart w:id="1435" w:name="_Toc10952"/>
      <w:bookmarkStart w:id="1436" w:name="_Toc9401"/>
      <w:bookmarkStart w:id="1437" w:name="_Toc16381"/>
      <w:bookmarkStart w:id="1438" w:name="_Toc22503"/>
      <w:bookmarkStart w:id="1439" w:name="_Toc13398"/>
      <w:bookmarkStart w:id="1440" w:name="_Toc32115"/>
      <w:bookmarkStart w:id="1441" w:name="_Toc17369"/>
      <w:bookmarkStart w:id="1442" w:name="_Toc31201"/>
      <w:bookmarkStart w:id="1443" w:name="_Toc35499382"/>
      <w:bookmarkStart w:id="1444" w:name="_Toc23310"/>
      <w:bookmarkStart w:id="1445" w:name="_Toc16289"/>
      <w:bookmarkStart w:id="1446" w:name="_Toc26150"/>
      <w:bookmarkStart w:id="1447" w:name="_Toc18721"/>
      <w:bookmarkStart w:id="1448" w:name="_Toc11376"/>
      <w:bookmarkStart w:id="1449" w:name="_Toc25993"/>
      <w:bookmarkStart w:id="1450" w:name="_Toc20752"/>
      <w:bookmarkStart w:id="1451" w:name="_Toc22159"/>
      <w:bookmarkStart w:id="1452" w:name="_Toc19933"/>
      <w:bookmarkStart w:id="1453" w:name="_Toc5088"/>
      <w:bookmarkStart w:id="1454" w:name="_Toc6858"/>
      <w:bookmarkStart w:id="1455" w:name="_Toc11941"/>
      <w:bookmarkStart w:id="1456" w:name="_Toc2309"/>
      <w:bookmarkStart w:id="1457" w:name="_Toc30151"/>
      <w:bookmarkStart w:id="1458" w:name="_Toc14316"/>
      <w:bookmarkStart w:id="1459" w:name="_Toc29757"/>
      <w:bookmarkStart w:id="1460" w:name="_Toc32135"/>
      <w:bookmarkStart w:id="1461" w:name="_Toc12777"/>
      <w:r>
        <w:rPr>
          <w:rFonts w:hint="eastAsia" w:ascii="楷体_GB2312" w:hAnsi="楷体_GB2312" w:eastAsia="楷体_GB2312" w:cs="楷体_GB2312"/>
          <w:b/>
          <w:bCs/>
          <w:snapToGrid w:val="0"/>
          <w:kern w:val="0"/>
          <w:sz w:val="24"/>
          <w:szCs w:val="24"/>
        </w:rPr>
        <w:t>三、</w:t>
      </w:r>
      <w:bookmarkStart w:id="1462" w:name="_Toc533861275"/>
      <w:bookmarkStart w:id="1463" w:name="_Toc524082278"/>
      <w:r>
        <w:rPr>
          <w:rFonts w:hint="eastAsia" w:ascii="楷体_GB2312" w:hAnsi="楷体_GB2312" w:eastAsia="楷体_GB2312" w:cs="楷体_GB2312"/>
          <w:b/>
          <w:bCs/>
          <w:snapToGrid w:val="0"/>
          <w:kern w:val="0"/>
          <w:sz w:val="24"/>
          <w:szCs w:val="24"/>
        </w:rPr>
        <w:t>基础资产现金流预测分析、压力测试情况</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pPr>
        <w:autoSpaceDE w:val="0"/>
        <w:autoSpaceDN w:val="0"/>
        <w:adjustRightInd w:val="0"/>
        <w:spacing w:before="120" w:beforeLines="50" w:after="120" w:afterLines="50" w:line="300" w:lineRule="auto"/>
        <w:jc w:val="both"/>
        <w:rPr>
          <w:rFonts w:hint="eastAsia" w:ascii="楷体_GB2312" w:hAnsi="楷体_GB2312" w:eastAsia="楷体_GB2312" w:cs="楷体_GB2312"/>
          <w:b/>
          <w:bCs/>
          <w:kern w:val="0"/>
          <w:sz w:val="24"/>
          <w:szCs w:val="24"/>
        </w:rPr>
      </w:pPr>
      <w:bookmarkStart w:id="1464" w:name="_Toc1488"/>
      <w:bookmarkStart w:id="1465" w:name="_Toc20383"/>
      <w:bookmarkStart w:id="1466" w:name="_Toc16071"/>
      <w:bookmarkStart w:id="1467" w:name="_Toc26467"/>
      <w:bookmarkStart w:id="1468" w:name="_Toc17686"/>
      <w:bookmarkStart w:id="1469" w:name="_Toc61"/>
      <w:bookmarkStart w:id="1470" w:name="_Toc20178"/>
      <w:bookmarkStart w:id="1471" w:name="_Toc14579"/>
      <w:bookmarkStart w:id="1472" w:name="_Toc3556"/>
      <w:bookmarkStart w:id="1473" w:name="_Toc359"/>
      <w:bookmarkStart w:id="1474" w:name="_Toc5927"/>
      <w:bookmarkStart w:id="1475" w:name="_Toc28657"/>
      <w:bookmarkStart w:id="1476" w:name="_Toc31370"/>
      <w:bookmarkStart w:id="1477" w:name="_Toc12457"/>
      <w:bookmarkStart w:id="1478" w:name="_Toc24511"/>
      <w:bookmarkStart w:id="1479" w:name="_Toc24981"/>
      <w:bookmarkStart w:id="1480" w:name="_Toc7679"/>
      <w:bookmarkStart w:id="1481" w:name="_Toc22087"/>
      <w:bookmarkStart w:id="1482" w:name="_Toc11329"/>
      <w:bookmarkStart w:id="1483" w:name="_Toc15430"/>
      <w:bookmarkStart w:id="1484" w:name="_Toc35499383"/>
      <w:bookmarkStart w:id="1485" w:name="_Toc545"/>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1486" w:name="_Toc9452"/>
      <w:bookmarkStart w:id="1487" w:name="_Toc4333"/>
      <w:bookmarkStart w:id="1488" w:name="_Toc5574"/>
      <w:bookmarkStart w:id="1489" w:name="_Toc27378"/>
      <w:bookmarkStart w:id="1490" w:name="_Toc668"/>
      <w:bookmarkStart w:id="1491" w:name="_Toc16662"/>
      <w:bookmarkStart w:id="1492" w:name="_Toc4"/>
      <w:bookmarkStart w:id="1493" w:name="_Toc23481"/>
      <w:bookmarkStart w:id="1494" w:name="_Toc19769"/>
      <w:bookmarkStart w:id="1495" w:name="_Toc18231"/>
      <w:bookmarkStart w:id="1496" w:name="_Toc24690"/>
      <w:bookmarkStart w:id="1497" w:name="_Toc17508"/>
      <w:bookmarkStart w:id="1498" w:name="_Toc6631"/>
      <w:bookmarkStart w:id="1499" w:name="_Toc19870"/>
      <w:bookmarkStart w:id="1500" w:name="_Toc22180"/>
      <w:bookmarkStart w:id="1501" w:name="_Toc23066"/>
      <w:bookmarkStart w:id="1502" w:name="_Toc15707"/>
      <w:r>
        <w:rPr>
          <w:rFonts w:hint="eastAsia" w:ascii="楷体_GB2312" w:hAnsi="楷体_GB2312" w:eastAsia="楷体_GB2312" w:cs="楷体_GB2312"/>
          <w:b/>
          <w:bCs/>
          <w:kern w:val="0"/>
          <w:sz w:val="30"/>
          <w:szCs w:val="30"/>
        </w:rPr>
        <w:t>现金流归集与管理机制、投资及分配机制</w:t>
      </w:r>
      <w:bookmarkEnd w:id="1486"/>
      <w:bookmarkEnd w:id="1487"/>
      <w:bookmarkEnd w:id="1488"/>
      <w:bookmarkEnd w:id="1489"/>
      <w:bookmarkEnd w:id="1490"/>
    </w:p>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91"/>
    <w:bookmarkEnd w:id="1492"/>
    <w:bookmarkEnd w:id="1493"/>
    <w:bookmarkEnd w:id="1494"/>
    <w:bookmarkEnd w:id="1495"/>
    <w:bookmarkEnd w:id="1496"/>
    <w:bookmarkEnd w:id="1497"/>
    <w:bookmarkEnd w:id="1498"/>
    <w:bookmarkEnd w:id="1499"/>
    <w:bookmarkEnd w:id="1500"/>
    <w:bookmarkEnd w:id="1501"/>
    <w:bookmarkEnd w:id="1502"/>
    <w:p>
      <w:pPr>
        <w:keepNext w:val="0"/>
        <w:keepLines w:val="0"/>
        <w:pageBreakBefore w:val="0"/>
        <w:widowControl w:val="0"/>
        <w:kinsoku/>
        <w:wordWrap/>
        <w:overflowPunct/>
        <w:topLinePunct w:val="0"/>
        <w:bidi w:val="0"/>
        <w:adjustRightInd w:val="0"/>
        <w:snapToGrid/>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503" w:name="_Toc35499384"/>
      <w:bookmarkStart w:id="1504" w:name="_Toc15231"/>
      <w:bookmarkStart w:id="1505" w:name="_Toc23067"/>
      <w:bookmarkStart w:id="1506" w:name="_Toc576"/>
      <w:bookmarkStart w:id="1507" w:name="_Toc10654"/>
      <w:bookmarkStart w:id="1508" w:name="_Toc8418"/>
      <w:bookmarkStart w:id="1509" w:name="_Toc19170"/>
      <w:bookmarkStart w:id="1510" w:name="_Toc31907"/>
      <w:bookmarkStart w:id="1511" w:name="_Toc15291"/>
      <w:bookmarkStart w:id="1512" w:name="_Toc5663"/>
      <w:bookmarkStart w:id="1513" w:name="_Toc3673"/>
      <w:bookmarkStart w:id="1514" w:name="_Toc29052"/>
      <w:bookmarkStart w:id="1515" w:name="_Toc17117"/>
      <w:bookmarkStart w:id="1516" w:name="_Toc16734"/>
      <w:bookmarkStart w:id="1517" w:name="_Toc2043"/>
      <w:bookmarkStart w:id="1518" w:name="_Toc26762"/>
      <w:bookmarkStart w:id="1519" w:name="_Toc27995"/>
      <w:bookmarkStart w:id="1520" w:name="_Toc6074"/>
      <w:bookmarkStart w:id="1521" w:name="_Toc21198"/>
      <w:bookmarkStart w:id="1522" w:name="_Toc30397"/>
      <w:bookmarkStart w:id="1523" w:name="_Toc26157"/>
      <w:bookmarkStart w:id="1524" w:name="_Toc8857"/>
      <w:bookmarkStart w:id="1525" w:name="_Toc22549"/>
      <w:bookmarkStart w:id="1526" w:name="_Toc32396"/>
      <w:bookmarkStart w:id="1527" w:name="_Toc24956"/>
      <w:bookmarkStart w:id="1528" w:name="_Toc31952"/>
      <w:bookmarkStart w:id="1529" w:name="_Toc31933"/>
      <w:bookmarkStart w:id="1530" w:name="_Toc30599"/>
      <w:bookmarkStart w:id="1531" w:name="_Toc21609"/>
      <w:bookmarkStart w:id="1532" w:name="_Toc24021"/>
      <w:bookmarkStart w:id="1533" w:name="_Toc20625"/>
      <w:bookmarkStart w:id="1534" w:name="_Toc1379"/>
      <w:bookmarkStart w:id="1535" w:name="_Toc12005"/>
      <w:bookmarkStart w:id="1536" w:name="_Toc10207"/>
      <w:bookmarkStart w:id="1537" w:name="_Toc9556"/>
      <w:bookmarkStart w:id="1538" w:name="_Toc15757"/>
      <w:bookmarkStart w:id="1539" w:name="_Toc17806"/>
      <w:r>
        <w:rPr>
          <w:rFonts w:hint="eastAsia" w:ascii="楷体_GB2312" w:hAnsi="楷体_GB2312" w:eastAsia="楷体_GB2312" w:cs="楷体_GB2312"/>
          <w:b/>
          <w:bCs/>
          <w:sz w:val="24"/>
          <w:szCs w:val="24"/>
        </w:rPr>
        <w:t>一、现金流的归集安排</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pPr>
        <w:keepNext w:val="0"/>
        <w:keepLines w:val="0"/>
        <w:pageBreakBefore w:val="0"/>
        <w:widowControl w:val="0"/>
        <w:kinsoku/>
        <w:wordWrap/>
        <w:overflowPunct/>
        <w:topLinePunct w:val="0"/>
        <w:bidi w:val="0"/>
        <w:adjustRightInd w:val="0"/>
        <w:snapToGrid/>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540" w:name="_Toc24517"/>
      <w:bookmarkStart w:id="1541" w:name="_Toc32306"/>
      <w:bookmarkStart w:id="1542" w:name="_Toc1678"/>
      <w:bookmarkStart w:id="1543" w:name="_Toc12944"/>
      <w:bookmarkStart w:id="1544" w:name="_Toc5045"/>
      <w:bookmarkStart w:id="1545" w:name="_Toc27054"/>
      <w:bookmarkStart w:id="1546" w:name="_Toc30142"/>
      <w:bookmarkStart w:id="1547" w:name="_Toc31242"/>
      <w:bookmarkStart w:id="1548" w:name="_Toc14527"/>
      <w:bookmarkStart w:id="1549" w:name="_Toc1664"/>
      <w:bookmarkStart w:id="1550" w:name="_Toc24358"/>
      <w:bookmarkStart w:id="1551" w:name="_Toc15109"/>
      <w:bookmarkStart w:id="1552" w:name="_Toc14272"/>
      <w:bookmarkStart w:id="1553" w:name="_Toc4620"/>
      <w:bookmarkStart w:id="1554" w:name="_Toc17404"/>
      <w:bookmarkStart w:id="1555" w:name="_Toc20614"/>
      <w:bookmarkStart w:id="1556" w:name="_Toc3398"/>
      <w:bookmarkStart w:id="1557" w:name="_Toc18661"/>
      <w:bookmarkStart w:id="1558" w:name="_Toc35499385"/>
      <w:bookmarkStart w:id="1559" w:name="_Toc14985"/>
      <w:bookmarkStart w:id="1560" w:name="_Toc16217"/>
      <w:bookmarkStart w:id="1561" w:name="_Toc26348"/>
      <w:bookmarkStart w:id="1562" w:name="_Toc28313"/>
      <w:bookmarkStart w:id="1563" w:name="_Toc19750"/>
      <w:bookmarkStart w:id="1564" w:name="_Toc8478"/>
      <w:bookmarkStart w:id="1565" w:name="_Toc26702"/>
      <w:bookmarkStart w:id="1566" w:name="_Toc12463"/>
      <w:bookmarkStart w:id="1567" w:name="_Toc18108"/>
      <w:bookmarkStart w:id="1568" w:name="_Toc14274"/>
      <w:bookmarkStart w:id="1569" w:name="_Toc17388"/>
      <w:bookmarkStart w:id="1570" w:name="_Toc10122"/>
      <w:bookmarkStart w:id="1571" w:name="_Toc15935"/>
      <w:bookmarkStart w:id="1572" w:name="_Toc496"/>
      <w:bookmarkStart w:id="1573" w:name="_Toc25001"/>
      <w:bookmarkStart w:id="1574" w:name="_Toc19748"/>
      <w:bookmarkStart w:id="1575" w:name="_Toc9634"/>
      <w:bookmarkStart w:id="1576" w:name="_Toc20522"/>
      <w:r>
        <w:rPr>
          <w:rFonts w:hint="eastAsia" w:ascii="楷体_GB2312" w:hAnsi="楷体_GB2312" w:eastAsia="楷体_GB2312" w:cs="楷体_GB2312"/>
          <w:b/>
          <w:bCs/>
          <w:sz w:val="24"/>
          <w:szCs w:val="24"/>
        </w:rPr>
        <w:t>二、现金流运用及投资安排</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p>
      <w:pPr>
        <w:keepNext w:val="0"/>
        <w:keepLines w:val="0"/>
        <w:pageBreakBefore w:val="0"/>
        <w:widowControl w:val="0"/>
        <w:kinsoku/>
        <w:wordWrap/>
        <w:overflowPunct/>
        <w:topLinePunct w:val="0"/>
        <w:bidi w:val="0"/>
        <w:adjustRightInd w:val="0"/>
        <w:snapToGrid/>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577" w:name="_Toc12810"/>
      <w:bookmarkStart w:id="1578" w:name="_Toc24472"/>
      <w:bookmarkStart w:id="1579" w:name="_Toc30915"/>
      <w:bookmarkStart w:id="1580" w:name="_Toc13684"/>
      <w:bookmarkStart w:id="1581" w:name="_Toc2995"/>
      <w:bookmarkStart w:id="1582" w:name="_Toc4751"/>
      <w:bookmarkStart w:id="1583" w:name="_Toc13713"/>
      <w:bookmarkStart w:id="1584" w:name="_Toc15204"/>
      <w:bookmarkStart w:id="1585" w:name="_Toc23575"/>
      <w:bookmarkStart w:id="1586" w:name="_Toc14156"/>
      <w:bookmarkStart w:id="1587" w:name="_Toc3991"/>
      <w:bookmarkStart w:id="1588" w:name="_Toc9574"/>
      <w:bookmarkStart w:id="1589" w:name="_Toc35499386"/>
      <w:bookmarkStart w:id="1590" w:name="_Toc24286"/>
      <w:bookmarkStart w:id="1591" w:name="_Toc22592"/>
      <w:bookmarkStart w:id="1592" w:name="_Toc3682"/>
      <w:bookmarkStart w:id="1593" w:name="_Toc28645"/>
      <w:bookmarkStart w:id="1594" w:name="_Toc16813"/>
      <w:bookmarkStart w:id="1595" w:name="_Toc4285"/>
      <w:bookmarkStart w:id="1596" w:name="_Toc12943"/>
      <w:bookmarkStart w:id="1597" w:name="_Toc32055"/>
      <w:bookmarkStart w:id="1598" w:name="_Toc29295"/>
      <w:bookmarkStart w:id="1599" w:name="_Toc27401"/>
      <w:bookmarkStart w:id="1600" w:name="_Toc12644"/>
      <w:bookmarkStart w:id="1601" w:name="_Toc6708"/>
      <w:bookmarkStart w:id="1602" w:name="_Toc18999"/>
      <w:bookmarkStart w:id="1603" w:name="_Toc7529"/>
      <w:bookmarkStart w:id="1604" w:name="_Toc26047"/>
      <w:bookmarkStart w:id="1605" w:name="_Toc1709"/>
      <w:bookmarkStart w:id="1606" w:name="_Toc15187"/>
      <w:bookmarkStart w:id="1607" w:name="_Toc20221"/>
      <w:bookmarkStart w:id="1608" w:name="_Toc1080"/>
      <w:bookmarkStart w:id="1609" w:name="_Toc16011"/>
      <w:bookmarkStart w:id="1610" w:name="_Toc10983"/>
      <w:bookmarkStart w:id="1611" w:name="_Toc18878"/>
      <w:bookmarkStart w:id="1612" w:name="_Toc28719"/>
      <w:bookmarkStart w:id="1613" w:name="_Toc19543"/>
      <w:bookmarkStart w:id="1614" w:name="_Hlk35253494"/>
      <w:r>
        <w:rPr>
          <w:rFonts w:hint="eastAsia" w:ascii="楷体_GB2312" w:hAnsi="楷体_GB2312" w:eastAsia="楷体_GB2312" w:cs="楷体_GB2312"/>
          <w:b/>
          <w:bCs/>
          <w:sz w:val="24"/>
          <w:szCs w:val="24"/>
        </w:rPr>
        <w:t>三、现金流分配机制</w:t>
      </w:r>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pPr>
        <w:pStyle w:val="2"/>
        <w:keepNext w:val="0"/>
        <w:keepLines w:val="0"/>
        <w:pageBreakBefore w:val="0"/>
        <w:widowControl w:val="0"/>
        <w:kinsoku/>
        <w:wordWrap/>
        <w:overflowPunct/>
        <w:topLinePunct w:val="0"/>
        <w:bidi w:val="0"/>
        <w:snapToGrid/>
        <w:spacing w:before="157" w:beforeLines="50" w:after="120" w:afterLines="50" w:line="240" w:lineRule="atLeast"/>
        <w:ind w:firstLine="482"/>
        <w:jc w:val="both"/>
        <w:textAlignment w:val="auto"/>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《信托合同》“9回收款的转付、核算与分配9.3信托账户内资金的核算与分配”的内容。</w:t>
      </w:r>
    </w:p>
    <w:bookmarkEnd w:id="1614"/>
    <w:p>
      <w:pPr>
        <w:keepNext w:val="0"/>
        <w:keepLines w:val="0"/>
        <w:pageBreakBefore w:val="0"/>
        <w:widowControl w:val="0"/>
        <w:kinsoku/>
        <w:wordWrap/>
        <w:overflowPunct/>
        <w:topLinePunct w:val="0"/>
        <w:autoSpaceDE w:val="0"/>
        <w:autoSpaceDN w:val="0"/>
        <w:bidi w:val="0"/>
        <w:adjustRightInd w:val="0"/>
        <w:snapToGrid/>
        <w:spacing w:before="157" w:beforeLines="50" w:after="120" w:afterLines="50" w:line="240" w:lineRule="atLeast"/>
        <w:jc w:val="both"/>
        <w:textAlignment w:val="auto"/>
        <w:rPr>
          <w:rFonts w:hint="eastAsia" w:ascii="楷体_GB2312" w:hAnsi="楷体_GB2312" w:eastAsia="楷体_GB2312" w:cs="楷体_GB2312"/>
          <w:b/>
          <w:bCs/>
          <w:kern w:val="0"/>
          <w:sz w:val="24"/>
          <w:szCs w:val="24"/>
        </w:rPr>
      </w:pPr>
      <w:bookmarkStart w:id="1615" w:name="_Toc35499387"/>
      <w:bookmarkStart w:id="1616" w:name="_Toc8848"/>
      <w:bookmarkStart w:id="1617" w:name="_Toc2691"/>
      <w:bookmarkStart w:id="1618" w:name="_Toc18680"/>
      <w:bookmarkStart w:id="1619" w:name="_Toc27321"/>
      <w:bookmarkStart w:id="1620" w:name="_Toc30496"/>
      <w:bookmarkStart w:id="1621" w:name="_Toc9843"/>
      <w:bookmarkStart w:id="1622" w:name="_Toc14612"/>
      <w:bookmarkStart w:id="1623" w:name="_Toc2140"/>
      <w:bookmarkStart w:id="1624" w:name="_Toc13743"/>
      <w:bookmarkStart w:id="1625" w:name="_Toc22630"/>
      <w:r>
        <w:rPr>
          <w:rFonts w:hint="eastAsia" w:ascii="楷体_GB2312" w:hAnsi="楷体_GB2312" w:eastAsia="楷体_GB2312" w:cs="楷体_GB2312"/>
          <w:b/>
          <w:bCs/>
          <w:kern w:val="0"/>
          <w:sz w:val="30"/>
          <w:szCs w:val="30"/>
        </w:rPr>
        <w:br w:type="page"/>
      </w:r>
      <w:bookmarkStart w:id="1626" w:name="_Toc11524"/>
      <w:bookmarkStart w:id="1627" w:name="_Toc9562"/>
      <w:bookmarkStart w:id="1628" w:name="_Toc13123"/>
      <w:bookmarkStart w:id="1629" w:name="_Toc25399"/>
      <w:bookmarkStart w:id="1630" w:name="_Toc16723"/>
      <w:bookmarkStart w:id="1631" w:name="_Toc14984"/>
      <w:bookmarkStart w:id="1632" w:name="_Toc21704"/>
      <w:bookmarkStart w:id="1633" w:name="_Toc8475"/>
      <w:bookmarkStart w:id="1634" w:name="_Toc5968"/>
      <w:bookmarkStart w:id="1635" w:name="_Toc29586"/>
      <w:bookmarkStart w:id="1636" w:name="_Toc17167"/>
    </w:p>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1637" w:name="_Toc7307"/>
      <w:bookmarkStart w:id="1638" w:name="_Toc27222"/>
      <w:bookmarkStart w:id="1639" w:name="_Toc13724"/>
      <w:bookmarkStart w:id="1640" w:name="_Toc11766"/>
      <w:bookmarkStart w:id="1641" w:name="_Toc4927"/>
      <w:bookmarkStart w:id="1642" w:name="_Toc11398"/>
      <w:bookmarkStart w:id="1643" w:name="_Toc8542"/>
      <w:bookmarkStart w:id="1644" w:name="_Toc24689"/>
      <w:bookmarkStart w:id="1645" w:name="_Toc17477"/>
      <w:bookmarkStart w:id="1646" w:name="_Toc21473"/>
      <w:bookmarkStart w:id="1647" w:name="_Toc29908"/>
      <w:bookmarkStart w:id="1648" w:name="_Toc7143"/>
      <w:bookmarkStart w:id="1649" w:name="_Toc10408"/>
      <w:bookmarkStart w:id="1650" w:name="_Toc1077"/>
      <w:bookmarkStart w:id="1651" w:name="_Toc15600"/>
      <w:bookmarkStart w:id="1652" w:name="_Toc5709"/>
      <w:bookmarkStart w:id="1653" w:name="_Toc9369"/>
      <w:r>
        <w:rPr>
          <w:rFonts w:hint="eastAsia" w:ascii="楷体_GB2312" w:hAnsi="楷体_GB2312" w:eastAsia="楷体_GB2312" w:cs="楷体_GB2312"/>
          <w:b/>
          <w:bCs/>
          <w:kern w:val="0"/>
          <w:sz w:val="30"/>
          <w:szCs w:val="30"/>
        </w:rPr>
        <w:t>风险自留的相关情况</w:t>
      </w:r>
      <w:bookmarkEnd w:id="1637"/>
      <w:bookmarkEnd w:id="1638"/>
      <w:bookmarkEnd w:id="1639"/>
      <w:bookmarkEnd w:id="1640"/>
      <w:bookmarkEnd w:id="1641"/>
    </w:p>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42"/>
    <w:bookmarkEnd w:id="1643"/>
    <w:bookmarkEnd w:id="1644"/>
    <w:bookmarkEnd w:id="1645"/>
    <w:bookmarkEnd w:id="1646"/>
    <w:bookmarkEnd w:id="1647"/>
    <w:bookmarkEnd w:id="1648"/>
    <w:bookmarkEnd w:id="1649"/>
    <w:bookmarkEnd w:id="1650"/>
    <w:bookmarkEnd w:id="1651"/>
    <w:bookmarkEnd w:id="1652"/>
    <w:bookmarkEnd w:id="1653"/>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b/>
          <w:bCs/>
          <w:snapToGrid w:val="0"/>
          <w:color w:val="FF0000"/>
          <w:kern w:val="0"/>
          <w:sz w:val="24"/>
          <w:szCs w:val="24"/>
        </w:rPr>
        <w:t>【发起机构拟不自持次级或发起机构未自持次级的情形】</w:t>
      </w:r>
      <w:r>
        <w:rPr>
          <w:rFonts w:hint="eastAsia" w:ascii="楷体_GB2312" w:hAnsi="楷体_GB2312" w:eastAsia="楷体_GB2312" w:cs="楷体_GB2312"/>
          <w:snapToGrid w:val="0"/>
          <w:kern w:val="0"/>
          <w:sz w:val="24"/>
          <w:szCs w:val="24"/>
        </w:rPr>
        <w:t>发起机构无风险自留。</w:t>
      </w:r>
    </w:p>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jc w:val="both"/>
        <w:textAlignment w:val="auto"/>
        <w:rPr>
          <w:rFonts w:hint="eastAsia" w:ascii="楷体_GB2312" w:hAnsi="楷体_GB2312" w:eastAsia="楷体_GB2312" w:cs="楷体_GB2312"/>
          <w:snapToGrid w:val="0"/>
          <w:kern w:val="0"/>
          <w:sz w:val="24"/>
          <w:szCs w:val="24"/>
          <w:lang w:val="zh-CN"/>
        </w:rPr>
      </w:pPr>
      <w:r>
        <w:rPr>
          <w:rFonts w:hint="eastAsia" w:ascii="楷体_GB2312" w:hAnsi="楷体_GB2312" w:eastAsia="楷体_GB2312" w:cs="楷体_GB2312"/>
          <w:b/>
          <w:bCs/>
          <w:snapToGrid w:val="0"/>
          <w:color w:val="FF0000"/>
          <w:kern w:val="0"/>
          <w:sz w:val="24"/>
          <w:szCs w:val="24"/>
        </w:rPr>
        <w:t>【本期发行涉及次级资产支持商业票据，发起机构拟自持全部次级的情形】</w:t>
      </w:r>
      <w:r>
        <w:rPr>
          <w:rFonts w:hint="eastAsia" w:ascii="楷体_GB2312" w:hAnsi="楷体_GB2312" w:eastAsia="楷体_GB2312" w:cs="楷体_GB2312"/>
          <w:snapToGrid w:val="0"/>
          <w:kern w:val="0"/>
          <w:sz w:val="24"/>
          <w:szCs w:val="24"/>
        </w:rPr>
        <w:t>次级资产支持商业票据计划由发起机构持有，发起机构最终实际持有的次级资产支持商业票据占本次发行总金额的比例是其风险自留的比例。</w:t>
      </w:r>
    </w:p>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jc w:val="both"/>
        <w:textAlignment w:val="auto"/>
        <w:rPr>
          <w:rFonts w:hint="eastAsia" w:ascii="楷体_GB2312" w:hAnsi="楷体_GB2312" w:eastAsia="楷体_GB2312" w:cs="楷体_GB2312"/>
          <w:snapToGrid w:val="0"/>
          <w:kern w:val="0"/>
          <w:sz w:val="24"/>
          <w:szCs w:val="24"/>
          <w:lang w:val="zh-CN"/>
        </w:rPr>
      </w:pPr>
      <w:r>
        <w:rPr>
          <w:rFonts w:hint="eastAsia" w:ascii="楷体_GB2312" w:hAnsi="楷体_GB2312" w:eastAsia="楷体_GB2312" w:cs="楷体_GB2312"/>
          <w:b/>
          <w:bCs/>
          <w:snapToGrid w:val="0"/>
          <w:color w:val="FF0000"/>
          <w:kern w:val="0"/>
          <w:sz w:val="24"/>
          <w:szCs w:val="24"/>
        </w:rPr>
        <w:t>【本期发行不涉及次级资产支持商业票据，发起机构已自持全部次级的情形】</w:t>
      </w:r>
      <w:r>
        <w:rPr>
          <w:rFonts w:hint="eastAsia" w:ascii="楷体_GB2312" w:hAnsi="楷体_GB2312" w:eastAsia="楷体_GB2312" w:cs="楷体_GB2312"/>
          <w:snapToGrid w:val="0"/>
          <w:kern w:val="0"/>
          <w:sz w:val="24"/>
          <w:szCs w:val="24"/>
        </w:rPr>
        <w:t>次级资产支持商业票据已由发起机构持有，发起机构实际持有的次级资产支持商业票据占信托项下所有资产支持商业票据未偿本金余额的比例是其风险自留的比例。</w:t>
      </w:r>
    </w:p>
    <w:p>
      <w:pPr>
        <w:keepNext w:val="0"/>
        <w:keepLines w:val="0"/>
        <w:pageBreakBefore w:val="0"/>
        <w:widowControl w:val="0"/>
        <w:kinsoku/>
        <w:wordWrap/>
        <w:overflowPunct/>
        <w:topLinePunct w:val="0"/>
        <w:bidi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i/>
          <w:iCs/>
          <w:snapToGrid w:val="0"/>
          <w:color w:val="FF0000"/>
          <w:kern w:val="0"/>
          <w:sz w:val="24"/>
          <w:szCs w:val="24"/>
          <w:u w:val="single"/>
        </w:rPr>
      </w:pPr>
      <w:r>
        <w:rPr>
          <w:rFonts w:hint="eastAsia" w:ascii="楷体_GB2312" w:hAnsi="楷体_GB2312" w:eastAsia="楷体_GB2312" w:cs="楷体_GB2312"/>
          <w:b/>
          <w:bCs/>
          <w:i/>
          <w:iCs/>
          <w:snapToGrid w:val="0"/>
          <w:color w:val="FF0000"/>
          <w:kern w:val="0"/>
          <w:sz w:val="24"/>
          <w:szCs w:val="24"/>
          <w:u w:val="single"/>
        </w:rPr>
        <w:t>风险自留情况的相关表述</w:t>
      </w:r>
      <w:r>
        <w:rPr>
          <w:rFonts w:hint="eastAsia" w:ascii="楷体_GB2312" w:hAnsi="楷体_GB2312" w:eastAsia="楷体_GB2312" w:cs="楷体_GB2312"/>
          <w:b/>
          <w:bCs/>
          <w:i/>
          <w:iCs/>
          <w:snapToGrid w:val="0"/>
          <w:color w:val="FF0000"/>
          <w:kern w:val="0"/>
          <w:sz w:val="24"/>
          <w:szCs w:val="24"/>
          <w:u w:val="single"/>
          <w:lang w:eastAsia="zh-CN"/>
        </w:rPr>
        <w:t>应根据</w:t>
      </w:r>
      <w:r>
        <w:rPr>
          <w:rFonts w:hint="eastAsia" w:ascii="楷体_GB2312" w:hAnsi="楷体_GB2312" w:eastAsia="楷体_GB2312" w:cs="楷体_GB2312"/>
          <w:b/>
          <w:bCs/>
          <w:i/>
          <w:iCs/>
          <w:snapToGrid w:val="0"/>
          <w:color w:val="FF0000"/>
          <w:kern w:val="0"/>
          <w:sz w:val="24"/>
          <w:szCs w:val="24"/>
          <w:u w:val="single"/>
        </w:rPr>
        <w:t>项目实际情况进行调整。</w:t>
      </w:r>
    </w:p>
    <w:p>
      <w:pPr>
        <w:spacing w:after="120" w:afterLines="50" w:line="300" w:lineRule="auto"/>
        <w:jc w:val="both"/>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1654" w:name="_Toc20632"/>
      <w:bookmarkStart w:id="1655" w:name="_Toc26657"/>
      <w:bookmarkStart w:id="1656" w:name="_Toc12769"/>
      <w:bookmarkStart w:id="1657" w:name="_Toc22879"/>
      <w:bookmarkStart w:id="1658" w:name="_Toc31257"/>
      <w:bookmarkStart w:id="1659" w:name="_Toc6048"/>
      <w:bookmarkStart w:id="1660" w:name="_Toc9208"/>
      <w:bookmarkStart w:id="1661" w:name="_Toc8197"/>
      <w:bookmarkStart w:id="1662" w:name="_Toc24948"/>
      <w:bookmarkStart w:id="1663" w:name="_Toc8519"/>
      <w:bookmarkStart w:id="1664" w:name="_Toc12365"/>
      <w:bookmarkStart w:id="1665" w:name="_Toc5077"/>
      <w:bookmarkStart w:id="1666" w:name="_Toc3282"/>
      <w:bookmarkStart w:id="1667" w:name="_Toc17014"/>
      <w:bookmarkStart w:id="1668" w:name="_Toc18353"/>
      <w:bookmarkStart w:id="1669" w:name="_Toc29567"/>
      <w:bookmarkStart w:id="1670" w:name="_Toc14853"/>
      <w:bookmarkStart w:id="1671" w:name="_Toc9241"/>
      <w:bookmarkStart w:id="1672" w:name="_Toc13019"/>
      <w:bookmarkStart w:id="1673" w:name="_Toc19337"/>
      <w:bookmarkStart w:id="1674" w:name="_Toc32336"/>
      <w:bookmarkStart w:id="1675" w:name="_Toc21577"/>
      <w:bookmarkStart w:id="1676" w:name="_Toc13752"/>
      <w:bookmarkStart w:id="1677" w:name="_Toc30633"/>
      <w:bookmarkStart w:id="1678" w:name="_Toc14164"/>
      <w:bookmarkStart w:id="1679" w:name="_Toc13018"/>
      <w:bookmarkStart w:id="1680" w:name="_Toc7765"/>
      <w:bookmarkStart w:id="1681" w:name="_Toc25139"/>
      <w:bookmarkStart w:id="1682" w:name="_Toc20246"/>
      <w:bookmarkStart w:id="1683" w:name="_Toc4336"/>
      <w:bookmarkStart w:id="1684" w:name="_Toc7293"/>
      <w:bookmarkStart w:id="1685" w:name="_Toc21929"/>
      <w:bookmarkStart w:id="1686" w:name="_Toc31409"/>
      <w:bookmarkStart w:id="1687" w:name="_Toc13401"/>
      <w:bookmarkStart w:id="1688" w:name="_Toc26465"/>
      <w:bookmarkStart w:id="1689" w:name="_Toc21392"/>
      <w:bookmarkStart w:id="1690" w:name="_Toc15429"/>
      <w:bookmarkStart w:id="1691" w:name="_Toc35499388"/>
      <w:bookmarkStart w:id="1692" w:name="_Toc25006"/>
      <w:r>
        <w:rPr>
          <w:rFonts w:hint="eastAsia" w:ascii="楷体_GB2312" w:hAnsi="楷体_GB2312" w:eastAsia="楷体_GB2312" w:cs="楷体_GB2312"/>
          <w:b/>
          <w:bCs/>
          <w:kern w:val="0"/>
          <w:sz w:val="30"/>
          <w:szCs w:val="30"/>
        </w:rPr>
        <w:t>募集资金用途及合法合规性声明</w:t>
      </w:r>
      <w:bookmarkEnd w:id="1654"/>
      <w:bookmarkEnd w:id="1655"/>
      <w:bookmarkEnd w:id="1656"/>
      <w:bookmarkEnd w:id="1657"/>
      <w:bookmarkEnd w:id="1658"/>
    </w:p>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Pr>
        <w:keepNext w:val="0"/>
        <w:keepLines w:val="0"/>
        <w:pageBreakBefore w:val="0"/>
        <w:widowControl w:val="0"/>
        <w:kinsoku/>
        <w:wordWrap/>
        <w:overflowPunct/>
        <w:topLinePunct w:val="0"/>
        <w:bidi w:val="0"/>
        <w:spacing w:before="157" w:beforeLines="50" w:after="120" w:afterLines="50" w:line="240" w:lineRule="atLeast"/>
        <w:ind w:firstLine="482"/>
        <w:jc w:val="both"/>
        <w:textAlignment w:val="auto"/>
        <w:outlineLvl w:val="2"/>
        <w:rPr>
          <w:rFonts w:hint="eastAsia" w:ascii="楷体_GB2312" w:hAnsi="楷体_GB2312" w:eastAsia="楷体_GB2312" w:cs="楷体_GB2312"/>
          <w:b/>
          <w:bCs/>
          <w:sz w:val="24"/>
          <w:szCs w:val="24"/>
        </w:rPr>
      </w:pPr>
      <w:bookmarkStart w:id="1693" w:name="_Toc14763"/>
      <w:bookmarkStart w:id="1694" w:name="_Toc10480"/>
      <w:bookmarkStart w:id="1695" w:name="_Toc11738"/>
      <w:bookmarkStart w:id="1696" w:name="_Toc8397"/>
      <w:bookmarkStart w:id="1697" w:name="_Toc4531"/>
      <w:bookmarkStart w:id="1698" w:name="_Toc24790"/>
      <w:bookmarkStart w:id="1699" w:name="_Toc25201"/>
      <w:bookmarkStart w:id="1700" w:name="_Toc62"/>
      <w:bookmarkStart w:id="1701" w:name="_Toc30824"/>
      <w:bookmarkStart w:id="1702" w:name="_Toc19891"/>
      <w:bookmarkStart w:id="1703" w:name="_Toc23936"/>
      <w:bookmarkStart w:id="1704" w:name="_Toc727"/>
      <w:bookmarkStart w:id="1705" w:name="_Toc8657"/>
      <w:bookmarkStart w:id="1706" w:name="_Toc1597"/>
      <w:bookmarkStart w:id="1707" w:name="_Toc28257"/>
      <w:bookmarkStart w:id="1708" w:name="_Toc2579"/>
      <w:bookmarkStart w:id="1709" w:name="_Toc21569"/>
      <w:r>
        <w:rPr>
          <w:rFonts w:hint="eastAsia" w:ascii="楷体_GB2312" w:hAnsi="楷体_GB2312" w:eastAsia="楷体_GB2312" w:cs="楷体_GB2312"/>
          <w:b/>
          <w:bCs/>
          <w:sz w:val="24"/>
          <w:szCs w:val="24"/>
        </w:rPr>
        <w:t>一、募集资金用途</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b/>
          <w:bCs/>
          <w:snapToGrid w:val="0"/>
          <w:color w:val="FF0000"/>
        </w:rPr>
        <w:t>【信托项下首次发行或受让信托受益权后再次发行的情形】</w:t>
      </w:r>
      <w:r>
        <w:rPr>
          <w:rFonts w:hint="eastAsia" w:ascii="楷体_GB2312" w:hAnsi="楷体_GB2312" w:eastAsia="楷体_GB2312" w:cs="楷体_GB2312"/>
          <w:snapToGrid w:val="0"/>
        </w:rPr>
        <w:t>本期资产支持商业票据拟发行【  】亿元，募集资金用于【</w:t>
      </w:r>
      <w:r>
        <w:rPr>
          <w:rFonts w:hint="eastAsia" w:ascii="楷体_GB2312" w:hAnsi="楷体_GB2312" w:eastAsia="楷体_GB2312" w:cs="楷体_GB2312"/>
          <w:snapToGrid w:val="0"/>
          <w:u w:val="single"/>
        </w:rPr>
        <w:t>补充发起机构流动资金/偿还发起机构有息负债/项目投资/（其他）</w:t>
      </w:r>
      <w:r>
        <w:rPr>
          <w:rFonts w:hint="eastAsia" w:ascii="楷体_GB2312" w:hAnsi="楷体_GB2312" w:eastAsia="楷体_GB2312" w:cs="楷体_GB2312"/>
          <w:snapToGrid w:val="0"/>
        </w:rPr>
        <w:t>】，符合国家宏观调控和产业政策要求。</w:t>
      </w:r>
    </w:p>
    <w:p>
      <w:pPr>
        <w:pStyle w:val="110"/>
        <w:keepNext w:val="0"/>
        <w:keepLines w:val="0"/>
        <w:pageBreakBefore w:val="0"/>
        <w:widowControl w:val="0"/>
        <w:kinsoku/>
        <w:wordWrap/>
        <w:overflowPunct/>
        <w:topLinePunct w:val="0"/>
        <w:bidi w:val="0"/>
        <w:spacing w:before="157" w:beforeLines="50" w:after="120" w:afterLines="50" w:line="240" w:lineRule="atLeast"/>
        <w:ind w:firstLine="482" w:firstLineChars="200"/>
        <w:jc w:val="both"/>
        <w:textAlignment w:val="auto"/>
        <w:rPr>
          <w:rFonts w:hint="eastAsia" w:hAnsi="楷体_GB2312"/>
          <w:snapToGrid w:val="0"/>
        </w:rPr>
      </w:pPr>
      <w:r>
        <w:rPr>
          <w:rFonts w:hint="eastAsia" w:hAnsi="楷体_GB2312"/>
          <w:b/>
          <w:bCs/>
          <w:snapToGrid w:val="0"/>
          <w:color w:val="FF0000"/>
        </w:rPr>
        <w:t>【滚动发行不涉及追加交付资产的情形】</w:t>
      </w:r>
      <w:r>
        <w:rPr>
          <w:rFonts w:hint="eastAsia" w:hAnsi="楷体_GB2312"/>
          <w:snapToGrid w:val="0"/>
          <w:color w:val="auto"/>
        </w:rPr>
        <w:t>本期</w:t>
      </w:r>
      <w:r>
        <w:rPr>
          <w:rFonts w:hint="eastAsia" w:hAnsi="楷体_GB2312"/>
          <w:snapToGrid w:val="0"/>
        </w:rPr>
        <w:t>资产支持商业票据拟发行</w:t>
      </w:r>
      <w:r>
        <w:rPr>
          <w:rFonts w:hint="eastAsia" w:hAnsi="楷体_GB2312"/>
          <w:snapToGrid w:val="0"/>
          <w:color w:val="auto"/>
        </w:rPr>
        <w:t>【  】</w:t>
      </w:r>
      <w:r>
        <w:rPr>
          <w:rFonts w:hint="eastAsia" w:hAnsi="楷体_GB2312"/>
          <w:snapToGrid w:val="0"/>
        </w:rPr>
        <w:t>亿元，募集资金拟用于【</w:t>
      </w:r>
      <w:r>
        <w:rPr>
          <w:rFonts w:hint="eastAsia" w:hAnsi="楷体_GB2312"/>
          <w:snapToGrid w:val="0"/>
          <w:u w:val="single"/>
        </w:rPr>
        <w:t>支付信托受益权转让对价/（其他）</w:t>
      </w:r>
      <w:r>
        <w:rPr>
          <w:rFonts w:hint="eastAsia" w:hAnsi="楷体_GB2312"/>
          <w:snapToGrid w:val="0"/>
        </w:rPr>
        <w:t>】，符合国家宏观调控和产业政策要求。</w:t>
      </w:r>
    </w:p>
    <w:p>
      <w:pPr>
        <w:pStyle w:val="110"/>
        <w:keepNext w:val="0"/>
        <w:keepLines w:val="0"/>
        <w:pageBreakBefore w:val="0"/>
        <w:widowControl w:val="0"/>
        <w:kinsoku/>
        <w:wordWrap/>
        <w:overflowPunct/>
        <w:topLinePunct w:val="0"/>
        <w:bidi w:val="0"/>
        <w:spacing w:before="157" w:beforeLines="50" w:after="120" w:afterLines="50" w:line="240" w:lineRule="atLeast"/>
        <w:ind w:firstLine="482" w:firstLineChars="200"/>
        <w:jc w:val="both"/>
        <w:textAlignment w:val="auto"/>
      </w:pPr>
      <w:r>
        <w:rPr>
          <w:rFonts w:hint="eastAsia" w:hAnsi="楷体_GB2312"/>
          <w:b/>
          <w:bCs/>
          <w:snapToGrid w:val="0"/>
          <w:color w:val="FF0000"/>
        </w:rPr>
        <w:t>【滚动发行涉及追加交付资产的情形】</w:t>
      </w:r>
      <w:r>
        <w:rPr>
          <w:rFonts w:hint="eastAsia" w:hAnsi="楷体_GB2312"/>
          <w:snapToGrid w:val="0"/>
          <w:color w:val="auto"/>
        </w:rPr>
        <w:t>本期</w:t>
      </w:r>
      <w:r>
        <w:rPr>
          <w:rFonts w:hint="eastAsia" w:hAnsi="楷体_GB2312"/>
          <w:snapToGrid w:val="0"/>
        </w:rPr>
        <w:t>资产支持商业票据拟发行</w:t>
      </w:r>
      <w:r>
        <w:rPr>
          <w:rFonts w:hint="eastAsia" w:hAnsi="楷体_GB2312"/>
          <w:snapToGrid w:val="0"/>
          <w:color w:val="auto"/>
        </w:rPr>
        <w:t>【  】</w:t>
      </w:r>
      <w:r>
        <w:rPr>
          <w:rFonts w:hint="eastAsia" w:hAnsi="楷体_GB2312"/>
          <w:snapToGrid w:val="0"/>
        </w:rPr>
        <w:t>亿元，其中</w:t>
      </w:r>
      <w:r>
        <w:rPr>
          <w:rFonts w:hint="eastAsia" w:hAnsi="楷体_GB2312"/>
          <w:snapToGrid w:val="0"/>
          <w:color w:val="auto"/>
        </w:rPr>
        <w:t>【  】</w:t>
      </w:r>
      <w:r>
        <w:rPr>
          <w:rFonts w:hint="eastAsia" w:hAnsi="楷体_GB2312"/>
          <w:snapToGrid w:val="0"/>
        </w:rPr>
        <w:t>亿元拟用于【</w:t>
      </w:r>
      <w:r>
        <w:rPr>
          <w:rFonts w:hint="eastAsia" w:hAnsi="楷体_GB2312"/>
          <w:snapToGrid w:val="0"/>
          <w:u w:val="single"/>
        </w:rPr>
        <w:t>支付信托受益权转让对价/（其他）</w:t>
      </w:r>
      <w:r>
        <w:rPr>
          <w:rFonts w:hint="eastAsia" w:hAnsi="楷体_GB2312"/>
          <w:snapToGrid w:val="0"/>
        </w:rPr>
        <w:t>】，</w:t>
      </w:r>
      <w:r>
        <w:rPr>
          <w:rFonts w:hint="eastAsia" w:hAnsi="楷体_GB2312"/>
          <w:snapToGrid w:val="0"/>
          <w:color w:val="auto"/>
        </w:rPr>
        <w:t>【  】</w:t>
      </w:r>
      <w:r>
        <w:rPr>
          <w:rFonts w:hint="eastAsia" w:hAnsi="楷体_GB2312"/>
          <w:snapToGrid w:val="0"/>
        </w:rPr>
        <w:t>亿元涉及追加交付资产，拟用于【</w:t>
      </w:r>
      <w:r>
        <w:rPr>
          <w:rFonts w:hint="eastAsia" w:hAnsi="楷体_GB2312"/>
          <w:snapToGrid w:val="0"/>
          <w:u w:val="single"/>
        </w:rPr>
        <w:t>补充发起机构流动资金/偿还发起机构有息负债/项目投资/（其他）</w:t>
      </w:r>
      <w:r>
        <w:rPr>
          <w:rFonts w:hint="eastAsia" w:hAnsi="楷体_GB2312"/>
          <w:snapToGrid w:val="0"/>
        </w:rPr>
        <w:t>】，符合国家宏观调控和产业政策要求。</w:t>
      </w:r>
    </w:p>
    <w:p>
      <w:pPr>
        <w:keepNext w:val="0"/>
        <w:keepLines w:val="0"/>
        <w:pageBreakBefore w:val="0"/>
        <w:widowControl w:val="0"/>
        <w:kinsoku/>
        <w:wordWrap/>
        <w:overflowPunct/>
        <w:topLinePunct w:val="0"/>
        <w:bidi w:val="0"/>
        <w:spacing w:before="157" w:beforeLines="50" w:after="120" w:afterLines="50" w:line="240" w:lineRule="atLeast"/>
        <w:ind w:firstLine="482"/>
        <w:jc w:val="both"/>
        <w:textAlignment w:val="auto"/>
        <w:outlineLvl w:val="2"/>
        <w:rPr>
          <w:rFonts w:hint="eastAsia" w:ascii="楷体_GB2312" w:hAnsi="楷体_GB2312" w:eastAsia="楷体_GB2312" w:cs="楷体_GB2312"/>
          <w:b/>
          <w:bCs/>
          <w:sz w:val="24"/>
          <w:szCs w:val="24"/>
        </w:rPr>
      </w:pPr>
      <w:bookmarkStart w:id="1710" w:name="_Toc23931"/>
      <w:bookmarkStart w:id="1711" w:name="_Toc14829"/>
      <w:bookmarkStart w:id="1712" w:name="_Toc3203"/>
      <w:bookmarkStart w:id="1713" w:name="_Toc1613"/>
      <w:bookmarkStart w:id="1714" w:name="_Toc25660"/>
      <w:bookmarkStart w:id="1715" w:name="_Toc15754"/>
      <w:bookmarkStart w:id="1716" w:name="_Toc9698"/>
      <w:bookmarkStart w:id="1717" w:name="_Toc1579"/>
      <w:bookmarkStart w:id="1718" w:name="_Toc12951"/>
      <w:bookmarkStart w:id="1719" w:name="_Toc28226"/>
      <w:bookmarkStart w:id="1720" w:name="_Toc30339"/>
      <w:bookmarkStart w:id="1721" w:name="_Toc30024"/>
      <w:bookmarkStart w:id="1722" w:name="_Toc19904"/>
      <w:bookmarkStart w:id="1723" w:name="_Toc3277"/>
      <w:bookmarkStart w:id="1724" w:name="_Toc23772"/>
      <w:bookmarkStart w:id="1725" w:name="_Toc28529"/>
      <w:bookmarkStart w:id="1726" w:name="_Toc25490"/>
      <w:r>
        <w:rPr>
          <w:rFonts w:hint="eastAsia" w:ascii="楷体_GB2312" w:hAnsi="楷体_GB2312" w:eastAsia="楷体_GB2312" w:cs="楷体_GB2312"/>
          <w:b/>
          <w:bCs/>
          <w:sz w:val="24"/>
          <w:szCs w:val="24"/>
        </w:rPr>
        <w:t>二、承诺</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在本期资产支持商业票据存续期间变更资金用途前及时在交易商协会认可的信息披露渠道向投资人披露有关信息。</w:t>
      </w:r>
    </w:p>
    <w:p>
      <w:pPr>
        <w:pStyle w:val="110"/>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hAnsi="楷体_GB2312"/>
        </w:rPr>
      </w:pPr>
      <w:r>
        <w:rPr>
          <w:rFonts w:hint="eastAsia" w:hAnsi="楷体_GB2312"/>
          <w:snapToGrid w:val="0"/>
        </w:rPr>
        <w:t>本期募集资金用途符合国家法律法规及相关政策要求，</w:t>
      </w:r>
      <w:r>
        <w:rPr>
          <w:rFonts w:hint="eastAsia" w:hAnsi="楷体_GB2312"/>
        </w:rPr>
        <w:t>按照实需原则用于生产经营活动，不用于套利、脱实向虚。</w:t>
      </w:r>
      <w:r>
        <w:rPr>
          <w:rFonts w:hint="eastAsia" w:hAnsi="楷体_GB2312"/>
          <w:snapToGrid w:val="0"/>
        </w:rPr>
        <w:t>不</w:t>
      </w:r>
      <w:r>
        <w:rPr>
          <w:rFonts w:hint="eastAsia"/>
        </w:rPr>
        <w:t>用于归还金融子公司的有息负债、对金融子公司出资，不直接用于参股公司、上市公司二级市场股票投资等。</w:t>
      </w:r>
    </w:p>
    <w:p>
      <w:pPr>
        <w:pStyle w:val="110"/>
        <w:keepNext w:val="0"/>
        <w:keepLines w:val="0"/>
        <w:pageBreakBefore w:val="0"/>
        <w:widowControl w:val="0"/>
        <w:kinsoku/>
        <w:wordWrap/>
        <w:overflowPunct/>
        <w:topLinePunct w:val="0"/>
        <w:bidi w:val="0"/>
        <w:spacing w:before="157" w:beforeLines="50" w:after="120" w:afterLines="50" w:line="240" w:lineRule="atLeast"/>
        <w:ind w:firstLine="482" w:firstLineChars="200"/>
        <w:jc w:val="both"/>
        <w:textAlignment w:val="auto"/>
        <w:rPr>
          <w:rFonts w:hint="eastAsia" w:hAnsi="楷体_GB2312"/>
          <w:b/>
          <w:bCs/>
          <w:i/>
          <w:iCs/>
          <w:snapToGrid w:val="0"/>
          <w:color w:val="FF0000"/>
          <w:u w:val="single"/>
        </w:rPr>
      </w:pPr>
      <w:r>
        <w:rPr>
          <w:rFonts w:hint="eastAsia" w:hAnsi="楷体_GB2312"/>
          <w:b/>
          <w:bCs/>
          <w:i/>
          <w:iCs/>
          <w:snapToGrid w:val="0"/>
          <w:color w:val="FF0000"/>
          <w:u w:val="single"/>
        </w:rPr>
        <w:t>涉及特定产品或行业的，</w:t>
      </w:r>
      <w:r>
        <w:rPr>
          <w:rFonts w:hint="eastAsia" w:hAnsi="楷体_GB2312"/>
          <w:b/>
          <w:bCs/>
          <w:i/>
          <w:iCs/>
          <w:snapToGrid w:val="0"/>
          <w:color w:val="FF0000"/>
          <w:u w:val="single"/>
          <w:lang w:val="en-US" w:eastAsia="zh-CN"/>
        </w:rPr>
        <w:t>应</w:t>
      </w:r>
      <w:r>
        <w:rPr>
          <w:rFonts w:hint="eastAsia" w:hAnsi="楷体_GB2312"/>
          <w:b/>
          <w:bCs/>
          <w:i/>
          <w:iCs/>
          <w:snapToGrid w:val="0"/>
          <w:color w:val="FF0000"/>
          <w:u w:val="single"/>
        </w:rPr>
        <w:t>按照《非金融企业债务融资工具公开发行注册文件表格体系》对应补充表格的要求进行披露、承诺。</w:t>
      </w:r>
    </w:p>
    <w:p>
      <w:pPr>
        <w:keepNext w:val="0"/>
        <w:keepLines w:val="0"/>
        <w:pageBreakBefore w:val="0"/>
        <w:widowControl w:val="0"/>
        <w:kinsoku/>
        <w:wordWrap/>
        <w:overflowPunct/>
        <w:topLinePunct w:val="0"/>
        <w:bidi w:val="0"/>
        <w:spacing w:before="157" w:beforeLines="50" w:after="120" w:afterLines="50" w:line="240" w:lineRule="atLeast"/>
        <w:ind w:firstLine="482"/>
        <w:jc w:val="both"/>
        <w:textAlignment w:val="auto"/>
        <w:outlineLvl w:val="2"/>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三、偿付来源</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2"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b/>
          <w:bCs/>
          <w:color w:val="FF0000"/>
          <w:kern w:val="0"/>
          <w:sz w:val="24"/>
          <w:szCs w:val="24"/>
        </w:rPr>
        <w:t>【预计下一期进行滚动发行的情形】</w:t>
      </w:r>
      <w:r>
        <w:rPr>
          <w:rFonts w:hint="eastAsia" w:ascii="楷体_GB2312" w:hAnsi="楷体_GB2312" w:eastAsia="楷体_GB2312" w:cs="楷体_GB2312"/>
          <w:kern w:val="0"/>
          <w:sz w:val="24"/>
          <w:szCs w:val="24"/>
        </w:rPr>
        <w:t>本信托项下的优先级资产支持商业票据预计分【</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期发行。除最后一期优先级资产支持商业票据外，预计各期优先级资产支持商业票据本息的偿付来源为【基础资产的回收款和其后一期优先级资产支持商业票据滚动发行的募集资金/（其他）】。如后一期优先级资产支持商业票据滚动发行失败</w:t>
      </w:r>
      <w:r>
        <w:rPr>
          <w:rStyle w:val="48"/>
          <w:rFonts w:hint="eastAsia" w:ascii="楷体_GB2312" w:hAnsi="楷体_GB2312" w:eastAsia="楷体_GB2312" w:cs="楷体_GB2312"/>
          <w:kern w:val="0"/>
          <w:sz w:val="24"/>
          <w:szCs w:val="24"/>
        </w:rPr>
        <w:footnoteReference w:id="27"/>
      </w:r>
      <w:r>
        <w:rPr>
          <w:rFonts w:hint="eastAsia" w:ascii="楷体_GB2312" w:hAnsi="楷体_GB2312" w:eastAsia="楷体_GB2312" w:cs="楷体_GB2312"/>
          <w:kern w:val="0"/>
          <w:sz w:val="24"/>
          <w:szCs w:val="24"/>
        </w:rPr>
        <w:t>，将通过【委托人回购资产池/委托人受让信托受益权/差额支付承诺人支付差额补足款项/（其他）】</w:t>
      </w:r>
      <w:r>
        <w:rPr>
          <w:rStyle w:val="48"/>
          <w:rFonts w:hint="eastAsia" w:ascii="楷体_GB2312" w:hAnsi="楷体_GB2312" w:eastAsia="楷体_GB2312" w:cs="楷体_GB2312"/>
          <w:kern w:val="0"/>
          <w:sz w:val="24"/>
          <w:szCs w:val="24"/>
        </w:rPr>
        <w:footnoteReference w:id="28"/>
      </w:r>
      <w:r>
        <w:rPr>
          <w:rFonts w:hint="eastAsia" w:ascii="楷体_GB2312" w:hAnsi="楷体_GB2312" w:eastAsia="楷体_GB2312" w:cs="楷体_GB2312"/>
          <w:kern w:val="0"/>
          <w:sz w:val="24"/>
          <w:szCs w:val="24"/>
        </w:rPr>
        <w:t>的方式，兑付本期优先级资产支持商业票据。</w:t>
      </w:r>
    </w:p>
    <w:p>
      <w:pPr>
        <w:pStyle w:val="2"/>
        <w:keepNext w:val="0"/>
        <w:keepLines w:val="0"/>
        <w:pageBreakBefore w:val="0"/>
        <w:widowControl w:val="0"/>
        <w:kinsoku/>
        <w:wordWrap/>
        <w:overflowPunct/>
        <w:topLinePunct w:val="0"/>
        <w:bidi w:val="0"/>
        <w:spacing w:before="157" w:beforeLines="50" w:after="120" w:afterLines="50" w:line="240" w:lineRule="atLeast"/>
        <w:ind w:firstLine="482"/>
        <w:jc w:val="both"/>
        <w:textAlignment w:val="auto"/>
        <w:rPr>
          <w:rFonts w:hint="eastAsia"/>
          <w:sz w:val="24"/>
          <w:szCs w:val="24"/>
        </w:rPr>
      </w:pPr>
      <w:r>
        <w:rPr>
          <w:rFonts w:hint="eastAsia" w:ascii="楷体_GB2312" w:hAnsi="楷体_GB2312" w:eastAsia="楷体_GB2312" w:cs="楷体_GB2312"/>
          <w:b/>
          <w:bCs/>
          <w:color w:val="FF0000"/>
          <w:sz w:val="24"/>
          <w:szCs w:val="24"/>
        </w:rPr>
        <w:t>【预计下一期不再滚动发行，由委托人回购资产或受让信托受益权的情形】</w:t>
      </w:r>
      <w:r>
        <w:rPr>
          <w:rFonts w:hint="eastAsia" w:ascii="楷体_GB2312" w:hAnsi="楷体_GB2312" w:eastAsia="楷体_GB2312" w:cs="楷体_GB2312"/>
          <w:sz w:val="24"/>
          <w:szCs w:val="24"/>
        </w:rPr>
        <w:t>预计本期优先级资产支持商业票据发行后不再滚动发行后一期，计划通过【委托人回购资产/委托人回购资产池/委托人受让信托受益权/（其他）】</w:t>
      </w:r>
      <w:r>
        <w:rPr>
          <w:rStyle w:val="48"/>
          <w:rFonts w:hint="eastAsia" w:ascii="楷体_GB2312" w:hAnsi="楷体_GB2312" w:eastAsia="楷体_GB2312" w:cs="楷体_GB2312"/>
          <w:sz w:val="24"/>
          <w:szCs w:val="24"/>
        </w:rPr>
        <w:footnoteReference w:id="29"/>
      </w:r>
      <w:r>
        <w:rPr>
          <w:rFonts w:hint="eastAsia" w:ascii="楷体_GB2312" w:hAnsi="楷体_GB2312" w:eastAsia="楷体_GB2312" w:cs="楷体_GB2312"/>
          <w:sz w:val="24"/>
          <w:szCs w:val="24"/>
        </w:rPr>
        <w:t>的方式，兑付本期优先级资产支持商业票据</w:t>
      </w:r>
      <w:r>
        <w:rPr>
          <w:rFonts w:hint="eastAsia"/>
          <w:sz w:val="24"/>
          <w:szCs w:val="24"/>
        </w:rPr>
        <w:t>。</w:t>
      </w:r>
      <w:r>
        <w:rPr>
          <w:rFonts w:hint="eastAsia" w:ascii="楷体_GB2312" w:hAnsi="楷体_GB2312" w:eastAsia="楷体_GB2312" w:cs="楷体_GB2312"/>
          <w:sz w:val="24"/>
          <w:szCs w:val="24"/>
        </w:rPr>
        <w:t>如届时可供分配的资金不足，将通过【差额支付承诺人支付回收款差额补足款项/差额支付承诺人支付滚动发行差额补足款项/（其他）】的方式补足</w:t>
      </w:r>
      <w:r>
        <w:rPr>
          <w:rFonts w:hint="eastAsia"/>
          <w:sz w:val="24"/>
          <w:szCs w:val="24"/>
        </w:rPr>
        <w:t>。</w:t>
      </w:r>
    </w:p>
    <w:p>
      <w:pPr>
        <w:pStyle w:val="110"/>
        <w:keepNext w:val="0"/>
        <w:keepLines w:val="0"/>
        <w:pageBreakBefore w:val="0"/>
        <w:widowControl w:val="0"/>
        <w:kinsoku/>
        <w:wordWrap/>
        <w:overflowPunct/>
        <w:topLinePunct w:val="0"/>
        <w:bidi w:val="0"/>
        <w:spacing w:before="157" w:beforeLines="50" w:after="120" w:afterLines="50" w:line="240" w:lineRule="atLeast"/>
        <w:ind w:firstLine="482" w:firstLineChars="200"/>
        <w:jc w:val="both"/>
        <w:textAlignment w:val="auto"/>
        <w:rPr>
          <w:rFonts w:hint="eastAsia" w:hAnsi="楷体_GB2312"/>
          <w:snapToGrid w:val="0"/>
        </w:rPr>
      </w:pPr>
      <w:r>
        <w:rPr>
          <w:rFonts w:hint="eastAsia" w:hAnsi="楷体_GB2312"/>
          <w:b/>
          <w:bCs/>
          <w:color w:val="FF0000"/>
        </w:rPr>
        <w:t>【信托项下最后一期发行且还款来源为基础资产现金流的情形】</w:t>
      </w:r>
      <w:r>
        <w:rPr>
          <w:rFonts w:hint="eastAsia" w:hAnsi="楷体_GB2312"/>
        </w:rPr>
        <w:t>本期为信托项下最后一期优先级资产支持商业票据，本息的偿付来源为【基础资产的回收款/（其他）】。</w:t>
      </w:r>
      <w:r>
        <w:rPr>
          <w:rFonts w:hint="eastAsia" w:hAnsi="楷体_GB2312"/>
        </w:rPr>
        <w:br w:type="page"/>
      </w:r>
    </w:p>
    <w:p>
      <w:pPr>
        <w:pStyle w:val="156"/>
        <w:keepNext w:val="0"/>
        <w:keepLines w:val="0"/>
        <w:pageBreakBefore w:val="0"/>
        <w:widowControl w:val="0"/>
        <w:numPr>
          <w:ilvl w:val="0"/>
          <w:numId w:val="1"/>
        </w:numPr>
        <w:kinsoku/>
        <w:wordWrap/>
        <w:topLinePunct w:val="0"/>
        <w:autoSpaceDE w:val="0"/>
        <w:autoSpaceDN w:val="0"/>
        <w:bidi w:val="0"/>
        <w:adjustRightInd w:val="0"/>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1727" w:name="_Toc3130"/>
      <w:bookmarkStart w:id="1728" w:name="_Toc16806"/>
      <w:bookmarkStart w:id="1729" w:name="_Toc23258"/>
      <w:bookmarkStart w:id="1730" w:name="_Toc7713"/>
      <w:bookmarkStart w:id="1731" w:name="_Toc26524"/>
      <w:bookmarkStart w:id="1732" w:name="_Toc11676"/>
      <w:bookmarkStart w:id="1733" w:name="_Toc16612"/>
      <w:bookmarkStart w:id="1734" w:name="_Toc9455"/>
      <w:bookmarkStart w:id="1735" w:name="_Toc6519"/>
      <w:bookmarkStart w:id="1736" w:name="_Toc25761"/>
      <w:bookmarkStart w:id="1737" w:name="_Toc6092"/>
      <w:bookmarkStart w:id="1738" w:name="_Toc14949"/>
      <w:bookmarkStart w:id="1739" w:name="_Toc13546"/>
      <w:bookmarkStart w:id="1740" w:name="_Toc17446"/>
      <w:bookmarkStart w:id="1741" w:name="_Toc26692"/>
      <w:bookmarkStart w:id="1742" w:name="_Toc35499391"/>
      <w:bookmarkStart w:id="1743" w:name="_Toc26342"/>
      <w:bookmarkStart w:id="1744" w:name="_Toc20433"/>
      <w:bookmarkStart w:id="1745" w:name="_Toc24653"/>
      <w:bookmarkStart w:id="1746" w:name="_Toc9146"/>
      <w:bookmarkStart w:id="1747" w:name="_Toc4433"/>
      <w:bookmarkStart w:id="1748" w:name="_Toc3647"/>
      <w:bookmarkStart w:id="1749" w:name="_Toc29101"/>
      <w:bookmarkStart w:id="1750" w:name="_Toc29695"/>
      <w:bookmarkStart w:id="1751" w:name="_Toc23883"/>
      <w:bookmarkStart w:id="1752" w:name="_Toc27363"/>
      <w:bookmarkStart w:id="1753" w:name="_Toc32187"/>
      <w:bookmarkStart w:id="1754" w:name="_Toc21708"/>
      <w:bookmarkStart w:id="1755" w:name="_Toc19768"/>
      <w:bookmarkStart w:id="1756" w:name="_Toc10439"/>
      <w:bookmarkStart w:id="1757" w:name="_Toc13907"/>
      <w:bookmarkStart w:id="1758" w:name="_Toc6755"/>
      <w:bookmarkStart w:id="1759" w:name="_Toc19767"/>
      <w:bookmarkStart w:id="1760" w:name="_Toc31104"/>
      <w:bookmarkStart w:id="1761" w:name="_Toc20637"/>
      <w:bookmarkStart w:id="1762" w:name="_Toc24918"/>
      <w:bookmarkStart w:id="1763" w:name="_Toc7794"/>
      <w:bookmarkStart w:id="1764" w:name="_Toc21835"/>
      <w:bookmarkStart w:id="1765" w:name="_Toc19176"/>
      <w:r>
        <w:rPr>
          <w:rFonts w:hint="eastAsia" w:ascii="楷体_GB2312" w:hAnsi="楷体_GB2312" w:eastAsia="楷体_GB2312" w:cs="楷体_GB2312"/>
          <w:b/>
          <w:bCs/>
          <w:kern w:val="0"/>
          <w:sz w:val="30"/>
          <w:szCs w:val="30"/>
        </w:rPr>
        <w:t>信息披露安排</w:t>
      </w:r>
      <w:bookmarkEnd w:id="1727"/>
      <w:bookmarkEnd w:id="1728"/>
      <w:bookmarkEnd w:id="1729"/>
      <w:bookmarkEnd w:id="1730"/>
      <w:bookmarkEnd w:id="1731"/>
    </w:p>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发起机构、发行载体管理机构将严格根据中国人民银行《银行间债券市场非金融企业债务融资工具管理办法》及中国银行间市场交易商协会《银行间债券市场非金融企业债务融资工具信息披露规则》等法律法规、规范性文件的相关规定，通过交易商协会认可的信息披露渠道向投资人披露发行及存续期的相关信息。相关事项的披露时间应不晚于企业按照境内外监管机构、市场自律组织、证券交易场所要求，或者将有关信息刊登在其他指定信息披露渠道上的时间，披露内容不低于《银行间债券市场非金融企业债务融资工具信息披露规则》及《银行间债券市场非金融企业债务融资工具存续期信息披露表格体系》要求。</w:t>
      </w:r>
    </w:p>
    <w:p>
      <w:pPr>
        <w:keepNext w:val="0"/>
        <w:keepLines w:val="0"/>
        <w:pageBreakBefore w:val="0"/>
        <w:widowControl w:val="0"/>
        <w:kinsoku/>
        <w:wordWrap/>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color w:val="FF0000"/>
          <w:kern w:val="0"/>
          <w:sz w:val="24"/>
          <w:szCs w:val="24"/>
        </w:rPr>
      </w:pPr>
      <w:bookmarkStart w:id="1766" w:name="_Toc6267"/>
      <w:bookmarkStart w:id="1767" w:name="_Toc4969"/>
      <w:bookmarkStart w:id="1768" w:name="_Toc929"/>
      <w:bookmarkStart w:id="1769" w:name="_Toc15416"/>
      <w:bookmarkStart w:id="1770" w:name="_Toc441"/>
      <w:bookmarkStart w:id="1771" w:name="_Toc35499392"/>
      <w:bookmarkStart w:id="1772" w:name="_Toc22885"/>
      <w:bookmarkStart w:id="1773" w:name="_Toc18460"/>
      <w:bookmarkStart w:id="1774" w:name="_Toc4298"/>
      <w:bookmarkStart w:id="1775" w:name="_Toc26541"/>
      <w:bookmarkStart w:id="1776" w:name="_Toc17634"/>
      <w:bookmarkStart w:id="1777" w:name="_Toc5743"/>
      <w:bookmarkStart w:id="1778" w:name="_Toc9624"/>
      <w:bookmarkStart w:id="1779" w:name="_Toc24554"/>
      <w:bookmarkStart w:id="1780" w:name="_Toc2633"/>
      <w:bookmarkStart w:id="1781" w:name="_Toc28411"/>
      <w:bookmarkStart w:id="1782" w:name="_Toc17761"/>
      <w:bookmarkStart w:id="1783" w:name="_Toc18704"/>
      <w:bookmarkStart w:id="1784" w:name="_Toc21770"/>
      <w:bookmarkStart w:id="1785" w:name="_Toc22252"/>
      <w:bookmarkStart w:id="1786" w:name="_Toc32054"/>
      <w:bookmarkStart w:id="1787" w:name="_Toc18005"/>
      <w:r>
        <w:rPr>
          <w:rFonts w:hint="eastAsia" w:ascii="楷体_GB2312" w:hAnsi="楷体_GB2312" w:eastAsia="楷体_GB2312" w:cs="楷体_GB2312"/>
          <w:b/>
          <w:bCs/>
          <w:snapToGrid w:val="0"/>
          <w:color w:val="FF0000"/>
          <w:kern w:val="0"/>
          <w:sz w:val="24"/>
          <w:szCs w:val="24"/>
        </w:rPr>
        <w:t>【基础资产现金流的获得取决于发起机构持续经营，或发起机构需持续承担基础资产现金流转付义务的情形】</w:t>
      </w:r>
    </w:p>
    <w:p>
      <w:pPr>
        <w:keepNext w:val="0"/>
        <w:keepLines w:val="0"/>
        <w:pageBreakBefore w:val="0"/>
        <w:widowControl w:val="0"/>
        <w:kinsoku/>
        <w:wordWrap/>
        <w:topLinePunct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788" w:name="_Toc14968"/>
      <w:bookmarkStart w:id="1789" w:name="_Toc18385"/>
      <w:bookmarkStart w:id="1790" w:name="_Toc7348"/>
      <w:bookmarkStart w:id="1791" w:name="_Toc19913"/>
      <w:bookmarkStart w:id="1792" w:name="_Toc8712"/>
      <w:bookmarkStart w:id="1793" w:name="_Toc20161"/>
      <w:bookmarkStart w:id="1794" w:name="_Toc27103"/>
      <w:bookmarkStart w:id="1795" w:name="_Toc30189"/>
      <w:bookmarkStart w:id="1796" w:name="_Toc13298"/>
      <w:bookmarkStart w:id="1797" w:name="_Toc27115"/>
      <w:bookmarkStart w:id="1798" w:name="_Toc29164"/>
      <w:bookmarkStart w:id="1799" w:name="_Toc32754"/>
      <w:bookmarkStart w:id="1800" w:name="_Toc20162"/>
      <w:bookmarkStart w:id="1801" w:name="_Toc10905"/>
      <w:r>
        <w:rPr>
          <w:rFonts w:hint="eastAsia" w:ascii="楷体_GB2312" w:hAnsi="楷体_GB2312" w:eastAsia="楷体_GB2312" w:cs="楷体_GB2312"/>
          <w:b/>
          <w:bCs/>
          <w:sz w:val="24"/>
          <w:szCs w:val="24"/>
        </w:rPr>
        <w:t>一、信息披露机制</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pPr>
        <w:keepNext w:val="0"/>
        <w:keepLines w:val="0"/>
        <w:pageBreakBefore w:val="0"/>
        <w:widowControl w:val="0"/>
        <w:kinsoku/>
        <w:wordWrap/>
        <w:topLinePunct w:val="0"/>
        <w:autoSpaceDE w:val="0"/>
        <w:autoSpaceDN w:val="0"/>
        <w:bidi w:val="0"/>
        <w:adjustRightInd w:val="0"/>
        <w:snapToGrid w:val="0"/>
        <w:spacing w:before="157" w:beforeLines="50" w:after="120"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（一）发起机构</w:t>
      </w:r>
    </w:p>
    <w:p>
      <w:pPr>
        <w:pStyle w:val="110"/>
        <w:keepNext w:val="0"/>
        <w:keepLines w:val="0"/>
        <w:pageBreakBefore w:val="0"/>
        <w:widowControl w:val="0"/>
        <w:kinsoku/>
        <w:wordWrap/>
        <w:topLinePunct w:val="0"/>
        <w:bidi w:val="0"/>
        <w:spacing w:before="157" w:beforeLines="50" w:after="120" w:afterLines="50" w:line="240" w:lineRule="atLeast"/>
        <w:ind w:firstLine="482" w:firstLineChars="200"/>
        <w:jc w:val="both"/>
        <w:textAlignment w:val="auto"/>
        <w:rPr>
          <w:rFonts w:hint="eastAsia" w:hAnsi="楷体_GB2312"/>
          <w:b/>
          <w:bCs/>
          <w:i/>
          <w:iCs/>
          <w:snapToGrid w:val="0"/>
          <w:color w:val="FF0000"/>
          <w:u w:val="single"/>
        </w:rPr>
      </w:pPr>
      <w:bookmarkStart w:id="1802" w:name="_Toc21375"/>
      <w:bookmarkStart w:id="1803" w:name="_Toc23546"/>
      <w:bookmarkStart w:id="1804" w:name="_Toc6403"/>
      <w:bookmarkStart w:id="1805" w:name="_Toc2450"/>
      <w:bookmarkStart w:id="1806" w:name="_Toc355"/>
      <w:bookmarkStart w:id="1807" w:name="_Toc28299"/>
      <w:bookmarkStart w:id="1808" w:name="_Toc15769"/>
      <w:bookmarkStart w:id="1809" w:name="_Toc29804"/>
      <w:bookmarkStart w:id="1810" w:name="_Toc4450"/>
      <w:bookmarkStart w:id="1811" w:name="_Toc29956"/>
      <w:bookmarkStart w:id="1812" w:name="_Toc22147"/>
      <w:bookmarkStart w:id="1813" w:name="_Toc19509"/>
      <w:bookmarkStart w:id="1814" w:name="_Toc3184"/>
      <w:r>
        <w:rPr>
          <w:rFonts w:hint="eastAsia" w:hAnsi="楷体_GB2312"/>
          <w:b/>
          <w:bCs/>
          <w:i/>
          <w:iCs/>
          <w:snapToGrid w:val="0"/>
          <w:color w:val="FF0000"/>
          <w:u w:val="single"/>
        </w:rPr>
        <w:t>包括已制定信息披露内部管理制度、信息披露管理机制、负责部门等。信息披露事务负责人——姓名、职位、联系地址、电话、传真、电子信箱。</w:t>
      </w:r>
    </w:p>
    <w:p>
      <w:pPr>
        <w:keepNext w:val="0"/>
        <w:keepLines w:val="0"/>
        <w:pageBreakBefore w:val="0"/>
        <w:widowControl w:val="0"/>
        <w:kinsoku/>
        <w:wordWrap/>
        <w:topLinePunct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815" w:name="_Toc32324"/>
      <w:bookmarkStart w:id="1816" w:name="_Toc28260"/>
      <w:r>
        <w:rPr>
          <w:rFonts w:hint="eastAsia" w:ascii="楷体_GB2312" w:hAnsi="楷体_GB2312" w:eastAsia="楷体_GB2312" w:cs="楷体_GB2312"/>
          <w:b/>
          <w:bCs/>
          <w:sz w:val="24"/>
          <w:szCs w:val="24"/>
        </w:rPr>
        <w:t>二、信息披露文件</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pPr>
        <w:keepNext w:val="0"/>
        <w:keepLines w:val="0"/>
        <w:pageBreakBefore w:val="0"/>
        <w:widowControl w:val="0"/>
        <w:kinsoku/>
        <w:wordWrap/>
        <w:topLinePunct w:val="0"/>
        <w:autoSpaceDE w:val="0"/>
        <w:autoSpaceDN w:val="0"/>
        <w:bidi w:val="0"/>
        <w:adjustRightInd w:val="0"/>
        <w:snapToGrid w:val="0"/>
        <w:spacing w:before="157" w:beforeLines="50" w:after="120"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（一）发行信息披露</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发起机构发行资产支持商业票据，应当于发行前</w:t>
      </w:r>
      <w:r>
        <w:rPr>
          <w:rFonts w:hint="eastAsia" w:ascii="楷体_GB2312" w:hAnsi="楷体_GB2312" w:eastAsia="楷体_GB2312" w:cs="楷体_GB2312"/>
        </w:rPr>
        <w:t>【</w:t>
      </w:r>
      <w:r>
        <w:rPr>
          <w:rFonts w:hint="eastAsia" w:ascii="楷体_GB2312" w:hAnsi="楷体_GB2312" w:eastAsia="楷体_GB2312" w:cs="楷体_GB2312"/>
          <w:color w:val="000000"/>
          <w:u w:val="single"/>
        </w:rPr>
        <w:t xml:space="preserve">  </w:t>
      </w:r>
      <w:r>
        <w:rPr>
          <w:rFonts w:hint="eastAsia" w:ascii="楷体_GB2312" w:hAnsi="楷体_GB2312" w:eastAsia="楷体_GB2312" w:cs="楷体_GB2312"/>
        </w:rPr>
        <w:t>】</w:t>
      </w:r>
      <w:r>
        <w:rPr>
          <w:rFonts w:hint="eastAsia" w:ascii="楷体_GB2312" w:hAnsi="楷体_GB2312" w:eastAsia="楷体_GB2312" w:cs="楷体_GB2312"/>
          <w:snapToGrid w:val="0"/>
        </w:rPr>
        <w:t>个工作日披露以下文件：</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1、募集说明书；</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2、法律意见书；</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3、信用评级报告（如有）；</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4、发起机构最近三年经审计的财务报告及最近一期会计报表；</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5、信用增级机构最近三年经审计的财务报告及最近一期会计报表；</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6、交易商协会要求的其他文件。</w:t>
      </w:r>
    </w:p>
    <w:p>
      <w:pPr>
        <w:keepNext w:val="0"/>
        <w:keepLines w:val="0"/>
        <w:pageBreakBefore w:val="0"/>
        <w:widowControl w:val="0"/>
        <w:kinsoku/>
        <w:wordWrap/>
        <w:topLinePunct w:val="0"/>
        <w:autoSpaceDE w:val="0"/>
        <w:autoSpaceDN w:val="0"/>
        <w:bidi w:val="0"/>
        <w:adjustRightInd w:val="0"/>
        <w:snapToGrid w:val="0"/>
        <w:spacing w:before="157" w:beforeLines="50" w:after="120"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（二）重大事项信息披露</w:t>
      </w:r>
    </w:p>
    <w:p>
      <w:pPr>
        <w:keepNext w:val="0"/>
        <w:keepLines w:val="0"/>
        <w:pageBreakBefore w:val="0"/>
        <w:widowControl w:val="0"/>
        <w:kinsoku/>
        <w:wordWrap/>
        <w:overflowPunct w:val="0"/>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1、发起机构及信用增级机构（如有）相关事件</w:t>
      </w:r>
    </w:p>
    <w:p>
      <w:pPr>
        <w:pStyle w:val="2"/>
        <w:keepNext w:val="0"/>
        <w:keepLines w:val="0"/>
        <w:pageBreakBefore w:val="0"/>
        <w:widowControl w:val="0"/>
        <w:kinsoku/>
        <w:wordWrap/>
        <w:topLinePunct w:val="0"/>
        <w:bidi w:val="0"/>
        <w:spacing w:before="157" w:beforeLines="50" w:after="120" w:afterLines="50" w:line="240" w:lineRule="atLeast"/>
        <w:ind w:firstLine="480"/>
        <w:jc w:val="both"/>
        <w:textAlignment w:val="auto"/>
        <w:rPr>
          <w:rFonts w:hint="eastAsia" w:ascii="楷体_GB2312" w:hAnsi="楷体_GB2312" w:eastAsia="楷体_GB2312" w:cs="楷体_GB2312"/>
          <w:snapToGrid w:val="0"/>
          <w:sz w:val="24"/>
          <w:szCs w:val="24"/>
        </w:rPr>
      </w:pPr>
      <w:r>
        <w:rPr>
          <w:rFonts w:hint="eastAsia" w:ascii="楷体_GB2312" w:hAnsi="楷体_GB2312" w:eastAsia="楷体_GB2312" w:cs="楷体_GB2312"/>
          <w:snapToGrid w:val="0"/>
          <w:sz w:val="24"/>
          <w:szCs w:val="24"/>
        </w:rPr>
        <w:t>存续期内，发起机构发生可能影响资产支持商业票据偿债能力或投资者权益的重大事项时，应当及时披露，并说明事项的起因、目前的状态和可能产生的影响。所称重大事项包括但不限于：</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（1）企业名称变更；</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（2）企业生产经营状况发生重大变化，包括全部或主要业务陷入停顿、生产经营外部条件发生重大变化等；</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（3）企业变更财务报告审计机构、债务融资工具受托管理人、信用评级机构；</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（4）企业1/3以上董事、2/3以上监事、董事长、总经理或具有同等职责的人员发生变动；</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（5）企业法定代表人、董事长、总经理或具有同等职责的人员无法履行职责；</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（6）企业控股股东或者实际控制人变更，或股权结构发生重大变化；</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（7）企业提供重大资产抵押、质押，或者对外提供担保超过上年末净资产的20%；</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（8）企业发生可能影响其偿债能力的资产出售、转让、报废、无偿划转以及重大投资行为、重大资产重组；</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（9）企业发生超过上年末净资产10%的重大损失，或者放弃债权或者财产超过上年末净资产的10%；</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（10）企业股权、经营权涉及被委托管理；</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（11）企业丧失对重要子公司的实际控制权；</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（12）资产支持商业票据信用增级安排发生变更；</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（13）企业一次承担他人债务超过上年末净资产10%，或者新增借款超过上年末净资产的20%；</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（14）企业未能清偿到期债务或企业进行债务重组；</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（15）企业涉嫌违法违规被有权机关调查，受到刑事处罚、重大行政处罚或行政监管措施、市场自律组织做出的债券业务相关的处分，或者存在严重失信行为；</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（16）企业法定代表人、控股股东、实际控制人、董事、监事、高级管理人员涉嫌违法违规被有权机关调查、采取强制措施，或者存在严重失信行为；</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（17）企业涉及重大诉讼、仲裁事项；</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（18）企业发生可能影响其偿债能力的资产被查封、扣押或冻结的情况；</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（19）企业拟分配股利，或发生减资、合并、分立、解散及申请破产的情形；</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（20）企业涉及需要说明的市场传闻；</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（21）资产支持商业票据信用评级发生变化；</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（22）企业订立其他可能对其资产、负债、权益和经营成果产生重要影响的重大合同；</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（23）发行文件中约定或企业承诺的其他应当披露事项；</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（24）其他可能影响其偿债能力或投资者权益的事项。</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信用增级机构在发生以下可能影响其信用增级能力的重大事项时，应当及时披露，并说明事项的起因、目前的状态和可能产生的影响。</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（1）名称变更；</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（2）未能清偿到期债务；</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（3）未能按照约定履行债券信用增级义务或超过上年末净资产10%以上的担保责任；</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（4）发生减资、合并、分立、解散及申请破产的情形，或受到重大行政处罚；</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（5）发行文件中约定或信用增级机构承诺的其他应当披露事项；</w:t>
      </w:r>
    </w:p>
    <w:p>
      <w:pPr>
        <w:pStyle w:val="176"/>
        <w:keepNext w:val="0"/>
        <w:keepLines w:val="0"/>
        <w:pageBreakBefore w:val="0"/>
        <w:widowControl w:val="0"/>
        <w:kinsoku/>
        <w:wordWrap/>
        <w:topLinePunct w:val="0"/>
        <w:bidi w:val="0"/>
        <w:snapToGrid w:val="0"/>
        <w:spacing w:before="157" w:beforeLines="50" w:after="120"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（6）其他可能影响其信用增级能力或投资者权益的事项。</w:t>
      </w:r>
    </w:p>
    <w:p>
      <w:pPr>
        <w:pStyle w:val="110"/>
        <w:keepNext w:val="0"/>
        <w:keepLines w:val="0"/>
        <w:pageBreakBefore w:val="0"/>
        <w:widowControl w:val="0"/>
        <w:kinsoku/>
        <w:wordWrap/>
        <w:topLinePunct w:val="0"/>
        <w:bidi w:val="0"/>
        <w:spacing w:before="157" w:beforeLines="50" w:after="120" w:afterLines="50" w:line="240" w:lineRule="atLeast"/>
        <w:ind w:firstLine="480" w:firstLineChars="200"/>
        <w:jc w:val="both"/>
        <w:textAlignment w:val="auto"/>
        <w:rPr>
          <w:rFonts w:hint="eastAsia" w:hAnsi="楷体_GB2312"/>
          <w:snapToGrid w:val="0"/>
          <w:color w:val="auto"/>
        </w:rPr>
      </w:pPr>
      <w:r>
        <w:rPr>
          <w:rFonts w:hint="eastAsia" w:hAnsi="楷体_GB2312"/>
          <w:snapToGrid w:val="0"/>
          <w:color w:val="auto"/>
        </w:rPr>
        <w:t>重大事项出现泄露或市场传闻的，应当在出现该情形之日后2个工作日内履行重大事项的信息披露义务。已披露的重大事项出现重大进展或变化的，应当在进展或变化发生之日后2个工作日内披露进展或者变化情况及可能产生的影响。</w:t>
      </w:r>
    </w:p>
    <w:p>
      <w:pPr>
        <w:keepNext w:val="0"/>
        <w:keepLines w:val="0"/>
        <w:pageBreakBefore w:val="0"/>
        <w:widowControl w:val="0"/>
        <w:kinsoku/>
        <w:wordWrap/>
        <w:overflowPunct w:val="0"/>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2、资产支持商业票据相关重大事件</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资产支持商业票据存续期间发生可能对投资价值及投资决策判断有重要影响的重大事项，发行载体管理机构和发起机构应在事发后三个工作日内披露相关信息，并向交易商协会报告，重大事项包括但不限于：</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（1）发生或预期发生不能按照约定偿付资产支持商业票据收益等影响投资人利益的事项；</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（2）资产支持商业票据信用评级结果或评级展望发生不利变化（如有）；</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（3）基础资产发生或预期发生超过资产支持商业票据未偿还本金余额10%以上的损失；</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（4）基础资产的运行情况或产生现金流的能力发生重大不利变化；</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（5）发行载体管理机构、发起机构及相关中介机构或基础资产涉及违法行为、法律纠纷、信用等级调整等，可能对投资人的利益造成严重不利影响的；</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6）发行载体管理机构、发起机构及相关中介机构的经营情况发生重大变化或者作出减资、合并、分立、解散、申请破产等决定，可能降低其从事资产支持商业票据业务水平，对投资人的利益造成严重不利影响的；</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（7）可能对投资人利益产生重大影响的其他事项。</w:t>
      </w:r>
    </w:p>
    <w:p>
      <w:pPr>
        <w:keepNext w:val="0"/>
        <w:keepLines w:val="0"/>
        <w:pageBreakBefore w:val="0"/>
        <w:widowControl w:val="0"/>
        <w:kinsoku/>
        <w:wordWrap/>
        <w:topLinePunct w:val="0"/>
        <w:autoSpaceDE w:val="0"/>
        <w:autoSpaceDN w:val="0"/>
        <w:bidi w:val="0"/>
        <w:adjustRightInd w:val="0"/>
        <w:snapToGrid w:val="0"/>
        <w:spacing w:before="157" w:beforeLines="50" w:after="120"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（三）存续期内定期信息披露</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bookmarkStart w:id="1817" w:name="_Toc35499393"/>
      <w:r>
        <w:rPr>
          <w:rFonts w:hint="eastAsia" w:ascii="楷体_GB2312" w:hAnsi="楷体_GB2312" w:eastAsia="楷体_GB2312" w:cs="楷体_GB2312"/>
          <w:snapToGrid w:val="0"/>
        </w:rPr>
        <w:t>1、</w:t>
      </w:r>
      <w:bookmarkStart w:id="1818" w:name="_Toc480729932"/>
      <w:r>
        <w:rPr>
          <w:rFonts w:hint="eastAsia" w:ascii="楷体_GB2312" w:hAnsi="楷体_GB2312" w:eastAsia="楷体_GB2312" w:cs="楷体_GB2312"/>
          <w:snapToGrid w:val="0"/>
        </w:rPr>
        <w:t>发起机构及信用增级机构（如有）应当在每个会计年度结束之日后4个月内披露上一年年度报告。发起机构及信用增级机构（如有）应当在每个会计年度的上半年结束之日后2个月内披露半年度财务报表。发起机构及信用增级机构（如有）应当在每个会计年度前3个月、9个月结束后的1个月内披露季度财务报表，第一季度财务报表的披露时间不得早于上一年年度报告的披露时间。发起机构的年度报告应当包含报告期内企业主要情况、审计机构出具的审计报告、经审计的财务报表、附注以及其他必要信息。信用增级机构的年度报告应包括审计报告、经审计的财务报表及附注（如有）。财务报表应当至少包含资产负债表、利润表和现金流量表。编制合并财务报表的企业，除提供合并财务报表外，还应当披露母公司财务报表。</w:t>
      </w:r>
    </w:p>
    <w:p>
      <w:pPr>
        <w:pStyle w:val="2"/>
        <w:keepNext w:val="0"/>
        <w:keepLines w:val="0"/>
        <w:pageBreakBefore w:val="0"/>
        <w:widowControl w:val="0"/>
        <w:kinsoku/>
        <w:wordWrap/>
        <w:topLinePunct w:val="0"/>
        <w:bidi w:val="0"/>
        <w:spacing w:before="157" w:beforeLines="50" w:after="120" w:afterLines="50" w:line="240" w:lineRule="atLeast"/>
        <w:ind w:firstLine="482"/>
        <w:jc w:val="both"/>
        <w:textAlignment w:val="auto"/>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项目实际情况调整发起机构及信用增级机构（如有）定期报告安排。</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2、在资产支持商业票据存续期内，发行载体管理机构应于每个支付日前三个工作日</w:t>
      </w:r>
      <w:bookmarkEnd w:id="1818"/>
      <w:r>
        <w:rPr>
          <w:rFonts w:hint="eastAsia" w:ascii="楷体_GB2312" w:hAnsi="楷体_GB2312" w:eastAsia="楷体_GB2312" w:cs="楷体_GB2312"/>
          <w:snapToGrid w:val="0"/>
        </w:rPr>
        <w:t>披露资产运营报告。在每年4月30日、8月31日前，发行载体管理机构应分别披露上年度资产运营报告和半年度资产运营报告，年度资产运营报告需经注册会计师审计。对于资产支持商业票据发行不足两个月的，可不编制当期年度资产运营报告。收益支付频率为每年两次或两次以上的，可不编制半年度资产运营报告。</w:t>
      </w:r>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3、发行载体管理机构应与评级机构就资产支持商业票据跟踪评级的有关安排作出约定，持续跟踪受评对象信用状况的变化情况，发布定期跟踪评级结果和报告。（如有）</w:t>
      </w:r>
    </w:p>
    <w:p>
      <w:pPr>
        <w:keepNext w:val="0"/>
        <w:keepLines w:val="0"/>
        <w:pageBreakBefore w:val="0"/>
        <w:widowControl w:val="0"/>
        <w:kinsoku/>
        <w:wordWrap/>
        <w:topLinePunct w:val="0"/>
        <w:autoSpaceDE w:val="0"/>
        <w:autoSpaceDN w:val="0"/>
        <w:bidi w:val="0"/>
        <w:adjustRightInd w:val="0"/>
        <w:snapToGrid w:val="0"/>
        <w:spacing w:before="157" w:beforeLines="50" w:after="120"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bookmarkStart w:id="1819" w:name="_Toc7378"/>
      <w:r>
        <w:rPr>
          <w:rFonts w:hint="eastAsia" w:ascii="楷体_GB2312" w:hAnsi="楷体_GB2312" w:eastAsia="楷体_GB2312" w:cs="楷体_GB2312"/>
          <w:b/>
          <w:bCs/>
          <w:snapToGrid w:val="0"/>
          <w:kern w:val="0"/>
          <w:sz w:val="24"/>
          <w:szCs w:val="24"/>
        </w:rPr>
        <w:t>（四）付息</w:t>
      </w:r>
      <w:r>
        <w:rPr>
          <w:rFonts w:hint="eastAsia" w:ascii="楷体_GB2312" w:hAnsi="楷体_GB2312" w:eastAsia="楷体_GB2312" w:cs="楷体_GB2312"/>
          <w:b/>
          <w:bCs/>
          <w:sz w:val="24"/>
          <w:szCs w:val="24"/>
        </w:rPr>
        <w:t>兑付事项</w:t>
      </w:r>
      <w:r>
        <w:rPr>
          <w:rFonts w:hint="eastAsia" w:ascii="楷体_GB2312" w:hAnsi="楷体_GB2312" w:eastAsia="楷体_GB2312" w:cs="楷体_GB2312"/>
          <w:b/>
          <w:bCs/>
          <w:snapToGrid w:val="0"/>
          <w:kern w:val="0"/>
          <w:sz w:val="24"/>
          <w:szCs w:val="24"/>
        </w:rPr>
        <w:t>信息披露</w:t>
      </w:r>
      <w:bookmarkEnd w:id="1819"/>
    </w:p>
    <w:p>
      <w:pPr>
        <w:pStyle w:val="176"/>
        <w:keepNext w:val="0"/>
        <w:keepLines w:val="0"/>
        <w:pageBreakBefore w:val="0"/>
        <w:widowControl w:val="0"/>
        <w:kinsoku/>
        <w:wordWrap/>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发行载体管理机构应于资产支持商业票据支付日前五个工作日，通过交易商协会认可的信息披露渠道披露本金兑付和付息事项。</w:t>
      </w:r>
    </w:p>
    <w:bookmarkEnd w:id="1817"/>
    <w:p>
      <w:pPr>
        <w:keepNext w:val="0"/>
        <w:keepLines w:val="0"/>
        <w:pageBreakBefore w:val="0"/>
        <w:widowControl w:val="0"/>
        <w:kinsoku/>
        <w:wordWrap/>
        <w:topLinePunct w:val="0"/>
        <w:autoSpaceDE w:val="0"/>
        <w:autoSpaceDN w:val="0"/>
        <w:bidi w:val="0"/>
        <w:adjustRightInd w:val="0"/>
        <w:spacing w:before="157" w:beforeLines="50" w:after="120" w:afterLines="50" w:line="240" w:lineRule="atLeast"/>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br w:type="page"/>
      </w:r>
      <w:bookmarkStart w:id="1820" w:name="_Toc14230"/>
      <w:bookmarkStart w:id="1821" w:name="_Toc5832"/>
      <w:bookmarkStart w:id="1822" w:name="_Toc11392"/>
      <w:bookmarkStart w:id="1823" w:name="_Toc25425"/>
      <w:bookmarkStart w:id="1824" w:name="_Toc23190"/>
      <w:bookmarkStart w:id="1825" w:name="_Toc7447"/>
      <w:bookmarkStart w:id="1826" w:name="_Toc5749"/>
      <w:bookmarkStart w:id="1827" w:name="_Toc15528"/>
      <w:bookmarkStart w:id="1828" w:name="_Toc8094"/>
      <w:bookmarkStart w:id="1829" w:name="_Toc6318"/>
      <w:bookmarkStart w:id="1830" w:name="_Toc18971"/>
      <w:bookmarkStart w:id="1831" w:name="_Toc24040"/>
      <w:bookmarkStart w:id="1832" w:name="_Toc35499397"/>
      <w:bookmarkStart w:id="1833" w:name="_Toc19927"/>
      <w:bookmarkStart w:id="1834" w:name="_Toc19156"/>
      <w:bookmarkStart w:id="1835" w:name="_Toc23799"/>
      <w:bookmarkStart w:id="1836" w:name="_Toc9881"/>
      <w:bookmarkStart w:id="1837" w:name="_Toc13131"/>
      <w:bookmarkStart w:id="1838" w:name="_Toc24833"/>
      <w:bookmarkStart w:id="1839" w:name="_Toc8198"/>
      <w:bookmarkStart w:id="1840" w:name="_Toc3006"/>
      <w:bookmarkStart w:id="1841" w:name="_Toc15893"/>
    </w:p>
    <w:p>
      <w:pPr>
        <w:pStyle w:val="156"/>
        <w:keepNext w:val="0"/>
        <w:keepLines w:val="0"/>
        <w:pageBreakBefore w:val="0"/>
        <w:numPr>
          <w:ilvl w:val="0"/>
          <w:numId w:val="1"/>
        </w:numPr>
        <w:kinsoku/>
        <w:wordWrap/>
        <w:overflowPunct/>
        <w:topLinePunct w:val="0"/>
        <w:autoSpaceDE w:val="0"/>
        <w:autoSpaceDN w:val="0"/>
        <w:bidi w:val="0"/>
        <w:adjustRightInd w:val="0"/>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1842" w:name="_Toc28861"/>
      <w:bookmarkStart w:id="1843" w:name="_Toc1441"/>
      <w:bookmarkStart w:id="1844" w:name="_Toc4092"/>
      <w:bookmarkStart w:id="1845" w:name="_Toc6134"/>
      <w:bookmarkStart w:id="1846" w:name="_Toc19022"/>
      <w:bookmarkStart w:id="1847" w:name="_Toc4165"/>
      <w:bookmarkStart w:id="1848" w:name="_Toc28443"/>
      <w:bookmarkStart w:id="1849" w:name="_Toc21413"/>
      <w:bookmarkStart w:id="1850" w:name="_Toc22957"/>
      <w:bookmarkStart w:id="1851" w:name="_Toc14776"/>
      <w:bookmarkStart w:id="1852" w:name="_Toc25775"/>
      <w:bookmarkStart w:id="1853" w:name="_Toc12235"/>
      <w:bookmarkStart w:id="1854" w:name="_Toc11200"/>
      <w:bookmarkStart w:id="1855" w:name="_Toc8968"/>
      <w:bookmarkStart w:id="1856" w:name="_Toc4382"/>
      <w:bookmarkStart w:id="1857" w:name="_Toc6036"/>
      <w:r>
        <w:rPr>
          <w:rFonts w:hint="eastAsia" w:ascii="楷体_GB2312" w:hAnsi="楷体_GB2312" w:eastAsia="楷体_GB2312" w:cs="楷体_GB2312"/>
          <w:b/>
          <w:bCs/>
          <w:kern w:val="0"/>
          <w:sz w:val="30"/>
          <w:szCs w:val="30"/>
        </w:rPr>
        <w:t>投资人保护机制</w:t>
      </w:r>
      <w:bookmarkEnd w:id="1842"/>
      <w:bookmarkEnd w:id="1843"/>
      <w:bookmarkEnd w:id="1844"/>
      <w:bookmarkEnd w:id="1845"/>
      <w:bookmarkEnd w:id="1846"/>
    </w:p>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7"/>
    <w:bookmarkEnd w:id="1848"/>
    <w:bookmarkEnd w:id="1849"/>
    <w:bookmarkEnd w:id="1850"/>
    <w:bookmarkEnd w:id="1851"/>
    <w:bookmarkEnd w:id="1852"/>
    <w:bookmarkEnd w:id="1853"/>
    <w:bookmarkEnd w:id="1854"/>
    <w:bookmarkEnd w:id="1855"/>
    <w:bookmarkEnd w:id="1856"/>
    <w:bookmarkEnd w:id="1857"/>
    <w:p>
      <w:pPr>
        <w:keepNext w:val="0"/>
        <w:keepLines w:val="0"/>
        <w:pageBreakBefore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858" w:name="_Toc2421"/>
      <w:bookmarkStart w:id="1859" w:name="_Toc10934"/>
      <w:bookmarkStart w:id="1860" w:name="_Toc31196"/>
      <w:bookmarkStart w:id="1861" w:name="_Toc10516"/>
      <w:bookmarkStart w:id="1862" w:name="_Toc19426"/>
      <w:bookmarkStart w:id="1863" w:name="_Toc23044"/>
      <w:bookmarkStart w:id="1864" w:name="_Toc26147"/>
      <w:bookmarkStart w:id="1865" w:name="_Toc10565"/>
      <w:bookmarkStart w:id="1866" w:name="_Toc25891"/>
      <w:bookmarkStart w:id="1867" w:name="_Toc8935"/>
      <w:bookmarkStart w:id="1868" w:name="_Toc31911"/>
      <w:bookmarkStart w:id="1869" w:name="_Toc32024"/>
      <w:bookmarkStart w:id="1870" w:name="_Toc24443"/>
      <w:bookmarkStart w:id="1871" w:name="_Toc10344"/>
      <w:bookmarkStart w:id="1872" w:name="_Toc97"/>
      <w:bookmarkStart w:id="1873" w:name="_Toc14333"/>
      <w:bookmarkStart w:id="1874" w:name="_Toc16425"/>
      <w:bookmarkStart w:id="1875" w:name="_Toc5193"/>
      <w:bookmarkStart w:id="1876" w:name="_Toc31871"/>
      <w:bookmarkStart w:id="1877" w:name="_Toc8032"/>
      <w:bookmarkStart w:id="1878" w:name="_Toc26051"/>
      <w:bookmarkStart w:id="1879" w:name="_Toc16261"/>
      <w:bookmarkStart w:id="1880" w:name="_Toc5788"/>
      <w:bookmarkStart w:id="1881" w:name="_Toc7249"/>
      <w:bookmarkStart w:id="1882" w:name="_Toc22419"/>
      <w:bookmarkStart w:id="1883" w:name="_Toc35499398"/>
      <w:bookmarkStart w:id="1884" w:name="_Toc31302"/>
      <w:bookmarkStart w:id="1885" w:name="_Toc19333"/>
      <w:bookmarkStart w:id="1886" w:name="_Toc24882"/>
      <w:bookmarkStart w:id="1887" w:name="_Toc9943"/>
      <w:bookmarkStart w:id="1888" w:name="_Toc22621"/>
      <w:bookmarkStart w:id="1889" w:name="_Toc17987"/>
      <w:bookmarkStart w:id="1890" w:name="_Toc21775"/>
      <w:bookmarkStart w:id="1891" w:name="_Toc17401"/>
      <w:bookmarkStart w:id="1892" w:name="_Toc20578"/>
      <w:bookmarkStart w:id="1893" w:name="_Toc1617"/>
      <w:bookmarkStart w:id="1894" w:name="_Toc5169"/>
      <w:bookmarkStart w:id="1895" w:name="_Hlk35254731"/>
      <w:r>
        <w:rPr>
          <w:rFonts w:hint="eastAsia" w:ascii="楷体_GB2312" w:hAnsi="楷体_GB2312" w:eastAsia="楷体_GB2312" w:cs="楷体_GB2312"/>
          <w:b/>
          <w:bCs/>
          <w:sz w:val="24"/>
          <w:szCs w:val="24"/>
        </w:rPr>
        <w:t>一、违约事件</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p>
    <w:p>
      <w:pPr>
        <w:pStyle w:val="2"/>
        <w:keepNext w:val="0"/>
        <w:keepLines w:val="0"/>
        <w:pageBreakBefore w:val="0"/>
        <w:kinsoku/>
        <w:wordWrap/>
        <w:overflowPunct/>
        <w:topLinePunct w:val="0"/>
        <w:bidi w:val="0"/>
        <w:spacing w:before="157" w:beforeLines="50" w:after="120" w:afterLines="50" w:line="240" w:lineRule="atLeast"/>
        <w:ind w:firstLine="482"/>
        <w:jc w:val="both"/>
        <w:textAlignment w:val="auto"/>
        <w:rPr>
          <w:rFonts w:hint="eastAsia" w:ascii="Times New Roman" w:hAnsi="Times New Roman" w:eastAsia="楷体_GB2312" w:cs="Times New Roman"/>
          <w:b/>
          <w:i/>
          <w:color w:val="FF0000"/>
          <w:sz w:val="24"/>
          <w:szCs w:val="28"/>
          <w:u w:val="single"/>
          <w:lang w:eastAsia="zh-CN"/>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《主定义表》“一、定义（139）违约事件”的内容</w:t>
      </w:r>
      <w:r>
        <w:rPr>
          <w:rFonts w:hint="eastAsia" w:ascii="Times New Roman" w:hAnsi="Times New Roman" w:eastAsia="楷体_GB2312" w:cs="Times New Roman"/>
          <w:b/>
          <w:i/>
          <w:color w:val="FF0000"/>
          <w:sz w:val="24"/>
          <w:szCs w:val="28"/>
          <w:u w:val="single"/>
          <w:lang w:eastAsia="zh-CN"/>
        </w:rPr>
        <w:t>。</w:t>
      </w:r>
    </w:p>
    <w:p>
      <w:pPr>
        <w:keepNext w:val="0"/>
        <w:keepLines w:val="0"/>
        <w:pageBreakBefore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896" w:name="_Toc27781"/>
      <w:bookmarkStart w:id="1897" w:name="_Toc17333"/>
      <w:bookmarkStart w:id="1898" w:name="_Toc32722"/>
      <w:bookmarkStart w:id="1899" w:name="_Toc19393"/>
      <w:bookmarkStart w:id="1900" w:name="_Toc24354"/>
      <w:bookmarkStart w:id="1901" w:name="_Toc29320"/>
      <w:bookmarkStart w:id="1902" w:name="_Toc12938"/>
      <w:bookmarkStart w:id="1903" w:name="_Toc22482"/>
      <w:bookmarkStart w:id="1904" w:name="_Toc24538"/>
      <w:bookmarkStart w:id="1905" w:name="_Toc12089"/>
      <w:bookmarkStart w:id="1906" w:name="_Toc8251"/>
      <w:bookmarkStart w:id="1907" w:name="_Toc14235"/>
      <w:bookmarkStart w:id="1908" w:name="_Toc35499399"/>
      <w:bookmarkStart w:id="1909" w:name="_Toc15351"/>
      <w:bookmarkStart w:id="1910" w:name="_Toc23993"/>
      <w:bookmarkStart w:id="1911" w:name="_Toc18419"/>
      <w:bookmarkStart w:id="1912" w:name="_Toc17057"/>
      <w:bookmarkStart w:id="1913" w:name="_Toc24151"/>
      <w:bookmarkStart w:id="1914" w:name="_Toc30920"/>
      <w:bookmarkStart w:id="1915" w:name="_Toc18431"/>
      <w:bookmarkStart w:id="1916" w:name="_Toc6988"/>
      <w:bookmarkStart w:id="1917" w:name="_Toc17056"/>
      <w:bookmarkStart w:id="1918" w:name="_Toc22059"/>
      <w:bookmarkStart w:id="1919" w:name="_Toc13576"/>
      <w:bookmarkStart w:id="1920" w:name="_Toc25299"/>
      <w:bookmarkStart w:id="1921" w:name="_Toc12533"/>
      <w:bookmarkStart w:id="1922" w:name="_Toc14635"/>
      <w:bookmarkStart w:id="1923" w:name="_Toc4988"/>
      <w:bookmarkStart w:id="1924" w:name="_Toc14593"/>
      <w:bookmarkStart w:id="1925" w:name="_Toc15936"/>
      <w:bookmarkStart w:id="1926" w:name="_Toc32636"/>
      <w:bookmarkStart w:id="1927" w:name="_Toc19294"/>
      <w:bookmarkStart w:id="1928" w:name="_Toc4243"/>
      <w:bookmarkStart w:id="1929" w:name="_Toc8266"/>
      <w:bookmarkStart w:id="1930" w:name="_Toc4767"/>
      <w:bookmarkStart w:id="1931" w:name="_Toc13370"/>
      <w:bookmarkStart w:id="1932" w:name="_Toc30721"/>
      <w:r>
        <w:rPr>
          <w:rFonts w:hint="eastAsia" w:ascii="楷体_GB2312" w:hAnsi="楷体_GB2312" w:eastAsia="楷体_GB2312" w:cs="楷体_GB2312"/>
          <w:b/>
          <w:bCs/>
          <w:sz w:val="24"/>
          <w:szCs w:val="24"/>
        </w:rPr>
        <w:t>二、违约责任</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p>
      <w:pPr>
        <w:keepNext w:val="0"/>
        <w:keepLines w:val="0"/>
        <w:pageBreakBefore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1933" w:name="_Toc26720"/>
      <w:bookmarkStart w:id="1934" w:name="_Toc27593"/>
      <w:bookmarkStart w:id="1935" w:name="_Toc18545"/>
      <w:bookmarkStart w:id="1936" w:name="_Toc32319"/>
      <w:bookmarkStart w:id="1937" w:name="_Toc26060"/>
      <w:bookmarkStart w:id="1938" w:name="_Toc16769"/>
      <w:bookmarkStart w:id="1939" w:name="_Toc6870"/>
      <w:bookmarkStart w:id="1940" w:name="_Toc15489"/>
      <w:bookmarkStart w:id="1941" w:name="_Toc6601"/>
      <w:bookmarkStart w:id="1942" w:name="_Toc11632"/>
      <w:bookmarkStart w:id="1943" w:name="_Toc18980"/>
      <w:bookmarkStart w:id="1944" w:name="_Toc22327"/>
      <w:bookmarkStart w:id="1945" w:name="_Toc8453"/>
      <w:bookmarkStart w:id="1946" w:name="_Toc35499400"/>
      <w:bookmarkStart w:id="1947" w:name="_Toc23912"/>
      <w:bookmarkStart w:id="1948" w:name="_Toc1046"/>
      <w:bookmarkStart w:id="1949" w:name="_Toc15646"/>
      <w:bookmarkStart w:id="1950" w:name="_Toc23410"/>
      <w:bookmarkStart w:id="1951" w:name="_Toc32391"/>
      <w:bookmarkStart w:id="1952" w:name="_Toc6437"/>
      <w:bookmarkStart w:id="1953" w:name="_Toc8101"/>
      <w:bookmarkStart w:id="1954" w:name="_Toc10212"/>
      <w:bookmarkStart w:id="1955" w:name="_Toc6483"/>
      <w:bookmarkStart w:id="1956" w:name="_Toc13698"/>
      <w:bookmarkStart w:id="1957" w:name="_Toc22494"/>
      <w:bookmarkStart w:id="1958" w:name="_Toc24135"/>
      <w:bookmarkStart w:id="1959" w:name="_Toc9897"/>
      <w:bookmarkStart w:id="1960" w:name="_Toc5296"/>
      <w:bookmarkStart w:id="1961" w:name="_Toc14043"/>
      <w:bookmarkStart w:id="1962" w:name="_Toc13760"/>
      <w:bookmarkStart w:id="1963" w:name="_Toc21547"/>
      <w:bookmarkStart w:id="1964" w:name="_Toc16658"/>
      <w:bookmarkStart w:id="1965" w:name="_Toc29980"/>
      <w:bookmarkStart w:id="1966" w:name="_Toc18141"/>
      <w:bookmarkStart w:id="1967" w:name="_Toc7157"/>
      <w:bookmarkStart w:id="1968" w:name="_Toc16656"/>
      <w:bookmarkStart w:id="1969" w:name="_Toc25576"/>
      <w:r>
        <w:rPr>
          <w:rFonts w:hint="eastAsia" w:ascii="楷体_GB2312" w:hAnsi="楷体_GB2312" w:eastAsia="楷体_GB2312" w:cs="楷体_GB2312"/>
          <w:b/>
          <w:bCs/>
          <w:sz w:val="24"/>
          <w:szCs w:val="24"/>
        </w:rPr>
        <w:t>三、投资人保护机制</w:t>
      </w:r>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pPr>
        <w:keepNext w:val="0"/>
        <w:keepLines w:val="0"/>
        <w:pageBreakBefore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（一）信用评级结果或评级展望下调的应对措施（如有）</w:t>
      </w:r>
    </w:p>
    <w:p>
      <w:pPr>
        <w:keepNext w:val="0"/>
        <w:keepLines w:val="0"/>
        <w:pageBreakBefore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（二）基础资产现金流恶化或其他可能影响投资人利益等情况的应对措施</w:t>
      </w:r>
    </w:p>
    <w:p>
      <w:pPr>
        <w:keepNext w:val="0"/>
        <w:keepLines w:val="0"/>
        <w:pageBreakBefore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（三）基础资产现金流与预测值偏差的处理机制</w:t>
      </w:r>
    </w:p>
    <w:p>
      <w:pPr>
        <w:keepNext w:val="0"/>
        <w:keepLines w:val="0"/>
        <w:pageBreakBefore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（四）基础资产权属争议的解决机制</w:t>
      </w:r>
    </w:p>
    <w:p>
      <w:pPr>
        <w:keepNext w:val="0"/>
        <w:keepLines w:val="0"/>
        <w:pageBreakBefore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（五）资产支持商业票据发生违约后的保障机制和清偿安排</w:t>
      </w:r>
    </w:p>
    <w:p>
      <w:pPr>
        <w:keepNext w:val="0"/>
        <w:keepLines w:val="0"/>
        <w:pageBreakBefore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ascii="楷体_GB2312" w:hAnsi="楷体_GB2312" w:eastAsia="楷体_GB2312" w:cs="楷体_GB2312"/>
          <w:b/>
          <w:bCs/>
          <w:sz w:val="24"/>
          <w:szCs w:val="24"/>
        </w:rPr>
      </w:pPr>
      <w:bookmarkStart w:id="1970" w:name="_Toc28258"/>
      <w:bookmarkStart w:id="1971" w:name="_Toc24732"/>
      <w:bookmarkStart w:id="1972" w:name="_Toc25601"/>
      <w:bookmarkStart w:id="1973" w:name="_Toc5185"/>
      <w:bookmarkStart w:id="1974" w:name="_Toc1741"/>
      <w:bookmarkStart w:id="1975" w:name="_Toc7984"/>
      <w:bookmarkStart w:id="1976" w:name="_Toc22752"/>
      <w:bookmarkStart w:id="1977" w:name="_Toc10175"/>
      <w:bookmarkStart w:id="1978" w:name="_Toc26151"/>
      <w:bookmarkStart w:id="1979" w:name="_Toc14899"/>
      <w:bookmarkStart w:id="1980" w:name="_Toc25627"/>
      <w:bookmarkStart w:id="1981" w:name="_Toc17959"/>
      <w:bookmarkStart w:id="1982" w:name="_Toc25786"/>
      <w:bookmarkStart w:id="1983" w:name="_Toc26945"/>
      <w:bookmarkStart w:id="1984" w:name="_Toc6680"/>
      <w:bookmarkStart w:id="1985" w:name="_Toc8246"/>
      <w:bookmarkStart w:id="1986" w:name="_Toc35499401"/>
      <w:bookmarkStart w:id="1987" w:name="_Toc31340"/>
      <w:bookmarkStart w:id="1988" w:name="_Toc16377"/>
      <w:bookmarkStart w:id="1989" w:name="_Toc28394"/>
      <w:bookmarkStart w:id="1990" w:name="_Toc19696"/>
      <w:bookmarkStart w:id="1991" w:name="_Toc18204"/>
      <w:bookmarkStart w:id="1992" w:name="_Toc420"/>
      <w:bookmarkStart w:id="1993" w:name="_Toc26430"/>
      <w:bookmarkStart w:id="1994" w:name="_Toc4341"/>
      <w:bookmarkStart w:id="1995" w:name="_Toc298"/>
      <w:bookmarkStart w:id="1996" w:name="_Toc22670"/>
      <w:bookmarkStart w:id="1997" w:name="_Toc10290"/>
      <w:bookmarkStart w:id="1998" w:name="_Toc28873"/>
      <w:bookmarkStart w:id="1999" w:name="_Toc12582"/>
      <w:bookmarkStart w:id="2000" w:name="_Toc26724"/>
      <w:bookmarkStart w:id="2001" w:name="_Toc7065"/>
      <w:bookmarkStart w:id="2002" w:name="_Toc20807"/>
      <w:bookmarkStart w:id="2003" w:name="_Toc29607"/>
      <w:bookmarkStart w:id="2004" w:name="_Toc32744"/>
      <w:bookmarkStart w:id="2005" w:name="_Toc12353"/>
      <w:bookmarkStart w:id="2006" w:name="_Toc5153"/>
      <w:r>
        <w:rPr>
          <w:rFonts w:hint="eastAsia" w:ascii="楷体_GB2312" w:hAnsi="楷体_GB2312" w:eastAsia="楷体_GB2312" w:cs="楷体_GB2312"/>
          <w:b/>
          <w:bCs/>
          <w:sz w:val="24"/>
          <w:szCs w:val="24"/>
        </w:rPr>
        <w:t>四、投资人保护条款（如有）</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p>
    <w:p>
      <w:pPr>
        <w:keepNext w:val="0"/>
        <w:keepLines w:val="0"/>
        <w:pageBreakBefore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2007" w:name="_Toc21568"/>
      <w:bookmarkStart w:id="2008" w:name="_Toc30851"/>
      <w:bookmarkStart w:id="2009" w:name="_Toc20507"/>
      <w:bookmarkStart w:id="2010" w:name="_Toc27820"/>
      <w:bookmarkStart w:id="2011" w:name="_Toc16569"/>
      <w:bookmarkStart w:id="2012" w:name="_Toc30141"/>
      <w:bookmarkStart w:id="2013" w:name="_Toc17624"/>
      <w:bookmarkStart w:id="2014" w:name="_Toc21769"/>
      <w:bookmarkStart w:id="2015" w:name="_Toc11360"/>
      <w:bookmarkStart w:id="2016" w:name="_Toc11379"/>
      <w:bookmarkStart w:id="2017" w:name="_Toc2735"/>
      <w:bookmarkStart w:id="2018" w:name="_Toc14997"/>
      <w:bookmarkStart w:id="2019" w:name="_Toc12707"/>
      <w:bookmarkStart w:id="2020" w:name="_Toc20202"/>
      <w:bookmarkStart w:id="2021" w:name="_Toc16889"/>
      <w:r>
        <w:rPr>
          <w:rFonts w:hint="eastAsia" w:ascii="楷体_GB2312" w:hAnsi="楷体_GB2312" w:eastAsia="楷体_GB2312" w:cs="楷体_GB2312"/>
          <w:b/>
          <w:bCs/>
          <w:sz w:val="24"/>
          <w:szCs w:val="24"/>
        </w:rPr>
        <w:t>五、资产支持商业票据持有人会议机制</w:t>
      </w:r>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p>
    <w:p>
      <w:pPr>
        <w:pStyle w:val="2"/>
        <w:keepNext w:val="0"/>
        <w:keepLines w:val="0"/>
        <w:pageBreakBefore w:val="0"/>
        <w:kinsoku/>
        <w:wordWrap/>
        <w:overflowPunct/>
        <w:topLinePunct w:val="0"/>
        <w:bidi w:val="0"/>
        <w:spacing w:before="157" w:beforeLines="50" w:after="120" w:afterLines="50" w:line="240" w:lineRule="atLeast"/>
        <w:ind w:firstLine="482"/>
        <w:jc w:val="both"/>
        <w:textAlignment w:val="auto"/>
        <w:rPr>
          <w:rFonts w:hint="eastAsia" w:ascii="Times New Roman" w:hAnsi="Times New Roman" w:eastAsia="楷体_GB2312" w:cs="Times New Roman"/>
          <w:b/>
          <w:i/>
          <w:color w:val="FF0000"/>
          <w:sz w:val="24"/>
          <w:szCs w:val="28"/>
          <w:u w:val="single"/>
          <w:lang w:eastAsia="zh-CN"/>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《信托合同》“19资产支持商业票据持有人会议组成与权利”的内容</w:t>
      </w:r>
      <w:r>
        <w:rPr>
          <w:rFonts w:hint="eastAsia" w:ascii="Times New Roman" w:hAnsi="Times New Roman" w:eastAsia="楷体_GB2312" w:cs="Times New Roman"/>
          <w:b/>
          <w:i/>
          <w:color w:val="FF0000"/>
          <w:sz w:val="24"/>
          <w:szCs w:val="28"/>
          <w:u w:val="single"/>
          <w:lang w:eastAsia="zh-CN"/>
        </w:rPr>
        <w:t>。</w:t>
      </w:r>
    </w:p>
    <w:p>
      <w:pPr>
        <w:keepNext w:val="0"/>
        <w:keepLines w:val="0"/>
        <w:pageBreakBefore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ascii="楷体_GB2312" w:hAnsi="楷体_GB2312" w:eastAsia="楷体_GB2312" w:cs="楷体_GB2312"/>
          <w:b/>
          <w:bCs/>
          <w:sz w:val="24"/>
          <w:szCs w:val="24"/>
        </w:rPr>
      </w:pPr>
      <w:bookmarkStart w:id="2022" w:name="_Toc6495"/>
      <w:bookmarkStart w:id="2023" w:name="_Toc24164"/>
      <w:bookmarkStart w:id="2024" w:name="_Toc10837"/>
      <w:bookmarkStart w:id="2025" w:name="_Toc17305"/>
      <w:bookmarkStart w:id="2026" w:name="_Toc2204"/>
      <w:bookmarkStart w:id="2027" w:name="_Toc25147"/>
      <w:bookmarkStart w:id="2028" w:name="_Toc29275"/>
      <w:bookmarkStart w:id="2029" w:name="_Toc32395"/>
      <w:bookmarkStart w:id="2030" w:name="_Toc30991"/>
      <w:bookmarkStart w:id="2031" w:name="_Toc31746"/>
      <w:bookmarkStart w:id="2032" w:name="_Toc16143"/>
      <w:bookmarkStart w:id="2033" w:name="_Toc1449"/>
      <w:r>
        <w:rPr>
          <w:rFonts w:hint="eastAsia" w:ascii="楷体_GB2312" w:hAnsi="楷体_GB2312" w:eastAsia="楷体_GB2312" w:cs="楷体_GB2312"/>
          <w:b/>
          <w:bCs/>
          <w:sz w:val="24"/>
          <w:szCs w:val="24"/>
        </w:rPr>
        <w:t>六、不可抗力</w:t>
      </w:r>
      <w:bookmarkEnd w:id="2022"/>
      <w:bookmarkEnd w:id="2023"/>
      <w:bookmarkEnd w:id="2024"/>
      <w:bookmarkEnd w:id="2025"/>
      <w:bookmarkEnd w:id="2026"/>
      <w:bookmarkEnd w:id="2027"/>
      <w:bookmarkEnd w:id="2028"/>
      <w:bookmarkEnd w:id="2029"/>
      <w:bookmarkEnd w:id="2030"/>
      <w:bookmarkEnd w:id="2031"/>
      <w:bookmarkEnd w:id="2032"/>
      <w:bookmarkEnd w:id="2033"/>
    </w:p>
    <w:p>
      <w:pPr>
        <w:keepNext w:val="0"/>
        <w:keepLines w:val="0"/>
        <w:pageBreakBefore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ascii="楷体_GB2312" w:hAnsi="楷体_GB2312" w:eastAsia="楷体_GB2312" w:cs="楷体_GB2312"/>
          <w:b/>
          <w:bCs/>
          <w:sz w:val="24"/>
          <w:szCs w:val="24"/>
        </w:rPr>
      </w:pPr>
      <w:bookmarkStart w:id="2034" w:name="_Toc4185"/>
      <w:bookmarkStart w:id="2035" w:name="_Toc8371"/>
      <w:bookmarkStart w:id="2036" w:name="_Toc28595"/>
      <w:bookmarkStart w:id="2037" w:name="_Toc8595"/>
      <w:bookmarkStart w:id="2038" w:name="_Toc12984"/>
      <w:bookmarkStart w:id="2039" w:name="_Toc10891"/>
      <w:bookmarkStart w:id="2040" w:name="_Toc16181"/>
      <w:bookmarkStart w:id="2041" w:name="_Toc6759"/>
      <w:bookmarkStart w:id="2042" w:name="_Toc7970"/>
      <w:bookmarkStart w:id="2043" w:name="_Toc6192"/>
      <w:bookmarkStart w:id="2044" w:name="_Toc31604"/>
      <w:bookmarkStart w:id="2045" w:name="_Toc1673"/>
      <w:r>
        <w:rPr>
          <w:rFonts w:hint="eastAsia" w:ascii="楷体_GB2312" w:hAnsi="楷体_GB2312" w:eastAsia="楷体_GB2312" w:cs="楷体_GB2312"/>
          <w:b/>
          <w:bCs/>
          <w:sz w:val="24"/>
          <w:szCs w:val="24"/>
        </w:rPr>
        <w:t>七、修改与弃权</w:t>
      </w:r>
      <w:bookmarkEnd w:id="2034"/>
      <w:bookmarkEnd w:id="2035"/>
      <w:bookmarkEnd w:id="2036"/>
      <w:bookmarkEnd w:id="2037"/>
      <w:bookmarkEnd w:id="2038"/>
      <w:bookmarkEnd w:id="2039"/>
      <w:bookmarkEnd w:id="2040"/>
      <w:bookmarkEnd w:id="2041"/>
      <w:bookmarkEnd w:id="2042"/>
      <w:bookmarkEnd w:id="2043"/>
      <w:bookmarkEnd w:id="2044"/>
      <w:bookmarkEnd w:id="2045"/>
    </w:p>
    <w:bookmarkEnd w:id="1895"/>
    <w:p>
      <w:pPr>
        <w:keepNext w:val="0"/>
        <w:keepLines w:val="0"/>
        <w:pageBreakBefore w:val="0"/>
        <w:widowControl/>
        <w:kinsoku/>
        <w:wordWrap/>
        <w:overflowPunct/>
        <w:topLinePunct w:val="0"/>
        <w:bidi w:val="0"/>
        <w:spacing w:before="157" w:beforeLines="50" w:after="120" w:afterLines="50" w:line="240" w:lineRule="atLeast"/>
        <w:textAlignment w:val="auto"/>
        <w:rPr>
          <w:rFonts w:hint="eastAsia" w:ascii="楷体_GB2312" w:hAnsi="楷体_GB2312" w:eastAsia="楷体_GB2312" w:cs="楷体_GB2312"/>
          <w:b/>
          <w:bCs/>
          <w:kern w:val="0"/>
          <w:sz w:val="30"/>
          <w:szCs w:val="30"/>
        </w:rPr>
      </w:pPr>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2046" w:name="_Toc4848"/>
      <w:bookmarkStart w:id="2047" w:name="_Toc8323"/>
      <w:bookmarkStart w:id="2048" w:name="_Toc27572"/>
      <w:bookmarkStart w:id="2049" w:name="_Toc29961"/>
      <w:bookmarkStart w:id="2050" w:name="_Toc7449"/>
      <w:bookmarkStart w:id="2051" w:name="_Toc977"/>
      <w:bookmarkStart w:id="2052" w:name="_Toc19556"/>
      <w:bookmarkStart w:id="2053" w:name="_Toc15606"/>
      <w:bookmarkStart w:id="2054" w:name="_Toc8898"/>
      <w:bookmarkStart w:id="2055" w:name="_Toc9115"/>
      <w:bookmarkStart w:id="2056" w:name="_Toc29111"/>
      <w:bookmarkStart w:id="2057" w:name="_Toc11012"/>
      <w:bookmarkStart w:id="2058" w:name="_Toc35499404"/>
      <w:bookmarkStart w:id="2059" w:name="_Toc29871"/>
      <w:bookmarkStart w:id="2060" w:name="_Toc1033"/>
      <w:bookmarkStart w:id="2061" w:name="_Toc13043"/>
      <w:bookmarkStart w:id="2062" w:name="_Toc26849"/>
      <w:bookmarkStart w:id="2063" w:name="_Toc3086"/>
      <w:bookmarkStart w:id="2064" w:name="_Toc10159"/>
      <w:bookmarkStart w:id="2065" w:name="_Toc342"/>
      <w:bookmarkStart w:id="2066" w:name="_Toc14394"/>
      <w:bookmarkStart w:id="2067" w:name="_Toc11960"/>
      <w:bookmarkStart w:id="2068" w:name="_Toc25710"/>
      <w:bookmarkStart w:id="2069" w:name="_Toc25575"/>
      <w:bookmarkStart w:id="2070" w:name="_Toc868"/>
      <w:bookmarkStart w:id="2071" w:name="_Toc29169"/>
      <w:bookmarkStart w:id="2072" w:name="_Toc31852"/>
      <w:bookmarkStart w:id="2073" w:name="_Toc9494"/>
      <w:bookmarkStart w:id="2074" w:name="_Toc21850"/>
      <w:bookmarkStart w:id="2075" w:name="_Toc28913"/>
      <w:bookmarkStart w:id="2076" w:name="_Toc21660"/>
      <w:bookmarkStart w:id="2077" w:name="_Toc27938"/>
      <w:bookmarkStart w:id="2078" w:name="_Toc27304"/>
      <w:bookmarkStart w:id="2079" w:name="_Toc2344"/>
      <w:bookmarkStart w:id="2080" w:name="_Toc22493"/>
      <w:bookmarkStart w:id="2081" w:name="_Toc20842"/>
      <w:bookmarkStart w:id="2082" w:name="_Toc29947"/>
      <w:bookmarkStart w:id="2083" w:name="_Toc20404"/>
      <w:bookmarkStart w:id="2084" w:name="_Toc17450"/>
      <w:r>
        <w:rPr>
          <w:rFonts w:hint="eastAsia" w:ascii="楷体_GB2312" w:hAnsi="楷体_GB2312" w:eastAsia="楷体_GB2312" w:cs="楷体_GB2312"/>
          <w:b/>
          <w:bCs/>
          <w:kern w:val="0"/>
          <w:sz w:val="30"/>
          <w:szCs w:val="30"/>
        </w:rPr>
        <w:t>法律适用及争议解决机制</w:t>
      </w:r>
      <w:bookmarkEnd w:id="2046"/>
      <w:bookmarkEnd w:id="2047"/>
      <w:bookmarkEnd w:id="2048"/>
      <w:bookmarkEnd w:id="2049"/>
      <w:bookmarkEnd w:id="2050"/>
    </w:p>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p>
      <w:pPr>
        <w:pStyle w:val="2"/>
        <w:keepNext w:val="0"/>
        <w:keepLines w:val="0"/>
        <w:pageBreakBefore w:val="0"/>
        <w:widowControl w:val="0"/>
        <w:kinsoku/>
        <w:wordWrap/>
        <w:overflowPunct/>
        <w:topLinePunct w:val="0"/>
        <w:bidi w:val="0"/>
        <w:spacing w:before="157" w:beforeLines="50" w:after="120" w:afterLines="50" w:line="240" w:lineRule="atLeast"/>
        <w:ind w:firstLine="482"/>
        <w:jc w:val="both"/>
        <w:textAlignment w:val="auto"/>
        <w:rPr>
          <w:rFonts w:hint="eastAsia" w:ascii="Times New Roman" w:hAnsi="Times New Roman" w:eastAsia="楷体_GB2312" w:cs="Times New Roman"/>
          <w:b/>
          <w:i/>
          <w:color w:val="FF0000"/>
          <w:sz w:val="24"/>
          <w:szCs w:val="28"/>
          <w:u w:val="single"/>
          <w:lang w:eastAsia="zh-CN"/>
        </w:rPr>
      </w:pPr>
      <w:bookmarkStart w:id="2085" w:name="_Hlk35255737"/>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《信托合同》“28法律适用和争议解决”的内容</w:t>
      </w:r>
      <w:r>
        <w:rPr>
          <w:rFonts w:hint="eastAsia" w:ascii="Times New Roman" w:hAnsi="Times New Roman" w:eastAsia="楷体_GB2312" w:cs="Times New Roman"/>
          <w:b/>
          <w:i/>
          <w:color w:val="FF0000"/>
          <w:sz w:val="24"/>
          <w:szCs w:val="28"/>
          <w:u w:val="single"/>
          <w:lang w:eastAsia="zh-CN"/>
        </w:rPr>
        <w:t>。</w:t>
      </w:r>
    </w:p>
    <w:bookmarkEnd w:id="2085"/>
    <w:p>
      <w:pPr>
        <w:keepNext w:val="0"/>
        <w:keepLines w:val="0"/>
        <w:pageBreakBefore w:val="0"/>
        <w:widowControl w:val="0"/>
        <w:kinsoku/>
        <w:wordWrap/>
        <w:overflowPunct/>
        <w:topLinePunct w:val="0"/>
        <w:bidi w:val="0"/>
        <w:adjustRightInd w:val="0"/>
        <w:snapToGrid w:val="0"/>
        <w:spacing w:before="157" w:beforeLines="50" w:after="120" w:afterLines="50" w:line="240" w:lineRule="atLeast"/>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20"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2086" w:name="_Toc21883"/>
      <w:bookmarkStart w:id="2087" w:name="_Toc8612"/>
      <w:bookmarkStart w:id="2088" w:name="_Toc9031"/>
      <w:bookmarkStart w:id="2089" w:name="_Toc4075"/>
      <w:bookmarkStart w:id="2090" w:name="_Toc19158"/>
      <w:bookmarkStart w:id="2091" w:name="_Toc8795"/>
      <w:bookmarkStart w:id="2092" w:name="_Toc12168"/>
      <w:bookmarkStart w:id="2093" w:name="_Toc7380"/>
      <w:bookmarkStart w:id="2094" w:name="_Toc24184"/>
      <w:bookmarkStart w:id="2095" w:name="_Toc25410"/>
      <w:bookmarkStart w:id="2096" w:name="_Toc30324"/>
      <w:bookmarkStart w:id="2097" w:name="_Toc28222"/>
      <w:bookmarkStart w:id="2098" w:name="_Toc11070"/>
      <w:bookmarkStart w:id="2099" w:name="_Toc12428"/>
      <w:bookmarkStart w:id="2100" w:name="_Toc23917"/>
      <w:bookmarkStart w:id="2101" w:name="_Toc14194"/>
      <w:bookmarkStart w:id="2102" w:name="_Toc4315"/>
      <w:bookmarkStart w:id="2103" w:name="_Toc30319"/>
      <w:bookmarkStart w:id="2104" w:name="_Toc20783"/>
      <w:bookmarkStart w:id="2105" w:name="_Toc28548"/>
      <w:bookmarkStart w:id="2106" w:name="_Toc24697"/>
      <w:bookmarkStart w:id="2107" w:name="_Toc27946"/>
      <w:bookmarkStart w:id="2108" w:name="_Toc31157"/>
      <w:bookmarkStart w:id="2109" w:name="_Toc30251"/>
      <w:bookmarkStart w:id="2110" w:name="_Toc3964"/>
      <w:bookmarkStart w:id="2111" w:name="_Toc10281"/>
      <w:bookmarkStart w:id="2112" w:name="_Toc9186"/>
      <w:bookmarkStart w:id="2113" w:name="_Toc10150"/>
      <w:bookmarkStart w:id="2114" w:name="_Toc19177"/>
      <w:bookmarkStart w:id="2115" w:name="_Toc35499405"/>
      <w:bookmarkStart w:id="2116" w:name="_Toc2706"/>
      <w:bookmarkStart w:id="2117" w:name="_Toc12884"/>
      <w:bookmarkStart w:id="2118" w:name="_Toc30305"/>
      <w:bookmarkStart w:id="2119" w:name="_Toc17209"/>
      <w:bookmarkStart w:id="2120" w:name="_Toc30900"/>
      <w:bookmarkStart w:id="2121" w:name="_Toc13221"/>
      <w:bookmarkStart w:id="2122" w:name="_Toc7252"/>
      <w:bookmarkStart w:id="2123" w:name="_Toc810"/>
      <w:bookmarkStart w:id="2124" w:name="_Toc29070"/>
      <w:r>
        <w:rPr>
          <w:rFonts w:hint="eastAsia" w:ascii="楷体_GB2312" w:hAnsi="楷体_GB2312" w:eastAsia="楷体_GB2312" w:cs="楷体_GB2312"/>
          <w:b/>
          <w:bCs/>
          <w:kern w:val="0"/>
          <w:sz w:val="30"/>
          <w:szCs w:val="30"/>
        </w:rPr>
        <w:t>有关税费安排</w:t>
      </w:r>
      <w:bookmarkEnd w:id="2086"/>
      <w:bookmarkEnd w:id="2087"/>
      <w:bookmarkEnd w:id="2088"/>
      <w:bookmarkEnd w:id="2089"/>
      <w:bookmarkEnd w:id="2090"/>
    </w:p>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Pr>
        <w:keepNext w:val="0"/>
        <w:keepLines w:val="0"/>
        <w:pageBreakBefore w:val="0"/>
        <w:widowControl w:val="0"/>
        <w:kinsoku/>
        <w:wordWrap/>
        <w:overflowPunct/>
        <w:topLinePunct w:val="0"/>
        <w:bidi w:val="0"/>
        <w:adjustRightInd w:val="0"/>
        <w:snapToGrid w:val="0"/>
        <w:spacing w:before="120" w:beforeLines="50" w:after="120"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本期资产支持商业票据的投资人应遵守我国有关税务方面的法律、法规。本税务分析是依据我国现行的税务法律、法规及国家税务总局有关规范性文件的规定做出的。如果相关的法律、法规发生变更，本税务分析中所提及的税务事项将按变更后的法律法规执行。</w:t>
      </w:r>
    </w:p>
    <w:p>
      <w:pPr>
        <w:keepNext w:val="0"/>
        <w:keepLines w:val="0"/>
        <w:pageBreakBefore w:val="0"/>
        <w:widowControl w:val="0"/>
        <w:kinsoku/>
        <w:wordWrap/>
        <w:overflowPunct/>
        <w:topLinePunct w:val="0"/>
        <w:bidi w:val="0"/>
        <w:adjustRightInd w:val="0"/>
        <w:snapToGrid w:val="0"/>
        <w:spacing w:before="120" w:beforeLines="50" w:after="120"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下列这些说明仅供参考，不构成对投资人的法律或税务建议，也不涉及投资本期资产支持商业票据可能出现的税务后果。投资人如果准备购买本期资产支持商业票据，投资人应就有关事项咨询财税顾问，发起机构不承担由此产生的任何责任。</w:t>
      </w:r>
    </w:p>
    <w:p>
      <w:pPr>
        <w:keepNext w:val="0"/>
        <w:keepLines w:val="0"/>
        <w:pageBreakBefore w:val="0"/>
        <w:widowControl w:val="0"/>
        <w:kinsoku/>
        <w:wordWrap/>
        <w:overflowPunct/>
        <w:topLinePunct w:val="0"/>
        <w:bidi w:val="0"/>
        <w:adjustRightInd w:val="0"/>
        <w:snapToGrid w:val="0"/>
        <w:spacing w:before="120" w:beforeLines="50" w:after="120"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投资人所应缴纳的下列税项不与资产支持商业票据的各项支出构成抵销。监管机关及自律组织另有规定的按规定执行。</w:t>
      </w:r>
    </w:p>
    <w:p>
      <w:pPr>
        <w:keepNext w:val="0"/>
        <w:keepLines w:val="0"/>
        <w:pageBreakBefore w:val="0"/>
        <w:widowControl w:val="0"/>
        <w:kinsoku/>
        <w:wordWrap/>
        <w:overflowPunct/>
        <w:topLinePunct w:val="0"/>
        <w:bidi w:val="0"/>
        <w:adjustRightInd w:val="0"/>
        <w:spacing w:before="120" w:beforeLines="50" w:after="120" w:afterLines="50" w:line="240" w:lineRule="atLeast"/>
        <w:ind w:firstLine="482" w:firstLineChars="200"/>
        <w:jc w:val="both"/>
        <w:textAlignment w:val="auto"/>
        <w:rPr>
          <w:rFonts w:hint="eastAsia" w:ascii="楷体_GB2312" w:hAnsi="楷体_GB2312" w:eastAsia="楷体_GB2312" w:cs="楷体_GB2312"/>
          <w:b/>
          <w:bCs/>
          <w:sz w:val="24"/>
          <w:szCs w:val="24"/>
        </w:rPr>
      </w:pPr>
      <w:bookmarkStart w:id="2125" w:name="_Toc9473"/>
      <w:bookmarkStart w:id="2126" w:name="_Toc28076"/>
      <w:bookmarkStart w:id="2127" w:name="_Toc1681"/>
      <w:bookmarkStart w:id="2128" w:name="_Toc31284"/>
      <w:bookmarkStart w:id="2129" w:name="_Toc12468"/>
      <w:bookmarkStart w:id="2130" w:name="_Toc5414"/>
      <w:bookmarkStart w:id="2131" w:name="_Toc17400"/>
      <w:bookmarkStart w:id="2132" w:name="_Toc32479"/>
      <w:bookmarkStart w:id="2133" w:name="_Toc2185"/>
      <w:bookmarkStart w:id="2134" w:name="_Toc6544"/>
      <w:bookmarkStart w:id="2135" w:name="_Toc21336"/>
      <w:bookmarkStart w:id="2136" w:name="_Toc13798"/>
      <w:bookmarkStart w:id="2137" w:name="_Toc35499406"/>
      <w:bookmarkStart w:id="2138" w:name="_Toc16676"/>
      <w:bookmarkStart w:id="2139" w:name="_Toc16466"/>
      <w:bookmarkStart w:id="2140" w:name="_Toc19242"/>
      <w:bookmarkStart w:id="2141" w:name="_Toc1747"/>
      <w:bookmarkStart w:id="2142" w:name="_Toc18652"/>
      <w:bookmarkStart w:id="2143" w:name="_Toc31969"/>
      <w:bookmarkStart w:id="2144" w:name="_Toc3399"/>
      <w:bookmarkStart w:id="2145" w:name="_Toc9313"/>
      <w:bookmarkStart w:id="2146" w:name="_Toc31551"/>
      <w:bookmarkStart w:id="2147" w:name="_Toc18773"/>
      <w:bookmarkStart w:id="2148" w:name="_Toc11051"/>
      <w:bookmarkStart w:id="2149" w:name="_Toc6815"/>
      <w:bookmarkStart w:id="2150" w:name="_Toc6384"/>
      <w:bookmarkStart w:id="2151" w:name="_Toc14126"/>
      <w:bookmarkStart w:id="2152" w:name="_Toc14090"/>
      <w:bookmarkStart w:id="2153" w:name="_Toc29301"/>
      <w:bookmarkStart w:id="2154" w:name="_Toc19085"/>
      <w:bookmarkStart w:id="2155" w:name="_Toc28618"/>
      <w:bookmarkStart w:id="2156" w:name="_Toc30974"/>
      <w:bookmarkStart w:id="2157" w:name="_Toc19212"/>
      <w:bookmarkStart w:id="2158" w:name="_Toc9421"/>
      <w:bookmarkStart w:id="2159" w:name="_Toc23026"/>
      <w:r>
        <w:rPr>
          <w:rFonts w:hint="eastAsia" w:ascii="楷体_GB2312" w:hAnsi="楷体_GB2312" w:eastAsia="楷体_GB2312" w:cs="楷体_GB2312"/>
          <w:b/>
          <w:bCs/>
          <w:sz w:val="24"/>
          <w:szCs w:val="24"/>
        </w:rPr>
        <w:t>一、 增值税</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pPr>
        <w:keepNext w:val="0"/>
        <w:keepLines w:val="0"/>
        <w:pageBreakBefore w:val="0"/>
        <w:widowControl w:val="0"/>
        <w:kinsoku/>
        <w:wordWrap/>
        <w:overflowPunct/>
        <w:topLinePunct w:val="0"/>
        <w:bidi w:val="0"/>
        <w:adjustRightInd w:val="0"/>
        <w:snapToGrid w:val="0"/>
        <w:spacing w:before="120" w:beforeLines="50" w:after="120"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根据财税〔2016〕140号文件，金融商品持有期间（含到期）取得的非保本收益，不属于利息或利息性质的收入，不征收增值税；纳税人购入基金、信托、理财产品等各类资产管理产品持有至到期，不属于财税〔2016〕36号文件中规定的金融商品转让行为。</w:t>
      </w:r>
    </w:p>
    <w:p>
      <w:pPr>
        <w:keepNext w:val="0"/>
        <w:keepLines w:val="0"/>
        <w:pageBreakBefore w:val="0"/>
        <w:widowControl w:val="0"/>
        <w:kinsoku/>
        <w:wordWrap/>
        <w:overflowPunct/>
        <w:topLinePunct w:val="0"/>
        <w:bidi w:val="0"/>
        <w:adjustRightInd w:val="0"/>
        <w:snapToGrid w:val="0"/>
        <w:spacing w:before="120" w:beforeLines="50" w:after="120"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根据财税〔2017〕2号文件、财税〔2017〕56号文件及其补充性文件规定，2018年1月1日（含）以后，资管产品运营过程中发生的增值税应税行为，以资管产品管理人为增值税纳税人，按照现行规定缴纳增值税。资管产品运营过程中发生增值税应税行为的具体征收管理办法，由国家税务总局另行制定。截止至本募集说明书发布之日，国家税务总局尚未发布前文所述的资管产品发生增值税应税行为的具体征收管理办法。</w:t>
      </w:r>
    </w:p>
    <w:p>
      <w:pPr>
        <w:keepNext w:val="0"/>
        <w:keepLines w:val="0"/>
        <w:pageBreakBefore w:val="0"/>
        <w:widowControl w:val="0"/>
        <w:kinsoku/>
        <w:wordWrap/>
        <w:overflowPunct/>
        <w:topLinePunct w:val="0"/>
        <w:bidi w:val="0"/>
        <w:adjustRightInd w:val="0"/>
        <w:spacing w:before="120" w:beforeLines="50" w:after="120" w:afterLines="50" w:line="240" w:lineRule="atLeast"/>
        <w:ind w:firstLine="482" w:firstLineChars="200"/>
        <w:jc w:val="both"/>
        <w:textAlignment w:val="auto"/>
        <w:rPr>
          <w:rFonts w:hint="eastAsia" w:ascii="楷体_GB2312" w:hAnsi="楷体_GB2312" w:eastAsia="楷体_GB2312" w:cs="楷体_GB2312"/>
          <w:b/>
          <w:bCs/>
          <w:sz w:val="24"/>
          <w:szCs w:val="24"/>
        </w:rPr>
      </w:pPr>
      <w:bookmarkStart w:id="2160" w:name="_Toc1282"/>
      <w:bookmarkStart w:id="2161" w:name="_Toc29862"/>
      <w:bookmarkStart w:id="2162" w:name="_Toc3321"/>
      <w:bookmarkStart w:id="2163" w:name="_Toc29817"/>
      <w:bookmarkStart w:id="2164" w:name="_Toc32059"/>
      <w:bookmarkStart w:id="2165" w:name="_Toc29427"/>
      <w:bookmarkStart w:id="2166" w:name="_Toc2054"/>
      <w:bookmarkStart w:id="2167" w:name="_Toc9693"/>
      <w:bookmarkStart w:id="2168" w:name="_Toc10963"/>
      <w:bookmarkStart w:id="2169" w:name="_Toc24187"/>
      <w:bookmarkStart w:id="2170" w:name="_Toc23567"/>
      <w:bookmarkStart w:id="2171" w:name="_Toc24146"/>
      <w:bookmarkStart w:id="2172" w:name="_Toc17345"/>
      <w:bookmarkStart w:id="2173" w:name="_Toc26034"/>
      <w:bookmarkStart w:id="2174" w:name="_Toc11901"/>
      <w:bookmarkStart w:id="2175" w:name="_Toc16288"/>
      <w:bookmarkStart w:id="2176" w:name="_Toc31184"/>
      <w:bookmarkStart w:id="2177" w:name="_Toc12387"/>
      <w:bookmarkStart w:id="2178" w:name="_Toc21021"/>
      <w:bookmarkStart w:id="2179" w:name="_Toc27080"/>
      <w:bookmarkStart w:id="2180" w:name="_Toc18010"/>
      <w:bookmarkStart w:id="2181" w:name="_Toc20313"/>
      <w:bookmarkStart w:id="2182" w:name="_Toc11689"/>
      <w:bookmarkStart w:id="2183" w:name="_Toc25690"/>
      <w:bookmarkStart w:id="2184" w:name="_Toc28816"/>
      <w:bookmarkStart w:id="2185" w:name="_Toc22316"/>
      <w:bookmarkStart w:id="2186" w:name="_Toc18519"/>
      <w:bookmarkStart w:id="2187" w:name="_Toc35499407"/>
      <w:bookmarkStart w:id="2188" w:name="_Toc28516"/>
      <w:bookmarkStart w:id="2189" w:name="_Toc3524"/>
      <w:bookmarkStart w:id="2190" w:name="_Toc24064"/>
      <w:bookmarkStart w:id="2191" w:name="_Toc28728"/>
      <w:bookmarkStart w:id="2192" w:name="_Toc31835"/>
      <w:bookmarkStart w:id="2193" w:name="_Toc21183"/>
      <w:bookmarkStart w:id="2194" w:name="_Toc30484"/>
      <w:r>
        <w:rPr>
          <w:rFonts w:hint="eastAsia" w:ascii="楷体_GB2312" w:hAnsi="楷体_GB2312" w:eastAsia="楷体_GB2312" w:cs="楷体_GB2312"/>
          <w:b/>
          <w:bCs/>
          <w:sz w:val="24"/>
          <w:szCs w:val="24"/>
        </w:rPr>
        <w:t>二、 所得税</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keepNext w:val="0"/>
        <w:keepLines w:val="0"/>
        <w:pageBreakBefore w:val="0"/>
        <w:widowControl w:val="0"/>
        <w:kinsoku/>
        <w:wordWrap/>
        <w:overflowPunct/>
        <w:topLinePunct w:val="0"/>
        <w:bidi w:val="0"/>
        <w:adjustRightInd w:val="0"/>
        <w:snapToGrid w:val="0"/>
        <w:spacing w:before="120" w:beforeLines="50" w:after="120"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根据2008年1月1日起执行的《中华人民共和国企业所得税法实施条例》及其他相关的法律、法规，一般企业投资人来源于资产支持商业票据的利息所得应缴纳企业所得税。企业应将当期应收取的资产支持商业票据利息计入当期收入，核算当期损益后缴纳企业所得税。</w:t>
      </w:r>
    </w:p>
    <w:p>
      <w:pPr>
        <w:keepNext w:val="0"/>
        <w:keepLines w:val="0"/>
        <w:pageBreakBefore w:val="0"/>
        <w:widowControl w:val="0"/>
        <w:kinsoku/>
        <w:wordWrap/>
        <w:overflowPunct/>
        <w:topLinePunct w:val="0"/>
        <w:bidi w:val="0"/>
        <w:adjustRightInd w:val="0"/>
        <w:spacing w:before="120" w:beforeLines="50" w:after="120" w:afterLines="50" w:line="240" w:lineRule="atLeast"/>
        <w:ind w:firstLine="482" w:firstLineChars="200"/>
        <w:jc w:val="both"/>
        <w:textAlignment w:val="auto"/>
        <w:rPr>
          <w:rFonts w:hint="eastAsia" w:ascii="楷体_GB2312" w:hAnsi="楷体_GB2312" w:eastAsia="楷体_GB2312" w:cs="楷体_GB2312"/>
          <w:b/>
          <w:bCs/>
          <w:sz w:val="24"/>
          <w:szCs w:val="24"/>
        </w:rPr>
      </w:pPr>
      <w:bookmarkStart w:id="2195" w:name="_Toc4802"/>
      <w:bookmarkStart w:id="2196" w:name="_Toc5833"/>
      <w:bookmarkStart w:id="2197" w:name="_Toc3396"/>
      <w:bookmarkStart w:id="2198" w:name="_Toc13880"/>
      <w:bookmarkStart w:id="2199" w:name="_Toc1013"/>
      <w:bookmarkStart w:id="2200" w:name="_Toc10224"/>
      <w:bookmarkStart w:id="2201" w:name="_Toc2230"/>
      <w:bookmarkStart w:id="2202" w:name="_Toc20777"/>
      <w:bookmarkStart w:id="2203" w:name="_Toc25186"/>
      <w:bookmarkStart w:id="2204" w:name="_Toc18292"/>
      <w:bookmarkStart w:id="2205" w:name="_Toc7756"/>
      <w:bookmarkStart w:id="2206" w:name="_Toc29662"/>
      <w:bookmarkStart w:id="2207" w:name="_Toc16409"/>
      <w:bookmarkStart w:id="2208" w:name="_Toc8541"/>
      <w:bookmarkStart w:id="2209" w:name="_Toc13857"/>
      <w:bookmarkStart w:id="2210" w:name="_Toc6207"/>
      <w:bookmarkStart w:id="2211" w:name="_Toc28262"/>
      <w:bookmarkStart w:id="2212" w:name="_Toc3164"/>
      <w:bookmarkStart w:id="2213" w:name="_Toc21055"/>
      <w:bookmarkStart w:id="2214" w:name="_Toc940"/>
      <w:bookmarkStart w:id="2215" w:name="_Toc6833"/>
      <w:bookmarkStart w:id="2216" w:name="_Toc421"/>
      <w:bookmarkStart w:id="2217" w:name="_Toc18589"/>
      <w:bookmarkStart w:id="2218" w:name="_Toc25702"/>
      <w:bookmarkStart w:id="2219" w:name="_Toc7404"/>
      <w:bookmarkStart w:id="2220" w:name="_Toc2425"/>
      <w:bookmarkStart w:id="2221" w:name="_Toc27238"/>
      <w:bookmarkStart w:id="2222" w:name="_Toc1417"/>
      <w:bookmarkStart w:id="2223" w:name="_Toc13266"/>
      <w:bookmarkStart w:id="2224" w:name="_Toc30801"/>
      <w:bookmarkStart w:id="2225" w:name="_Toc21436"/>
      <w:bookmarkStart w:id="2226" w:name="_Toc15582"/>
      <w:bookmarkStart w:id="2227" w:name="_Toc9344"/>
      <w:bookmarkStart w:id="2228" w:name="_Toc7116"/>
      <w:bookmarkStart w:id="2229" w:name="_Toc35499408"/>
      <w:r>
        <w:rPr>
          <w:rFonts w:hint="eastAsia" w:ascii="楷体_GB2312" w:hAnsi="楷体_GB2312" w:eastAsia="楷体_GB2312" w:cs="楷体_GB2312"/>
          <w:b/>
          <w:bCs/>
          <w:sz w:val="24"/>
          <w:szCs w:val="24"/>
        </w:rPr>
        <w:t>三、 印花税</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pPr>
        <w:keepNext w:val="0"/>
        <w:keepLines w:val="0"/>
        <w:pageBreakBefore w:val="0"/>
        <w:widowControl w:val="0"/>
        <w:kinsoku/>
        <w:wordWrap/>
        <w:overflowPunct/>
        <w:topLinePunct w:val="0"/>
        <w:bidi w:val="0"/>
        <w:adjustRightInd w:val="0"/>
        <w:snapToGrid w:val="0"/>
        <w:spacing w:before="120" w:beforeLines="50" w:after="120"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根据1988年10月1日生效的《中华人民共和国印花税暂行条例》及其实施细则，在我国境内买卖、继承、赠与、交换、分割等所书立的产权转移书据，均应缴纳印花税。对资产支持商业票据在银行间市场进行的交易，我国目前还没有具体规定。发起机构无法预测国家是否或将会于何时决定对有关资产支持商业票据交易征收印花税，也无法预测将会适用的税率水平。</w:t>
      </w:r>
    </w:p>
    <w:p>
      <w:pPr>
        <w:keepNext w:val="0"/>
        <w:keepLines w:val="0"/>
        <w:pageBreakBefore w:val="0"/>
        <w:widowControl w:val="0"/>
        <w:kinsoku/>
        <w:wordWrap/>
        <w:overflowPunct/>
        <w:topLinePunct w:val="0"/>
        <w:autoSpaceDE w:val="0"/>
        <w:autoSpaceDN w:val="0"/>
        <w:bidi w:val="0"/>
        <w:adjustRightInd w:val="0"/>
        <w:spacing w:before="120" w:beforeLines="50" w:after="120" w:afterLines="50" w:line="240" w:lineRule="atLeast"/>
        <w:jc w:val="both"/>
        <w:textAlignment w:val="auto"/>
        <w:rPr>
          <w:rFonts w:hint="eastAsia" w:ascii="楷体_GB2312" w:hAnsi="楷体_GB2312" w:eastAsia="楷体_GB2312" w:cs="楷体_GB2312"/>
          <w:b/>
          <w:bCs/>
          <w:kern w:val="0"/>
          <w:sz w:val="24"/>
          <w:szCs w:val="24"/>
        </w:rPr>
      </w:pPr>
      <w:bookmarkStart w:id="2230" w:name="_Toc1131"/>
      <w:bookmarkStart w:id="2231" w:name="_Toc24633"/>
      <w:bookmarkStart w:id="2232" w:name="_Toc6184"/>
      <w:bookmarkStart w:id="2233" w:name="_Toc15823"/>
      <w:bookmarkStart w:id="2234" w:name="_Toc35499410"/>
      <w:bookmarkStart w:id="2235" w:name="_Toc21078"/>
      <w:bookmarkStart w:id="2236" w:name="_Toc6846"/>
      <w:bookmarkStart w:id="2237" w:name="_Toc1498"/>
      <w:bookmarkStart w:id="2238" w:name="_Toc5133"/>
      <w:bookmarkStart w:id="2239" w:name="_Toc21837"/>
      <w:bookmarkStart w:id="2240" w:name="_Toc7456"/>
      <w:bookmarkStart w:id="2241" w:name="_Toc27959"/>
      <w:bookmarkStart w:id="2242" w:name="_Toc814"/>
      <w:bookmarkStart w:id="2243" w:name="_Toc9696"/>
      <w:bookmarkStart w:id="2244" w:name="_Toc331"/>
      <w:bookmarkStart w:id="2245" w:name="_Toc30543"/>
      <w:bookmarkStart w:id="2246" w:name="_Toc17965"/>
      <w:bookmarkStart w:id="2247" w:name="_Toc15797"/>
      <w:bookmarkStart w:id="2248" w:name="_Toc29422"/>
      <w:bookmarkStart w:id="2249" w:name="_Toc7885"/>
      <w:bookmarkStart w:id="2250" w:name="_Toc12955"/>
      <w:bookmarkStart w:id="2251" w:name="_Toc28008"/>
      <w:r>
        <w:rPr>
          <w:rFonts w:hint="eastAsia" w:ascii="楷体_GB2312" w:hAnsi="楷体_GB2312" w:eastAsia="楷体_GB2312" w:cs="楷体_GB2312"/>
          <w:b/>
          <w:bCs/>
          <w:kern w:val="0"/>
          <w:sz w:val="24"/>
          <w:szCs w:val="24"/>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napToGrid/>
        <w:spacing w:before="120"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2252" w:name="_Toc15180"/>
      <w:bookmarkStart w:id="2253" w:name="_Toc510"/>
      <w:bookmarkStart w:id="2254" w:name="_Toc17944"/>
      <w:bookmarkStart w:id="2255" w:name="_Toc2614"/>
      <w:bookmarkStart w:id="2256" w:name="_Toc25224"/>
      <w:bookmarkStart w:id="2257" w:name="_Toc29654"/>
      <w:bookmarkStart w:id="2258" w:name="_Toc18275"/>
      <w:bookmarkStart w:id="2259" w:name="_Toc15074"/>
      <w:bookmarkStart w:id="2260" w:name="_Toc11263"/>
      <w:bookmarkStart w:id="2261" w:name="_Toc22845"/>
      <w:bookmarkStart w:id="2262" w:name="_Toc21362"/>
      <w:bookmarkStart w:id="2263" w:name="_Toc20561"/>
      <w:bookmarkStart w:id="2264" w:name="_Toc21333"/>
      <w:bookmarkStart w:id="2265" w:name="_Toc13128"/>
      <w:bookmarkStart w:id="2266" w:name="_Toc252"/>
      <w:bookmarkStart w:id="2267" w:name="_Toc21876"/>
      <w:bookmarkStart w:id="2268" w:name="_Toc32494"/>
      <w:r>
        <w:rPr>
          <w:rFonts w:hint="eastAsia" w:ascii="楷体_GB2312" w:hAnsi="楷体_GB2312" w:eastAsia="楷体_GB2312" w:cs="楷体_GB2312"/>
          <w:b/>
          <w:bCs/>
          <w:kern w:val="0"/>
          <w:sz w:val="30"/>
          <w:szCs w:val="30"/>
        </w:rPr>
        <w:t>主要交易文件摘要</w:t>
      </w:r>
      <w:bookmarkEnd w:id="2252"/>
      <w:bookmarkEnd w:id="2253"/>
      <w:bookmarkEnd w:id="2254"/>
      <w:bookmarkEnd w:id="2255"/>
      <w:bookmarkEnd w:id="2256"/>
    </w:p>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7"/>
    <w:bookmarkEnd w:id="2258"/>
    <w:bookmarkEnd w:id="2259"/>
    <w:bookmarkEnd w:id="2260"/>
    <w:bookmarkEnd w:id="2261"/>
    <w:bookmarkEnd w:id="2262"/>
    <w:bookmarkEnd w:id="2263"/>
    <w:bookmarkEnd w:id="2264"/>
    <w:bookmarkEnd w:id="2265"/>
    <w:bookmarkEnd w:id="2266"/>
    <w:bookmarkEnd w:id="2267"/>
    <w:bookmarkEnd w:id="2268"/>
    <w:p>
      <w:pPr>
        <w:keepNext w:val="0"/>
        <w:keepLines w:val="0"/>
        <w:pageBreakBefore w:val="0"/>
        <w:widowControl w:val="0"/>
        <w:kinsoku/>
        <w:wordWrap/>
        <w:overflowPunct/>
        <w:topLinePunct w:val="0"/>
        <w:bidi w:val="0"/>
        <w:adjustRightInd w:val="0"/>
        <w:snapToGrid/>
        <w:spacing w:before="120" w:beforeLines="50" w:after="157" w:afterLines="50" w:line="240" w:lineRule="atLeast"/>
        <w:ind w:firstLine="482" w:firstLineChars="200"/>
        <w:jc w:val="both"/>
        <w:textAlignment w:val="auto"/>
        <w:outlineLvl w:val="2"/>
        <w:rPr>
          <w:rFonts w:hint="eastAsia" w:ascii="楷体_GB2312" w:hAnsi="楷体_GB2312" w:eastAsia="楷体_GB2312" w:cs="楷体_GB2312"/>
          <w:snapToGrid w:val="0"/>
          <w:kern w:val="0"/>
          <w:sz w:val="24"/>
          <w:szCs w:val="24"/>
        </w:rPr>
      </w:pPr>
      <w:bookmarkStart w:id="2269" w:name="_Toc25995"/>
      <w:bookmarkStart w:id="2270" w:name="_Toc5222"/>
      <w:bookmarkStart w:id="2271" w:name="_Toc1840"/>
      <w:bookmarkStart w:id="2272" w:name="_Toc12969"/>
      <w:bookmarkStart w:id="2273" w:name="_Toc26164"/>
      <w:bookmarkStart w:id="2274" w:name="_Toc8536"/>
      <w:bookmarkStart w:id="2275" w:name="_Toc415"/>
      <w:bookmarkStart w:id="2276" w:name="_Toc18439"/>
      <w:bookmarkStart w:id="2277" w:name="_Toc23670"/>
      <w:bookmarkStart w:id="2278" w:name="_Toc14742"/>
      <w:bookmarkStart w:id="2279" w:name="_Toc30931"/>
      <w:bookmarkStart w:id="2280" w:name="_Toc24089"/>
      <w:bookmarkStart w:id="2281" w:name="_Toc26144"/>
      <w:bookmarkStart w:id="2282" w:name="_Toc5464"/>
      <w:bookmarkStart w:id="2283" w:name="_Toc1552"/>
      <w:bookmarkStart w:id="2284" w:name="_Toc7417"/>
      <w:bookmarkStart w:id="2285" w:name="_Toc3260"/>
      <w:bookmarkStart w:id="2286" w:name="_Toc13647"/>
      <w:bookmarkStart w:id="2287" w:name="_Toc15618"/>
      <w:bookmarkStart w:id="2288" w:name="_Toc5124"/>
      <w:bookmarkStart w:id="2289" w:name="_Toc13703"/>
      <w:bookmarkStart w:id="2290" w:name="_Toc12176"/>
      <w:bookmarkStart w:id="2291" w:name="_Toc31421"/>
      <w:bookmarkStart w:id="2292" w:name="_Toc32245"/>
      <w:bookmarkStart w:id="2293" w:name="_Toc8887"/>
      <w:bookmarkStart w:id="2294" w:name="_Toc6169"/>
      <w:bookmarkStart w:id="2295" w:name="_Toc1890"/>
      <w:bookmarkStart w:id="2296" w:name="_Toc27398"/>
      <w:bookmarkStart w:id="2297" w:name="_Toc29614"/>
      <w:bookmarkStart w:id="2298" w:name="_Toc26755"/>
      <w:bookmarkStart w:id="2299" w:name="_Toc18771"/>
      <w:bookmarkStart w:id="2300" w:name="_Toc23675"/>
      <w:bookmarkStart w:id="2301" w:name="_Toc19385"/>
      <w:bookmarkStart w:id="2302" w:name="_Toc28956"/>
      <w:bookmarkStart w:id="2303" w:name="_Toc35499411"/>
      <w:bookmarkStart w:id="2304" w:name="_Toc26743"/>
      <w:bookmarkStart w:id="2305" w:name="_Toc22759"/>
      <w:r>
        <w:rPr>
          <w:rFonts w:hint="eastAsia" w:ascii="楷体_GB2312" w:hAnsi="楷体_GB2312" w:eastAsia="楷体_GB2312" w:cs="楷体_GB2312"/>
          <w:b/>
          <w:bCs/>
          <w:sz w:val="24"/>
          <w:szCs w:val="24"/>
        </w:rPr>
        <w:t>一、《信托合同》摘要</w:t>
      </w:r>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pPr>
        <w:keepNext w:val="0"/>
        <w:keepLines w:val="0"/>
        <w:pageBreakBefore w:val="0"/>
        <w:widowControl w:val="0"/>
        <w:kinsoku/>
        <w:wordWrap/>
        <w:overflowPunct/>
        <w:topLinePunct w:val="0"/>
        <w:bidi w:val="0"/>
        <w:adjustRightInd w:val="0"/>
        <w:snapToGrid/>
        <w:spacing w:before="120"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2306" w:name="_Toc10185"/>
      <w:bookmarkStart w:id="2307" w:name="_Toc586"/>
      <w:bookmarkStart w:id="2308" w:name="_Toc13635"/>
      <w:bookmarkStart w:id="2309" w:name="_Toc23573"/>
      <w:bookmarkStart w:id="2310" w:name="_Toc27833"/>
      <w:bookmarkStart w:id="2311" w:name="_Toc30394"/>
      <w:bookmarkStart w:id="2312" w:name="_Toc13541"/>
      <w:bookmarkStart w:id="2313" w:name="_Toc26816"/>
      <w:bookmarkStart w:id="2314" w:name="_Toc29165"/>
      <w:bookmarkStart w:id="2315" w:name="_Toc19744"/>
      <w:bookmarkStart w:id="2316" w:name="_Toc20116"/>
      <w:bookmarkStart w:id="2317" w:name="_Toc19905"/>
      <w:bookmarkStart w:id="2318" w:name="_Toc5228"/>
      <w:bookmarkStart w:id="2319" w:name="_Toc17590"/>
      <w:bookmarkStart w:id="2320" w:name="_Toc14116"/>
      <w:bookmarkStart w:id="2321" w:name="_Toc17177"/>
      <w:bookmarkStart w:id="2322" w:name="_Toc25599"/>
      <w:bookmarkStart w:id="2323" w:name="_Toc6275"/>
      <w:bookmarkStart w:id="2324" w:name="_Toc29225"/>
      <w:bookmarkStart w:id="2325" w:name="_Toc27327"/>
      <w:bookmarkStart w:id="2326" w:name="_Toc31015"/>
      <w:bookmarkStart w:id="2327" w:name="_Toc1336"/>
      <w:bookmarkStart w:id="2328" w:name="_Toc16506"/>
      <w:bookmarkStart w:id="2329" w:name="_Toc4355"/>
      <w:bookmarkStart w:id="2330" w:name="_Toc7854"/>
      <w:bookmarkStart w:id="2331" w:name="_Toc17236"/>
      <w:r>
        <w:rPr>
          <w:rFonts w:hint="eastAsia" w:ascii="楷体_GB2312" w:hAnsi="楷体_GB2312" w:eastAsia="楷体_GB2312" w:cs="楷体_GB2312"/>
          <w:b/>
          <w:bCs/>
          <w:sz w:val="24"/>
          <w:szCs w:val="24"/>
        </w:rPr>
        <w:t>二、《服务合同》摘要</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rPr>
          <w:rFonts w:hint="eastAsia" w:ascii="楷体_GB2312" w:hAnsi="楷体_GB2312" w:eastAsia="楷体_GB2312" w:cs="楷体_GB2312"/>
          <w:b/>
          <w:bCs/>
          <w:sz w:val="24"/>
          <w:szCs w:val="24"/>
        </w:rPr>
        <w:t>（如有）</w:t>
      </w:r>
      <w:bookmarkEnd w:id="2329"/>
      <w:bookmarkEnd w:id="2330"/>
      <w:bookmarkEnd w:id="2331"/>
    </w:p>
    <w:p>
      <w:pPr>
        <w:keepNext w:val="0"/>
        <w:keepLines w:val="0"/>
        <w:pageBreakBefore w:val="0"/>
        <w:widowControl w:val="0"/>
        <w:kinsoku/>
        <w:wordWrap/>
        <w:overflowPunct/>
        <w:topLinePunct w:val="0"/>
        <w:bidi w:val="0"/>
        <w:adjustRightInd w:val="0"/>
        <w:snapToGrid/>
        <w:spacing w:before="120"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2332" w:name="_Toc15098"/>
      <w:bookmarkStart w:id="2333" w:name="_Toc14180"/>
      <w:bookmarkStart w:id="2334" w:name="_Toc24401"/>
      <w:bookmarkStart w:id="2335" w:name="_Toc11658"/>
      <w:bookmarkStart w:id="2336" w:name="_Toc4786"/>
      <w:bookmarkStart w:id="2337" w:name="_Toc6373"/>
      <w:bookmarkStart w:id="2338" w:name="_Toc1777"/>
      <w:bookmarkStart w:id="2339" w:name="_Toc16516"/>
      <w:bookmarkStart w:id="2340" w:name="_Toc31056"/>
      <w:bookmarkStart w:id="2341" w:name="_Toc17356"/>
      <w:bookmarkStart w:id="2342" w:name="_Toc5434"/>
      <w:bookmarkStart w:id="2343" w:name="_Toc516"/>
      <w:bookmarkStart w:id="2344" w:name="_Toc13397"/>
      <w:bookmarkStart w:id="2345" w:name="_Toc9654"/>
      <w:bookmarkStart w:id="2346" w:name="_Toc29779"/>
      <w:bookmarkStart w:id="2347" w:name="_Toc10773"/>
      <w:bookmarkStart w:id="2348" w:name="_Toc30845"/>
      <w:bookmarkStart w:id="2349" w:name="_Toc21567"/>
      <w:bookmarkStart w:id="2350" w:name="_Toc27940"/>
      <w:bookmarkStart w:id="2351" w:name="_Toc27952"/>
      <w:bookmarkStart w:id="2352" w:name="_Toc20093"/>
      <w:bookmarkStart w:id="2353" w:name="_Toc4207"/>
      <w:bookmarkStart w:id="2354" w:name="_Toc14939"/>
      <w:bookmarkStart w:id="2355" w:name="_Toc7763"/>
      <w:bookmarkStart w:id="2356" w:name="_Toc10831"/>
      <w:bookmarkStart w:id="2357" w:name="_Toc26195"/>
      <w:r>
        <w:rPr>
          <w:rFonts w:hint="eastAsia" w:ascii="楷体_GB2312" w:hAnsi="楷体_GB2312" w:eastAsia="楷体_GB2312" w:cs="楷体_GB2312"/>
          <w:b/>
          <w:bCs/>
          <w:sz w:val="24"/>
          <w:szCs w:val="24"/>
        </w:rPr>
        <w:t>三、《资金保管合同》摘要</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pPr>
        <w:keepNext w:val="0"/>
        <w:keepLines w:val="0"/>
        <w:pageBreakBefore w:val="0"/>
        <w:widowControl w:val="0"/>
        <w:kinsoku/>
        <w:wordWrap/>
        <w:overflowPunct/>
        <w:topLinePunct w:val="0"/>
        <w:bidi w:val="0"/>
        <w:adjustRightInd w:val="0"/>
        <w:snapToGrid/>
        <w:spacing w:before="120" w:beforeLines="50" w:after="157" w:afterLines="50" w:line="240" w:lineRule="atLeast"/>
        <w:ind w:firstLine="482"/>
        <w:jc w:val="both"/>
        <w:textAlignment w:val="auto"/>
        <w:outlineLvl w:val="2"/>
        <w:rPr>
          <w:rFonts w:hint="eastAsia" w:ascii="楷体_GB2312" w:hAnsi="楷体_GB2312" w:eastAsia="楷体_GB2312" w:cs="楷体_GB2312"/>
          <w:b/>
          <w:bCs/>
          <w:sz w:val="24"/>
          <w:szCs w:val="24"/>
        </w:rPr>
      </w:pPr>
      <w:bookmarkStart w:id="2358" w:name="_Toc767"/>
      <w:bookmarkStart w:id="2359" w:name="_Toc4045"/>
      <w:bookmarkStart w:id="2360" w:name="_Toc19549"/>
      <w:bookmarkStart w:id="2361" w:name="_Toc4682"/>
      <w:bookmarkStart w:id="2362" w:name="_Toc12422"/>
      <w:bookmarkStart w:id="2363" w:name="_Toc7743"/>
      <w:bookmarkStart w:id="2364" w:name="_Toc11304"/>
      <w:bookmarkStart w:id="2365" w:name="_Toc10084"/>
      <w:bookmarkStart w:id="2366" w:name="_Toc21384"/>
      <w:bookmarkStart w:id="2367" w:name="_Toc6116"/>
      <w:bookmarkStart w:id="2368" w:name="_Toc16944"/>
      <w:bookmarkStart w:id="2369" w:name="_Toc20261"/>
      <w:bookmarkStart w:id="2370" w:name="_Toc3741"/>
      <w:r>
        <w:rPr>
          <w:rFonts w:hint="eastAsia" w:ascii="楷体_GB2312" w:hAnsi="楷体_GB2312" w:eastAsia="楷体_GB2312" w:cs="楷体_GB2312"/>
          <w:b/>
          <w:bCs/>
          <w:sz w:val="24"/>
          <w:szCs w:val="24"/>
        </w:rPr>
        <w:t>四、《资金监管合同》摘要（如有）</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p>
    <w:bookmarkEnd w:id="2295"/>
    <w:bookmarkEnd w:id="2296"/>
    <w:bookmarkEnd w:id="2297"/>
    <w:bookmarkEnd w:id="2298"/>
    <w:bookmarkEnd w:id="2299"/>
    <w:bookmarkEnd w:id="2300"/>
    <w:bookmarkEnd w:id="2301"/>
    <w:bookmarkEnd w:id="2302"/>
    <w:bookmarkEnd w:id="2303"/>
    <w:bookmarkEnd w:id="2304"/>
    <w:bookmarkEnd w:id="2305"/>
    <w:p>
      <w:pPr>
        <w:keepNext w:val="0"/>
        <w:keepLines w:val="0"/>
        <w:pageBreakBefore w:val="0"/>
        <w:widowControl w:val="0"/>
        <w:kinsoku/>
        <w:wordWrap/>
        <w:overflowPunct/>
        <w:topLinePunct w:val="0"/>
        <w:autoSpaceDE w:val="0"/>
        <w:autoSpaceDN w:val="0"/>
        <w:bidi w:val="0"/>
        <w:adjustRightInd w:val="0"/>
        <w:snapToGrid/>
        <w:spacing w:before="120" w:beforeLines="50" w:after="157" w:afterLines="50" w:line="240" w:lineRule="atLeast"/>
        <w:jc w:val="both"/>
        <w:textAlignment w:val="auto"/>
        <w:rPr>
          <w:rFonts w:hint="eastAsia" w:ascii="楷体_GB2312" w:hAnsi="楷体_GB2312" w:eastAsia="楷体_GB2312" w:cs="楷体_GB2312"/>
          <w:kern w:val="0"/>
          <w:sz w:val="24"/>
          <w:szCs w:val="24"/>
          <w:lang w:val="zh-CN"/>
        </w:rPr>
      </w:pPr>
      <w:r>
        <w:rPr>
          <w:rFonts w:hint="eastAsia" w:ascii="楷体_GB2312" w:hAnsi="楷体_GB2312" w:eastAsia="楷体_GB2312" w:cs="楷体_GB2312"/>
          <w:kern w:val="0"/>
          <w:sz w:val="24"/>
          <w:szCs w:val="24"/>
          <w:lang w:val="zh-CN"/>
        </w:rPr>
        <w:br w:type="page"/>
      </w:r>
      <w:bookmarkStart w:id="2371" w:name="_Toc1154"/>
      <w:bookmarkStart w:id="2372" w:name="_Toc32430"/>
      <w:bookmarkStart w:id="2373" w:name="_Toc17742"/>
      <w:bookmarkStart w:id="2374" w:name="_Toc30480"/>
      <w:bookmarkStart w:id="2375" w:name="_Toc7303"/>
      <w:bookmarkStart w:id="2376" w:name="_Toc15658"/>
      <w:bookmarkStart w:id="2377" w:name="_Toc22242"/>
      <w:bookmarkStart w:id="2378" w:name="_Toc649"/>
      <w:bookmarkStart w:id="2379" w:name="_Toc29367"/>
      <w:bookmarkStart w:id="2380" w:name="_Toc5448"/>
      <w:bookmarkStart w:id="2381" w:name="_Toc10665"/>
      <w:bookmarkStart w:id="2382" w:name="_Toc18441"/>
      <w:bookmarkStart w:id="2383" w:name="_Toc27609"/>
      <w:bookmarkStart w:id="2384" w:name="_Toc12803"/>
      <w:bookmarkStart w:id="2385" w:name="_Toc16043"/>
      <w:bookmarkStart w:id="2386" w:name="_Toc31696"/>
      <w:bookmarkStart w:id="2387" w:name="_Toc8641"/>
      <w:bookmarkStart w:id="2388" w:name="_Toc1970"/>
      <w:bookmarkStart w:id="2389" w:name="_Toc5553"/>
      <w:bookmarkStart w:id="2390" w:name="_Toc35499414"/>
      <w:bookmarkStart w:id="2391" w:name="_Toc23452"/>
      <w:bookmarkStart w:id="2392" w:name="_Toc1649"/>
    </w:p>
    <w:p>
      <w:pPr>
        <w:pStyle w:val="156"/>
        <w:keepNext w:val="0"/>
        <w:keepLines w:val="0"/>
        <w:pageBreakBefore w:val="0"/>
        <w:widowControl w:val="0"/>
        <w:numPr>
          <w:ilvl w:val="0"/>
          <w:numId w:val="1"/>
        </w:numPr>
        <w:kinsoku/>
        <w:wordWrap/>
        <w:overflowPunct/>
        <w:topLinePunct w:val="0"/>
        <w:autoSpaceDE w:val="0"/>
        <w:autoSpaceDN w:val="0"/>
        <w:bidi w:val="0"/>
        <w:adjustRightInd w:val="0"/>
        <w:snapToGrid/>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2393" w:name="_Toc21174"/>
      <w:bookmarkStart w:id="2394" w:name="_Toc2182"/>
      <w:bookmarkStart w:id="2395" w:name="_Toc15104"/>
      <w:bookmarkStart w:id="2396" w:name="_Toc20011"/>
      <w:bookmarkStart w:id="2397" w:name="_Toc5013"/>
      <w:bookmarkStart w:id="2398" w:name="_Toc27828"/>
      <w:bookmarkStart w:id="2399" w:name="_Toc20518"/>
      <w:bookmarkStart w:id="2400" w:name="_Toc7669"/>
      <w:bookmarkStart w:id="2401" w:name="_Toc27654"/>
      <w:bookmarkStart w:id="2402" w:name="_Toc30528"/>
      <w:bookmarkStart w:id="2403" w:name="_Toc4011"/>
      <w:bookmarkStart w:id="2404" w:name="_Toc5690"/>
      <w:bookmarkStart w:id="2405" w:name="_Toc20621"/>
      <w:bookmarkStart w:id="2406" w:name="_Toc4481"/>
      <w:bookmarkStart w:id="2407" w:name="_Toc1434"/>
      <w:bookmarkStart w:id="2408" w:name="_Toc8521"/>
      <w:bookmarkStart w:id="2409" w:name="_Toc10427"/>
      <w:r>
        <w:rPr>
          <w:rFonts w:hint="eastAsia" w:ascii="楷体_GB2312" w:hAnsi="楷体_GB2312" w:eastAsia="楷体_GB2312" w:cs="楷体_GB2312"/>
          <w:b/>
          <w:bCs/>
          <w:kern w:val="0"/>
          <w:sz w:val="30"/>
          <w:szCs w:val="30"/>
        </w:rPr>
        <w:t>评级状况（如有）</w:t>
      </w:r>
      <w:bookmarkEnd w:id="2393"/>
      <w:bookmarkEnd w:id="2394"/>
      <w:bookmarkEnd w:id="2395"/>
      <w:bookmarkEnd w:id="2396"/>
      <w:bookmarkEnd w:id="2397"/>
    </w:p>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8"/>
    <w:bookmarkEnd w:id="2399"/>
    <w:bookmarkEnd w:id="2400"/>
    <w:bookmarkEnd w:id="2401"/>
    <w:bookmarkEnd w:id="2402"/>
    <w:bookmarkEnd w:id="2403"/>
    <w:bookmarkEnd w:id="2404"/>
    <w:bookmarkEnd w:id="2405"/>
    <w:bookmarkEnd w:id="2406"/>
    <w:bookmarkEnd w:id="2407"/>
    <w:bookmarkEnd w:id="2408"/>
    <w:bookmarkEnd w:id="2409"/>
    <w:p>
      <w:pPr>
        <w:keepNext w:val="0"/>
        <w:keepLines w:val="0"/>
        <w:pageBreakBefore w:val="0"/>
        <w:widowControl w:val="0"/>
        <w:kinsoku/>
        <w:wordWrap/>
        <w:overflowPunct/>
        <w:topLinePunct w:val="0"/>
        <w:bidi w:val="0"/>
        <w:adjustRightInd w:val="0"/>
        <w:snapToGrid/>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2410" w:name="_Toc23819"/>
      <w:bookmarkStart w:id="2411" w:name="_Toc29632"/>
      <w:bookmarkStart w:id="2412" w:name="_Toc21614"/>
      <w:bookmarkStart w:id="2413" w:name="_Toc19874"/>
      <w:bookmarkStart w:id="2414" w:name="_Toc6928"/>
      <w:bookmarkStart w:id="2415" w:name="_Toc25178"/>
      <w:bookmarkStart w:id="2416" w:name="_Toc15781"/>
      <w:bookmarkStart w:id="2417" w:name="_Toc35499415"/>
      <w:bookmarkStart w:id="2418" w:name="_Toc11860"/>
      <w:bookmarkStart w:id="2419" w:name="_Toc3672"/>
      <w:bookmarkStart w:id="2420" w:name="_Toc8779"/>
      <w:bookmarkStart w:id="2421" w:name="_Toc7147"/>
      <w:bookmarkStart w:id="2422" w:name="_Toc25634"/>
      <w:bookmarkStart w:id="2423" w:name="_Toc31412"/>
      <w:bookmarkStart w:id="2424" w:name="_Toc31122"/>
      <w:bookmarkStart w:id="2425" w:name="_Toc17105"/>
      <w:bookmarkStart w:id="2426" w:name="_Toc21406"/>
      <w:bookmarkStart w:id="2427" w:name="_Toc20560"/>
      <w:bookmarkStart w:id="2428" w:name="_Toc11622"/>
      <w:bookmarkStart w:id="2429" w:name="_Toc6937"/>
      <w:bookmarkStart w:id="2430" w:name="_Toc24102"/>
      <w:bookmarkStart w:id="2431" w:name="_Toc22042"/>
      <w:bookmarkStart w:id="2432" w:name="_Toc800"/>
      <w:bookmarkStart w:id="2433" w:name="_Toc22686"/>
      <w:bookmarkStart w:id="2434" w:name="_Toc15216"/>
      <w:bookmarkStart w:id="2435" w:name="_Toc11588"/>
      <w:bookmarkStart w:id="2436" w:name="_Toc8216"/>
      <w:bookmarkStart w:id="2437" w:name="_Toc11209"/>
      <w:bookmarkStart w:id="2438" w:name="_Toc5677"/>
      <w:bookmarkStart w:id="2439" w:name="_Toc1685"/>
      <w:bookmarkStart w:id="2440" w:name="_Toc20532"/>
      <w:bookmarkStart w:id="2441" w:name="_Toc13520"/>
      <w:bookmarkStart w:id="2442" w:name="_Toc18683"/>
      <w:bookmarkStart w:id="2443" w:name="_Toc21022"/>
      <w:bookmarkStart w:id="2444" w:name="_Toc5681"/>
      <w:bookmarkStart w:id="2445" w:name="_Toc28304"/>
      <w:bookmarkStart w:id="2446" w:name="_Toc11354"/>
      <w:r>
        <w:rPr>
          <w:rFonts w:hint="eastAsia" w:ascii="楷体_GB2312" w:hAnsi="楷体_GB2312" w:eastAsia="楷体_GB2312" w:cs="楷体_GB2312"/>
          <w:b/>
          <w:bCs/>
          <w:sz w:val="24"/>
          <w:szCs w:val="24"/>
        </w:rPr>
        <w:t>一、</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r>
        <w:rPr>
          <w:rFonts w:hint="eastAsia" w:ascii="楷体_GB2312" w:hAnsi="楷体_GB2312" w:eastAsia="楷体_GB2312" w:cs="楷体_GB2312"/>
          <w:b/>
          <w:bCs/>
          <w:sz w:val="24"/>
          <w:szCs w:val="24"/>
        </w:rPr>
        <w:t>资产支持商业票据评级</w:t>
      </w:r>
      <w:bookmarkEnd w:id="2433"/>
      <w:bookmarkEnd w:id="2434"/>
      <w:bookmarkEnd w:id="2435"/>
      <w:bookmarkEnd w:id="2436"/>
      <w:bookmarkEnd w:id="2437"/>
      <w:bookmarkEnd w:id="2438"/>
      <w:bookmarkEnd w:id="2439"/>
      <w:bookmarkEnd w:id="2440"/>
      <w:bookmarkEnd w:id="2441"/>
      <w:bookmarkEnd w:id="2442"/>
      <w:bookmarkEnd w:id="2443"/>
      <w:r>
        <w:rPr>
          <w:rFonts w:hint="eastAsia" w:ascii="楷体_GB2312" w:hAnsi="楷体_GB2312" w:eastAsia="楷体_GB2312" w:cs="楷体_GB2312"/>
          <w:b/>
          <w:bCs/>
          <w:sz w:val="24"/>
          <w:szCs w:val="24"/>
        </w:rPr>
        <w:t>（如有）</w:t>
      </w:r>
      <w:bookmarkEnd w:id="2444"/>
      <w:bookmarkEnd w:id="2445"/>
      <w:bookmarkEnd w:id="2446"/>
    </w:p>
    <w:p>
      <w:pPr>
        <w:keepNext w:val="0"/>
        <w:keepLines w:val="0"/>
        <w:pageBreakBefore w:val="0"/>
        <w:widowControl w:val="0"/>
        <w:kinsoku/>
        <w:wordWrap/>
        <w:overflowPunct/>
        <w:topLinePunct w:val="0"/>
        <w:bidi w:val="0"/>
        <w:adjustRightInd w:val="0"/>
        <w:snapToGrid/>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2447" w:name="_Toc23514"/>
      <w:bookmarkStart w:id="2448" w:name="_Toc20776"/>
      <w:bookmarkStart w:id="2449" w:name="_Toc26898"/>
      <w:bookmarkStart w:id="2450" w:name="_Toc23844"/>
      <w:bookmarkStart w:id="2451" w:name="_Toc30842"/>
      <w:bookmarkStart w:id="2452" w:name="_Toc30096"/>
      <w:bookmarkStart w:id="2453" w:name="_Toc962"/>
      <w:bookmarkStart w:id="2454" w:name="_Toc2045"/>
      <w:bookmarkStart w:id="2455" w:name="_Toc18668"/>
      <w:bookmarkStart w:id="2456" w:name="_Toc32308"/>
      <w:bookmarkStart w:id="2457" w:name="_Toc16809"/>
      <w:bookmarkStart w:id="2458" w:name="_Toc32433"/>
      <w:bookmarkStart w:id="2459" w:name="_Toc23797"/>
      <w:bookmarkStart w:id="2460" w:name="_Toc12149"/>
      <w:bookmarkStart w:id="2461" w:name="_Toc8345"/>
      <w:bookmarkStart w:id="2462" w:name="_Toc19213"/>
      <w:bookmarkStart w:id="2463" w:name="_Toc11318"/>
      <w:bookmarkStart w:id="2464" w:name="_Toc20663"/>
      <w:bookmarkStart w:id="2465" w:name="_Toc35499416"/>
      <w:bookmarkStart w:id="2466" w:name="_Toc16843"/>
      <w:bookmarkStart w:id="2467" w:name="_Toc15968"/>
      <w:bookmarkStart w:id="2468" w:name="_Toc11679"/>
      <w:bookmarkStart w:id="2469" w:name="_Toc9489"/>
      <w:bookmarkStart w:id="2470" w:name="_Toc28305"/>
      <w:bookmarkStart w:id="2471" w:name="_Toc1213"/>
      <w:bookmarkStart w:id="2472" w:name="_Toc10227"/>
      <w:bookmarkStart w:id="2473" w:name="_Toc4302"/>
      <w:bookmarkStart w:id="2474" w:name="_Toc553"/>
      <w:bookmarkStart w:id="2475" w:name="_Toc18631"/>
      <w:bookmarkStart w:id="2476" w:name="_Toc16577"/>
      <w:bookmarkStart w:id="2477" w:name="_Toc18"/>
      <w:bookmarkStart w:id="2478" w:name="_Toc21454"/>
      <w:bookmarkStart w:id="2479" w:name="_Toc8284"/>
      <w:bookmarkStart w:id="2480" w:name="_Toc12020"/>
      <w:bookmarkStart w:id="2481" w:name="_Toc29425"/>
      <w:bookmarkStart w:id="2482" w:name="_Toc31341"/>
      <w:bookmarkStart w:id="2483" w:name="_Toc29260"/>
      <w:r>
        <w:rPr>
          <w:rFonts w:hint="eastAsia" w:ascii="楷体_GB2312" w:hAnsi="楷体_GB2312" w:eastAsia="楷体_GB2312" w:cs="楷体_GB2312"/>
          <w:b/>
          <w:bCs/>
          <w:sz w:val="24"/>
          <w:szCs w:val="24"/>
        </w:rPr>
        <w:t>二、</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r>
        <w:rPr>
          <w:rFonts w:hint="eastAsia" w:ascii="楷体_GB2312" w:hAnsi="楷体_GB2312" w:eastAsia="楷体_GB2312" w:cs="楷体_GB2312"/>
          <w:b/>
          <w:bCs/>
          <w:sz w:val="24"/>
          <w:szCs w:val="24"/>
        </w:rPr>
        <w:t>发起机构主体评级（如有）</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p>
    <w:p>
      <w:pPr>
        <w:keepNext w:val="0"/>
        <w:keepLines w:val="0"/>
        <w:pageBreakBefore w:val="0"/>
        <w:widowControl w:val="0"/>
        <w:kinsoku/>
        <w:wordWrap/>
        <w:overflowPunct/>
        <w:topLinePunct w:val="0"/>
        <w:bidi w:val="0"/>
        <w:adjustRightInd w:val="0"/>
        <w:snapToGrid/>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2484" w:name="_Toc35499417"/>
      <w:bookmarkStart w:id="2485" w:name="_Toc5980"/>
      <w:bookmarkStart w:id="2486" w:name="_Toc28045"/>
      <w:bookmarkStart w:id="2487" w:name="_Toc952"/>
      <w:bookmarkStart w:id="2488" w:name="_Toc26293"/>
      <w:bookmarkStart w:id="2489" w:name="_Toc15374"/>
      <w:bookmarkStart w:id="2490" w:name="_Toc28767"/>
      <w:bookmarkStart w:id="2491" w:name="_Toc123"/>
      <w:bookmarkStart w:id="2492" w:name="_Toc2782"/>
      <w:bookmarkStart w:id="2493" w:name="_Toc6753"/>
      <w:bookmarkStart w:id="2494" w:name="_Toc20721"/>
      <w:bookmarkStart w:id="2495" w:name="_Toc29378"/>
      <w:bookmarkStart w:id="2496" w:name="_Toc1389"/>
      <w:bookmarkStart w:id="2497" w:name="_Toc19757"/>
      <w:bookmarkStart w:id="2498" w:name="_Toc5651"/>
      <w:bookmarkStart w:id="2499" w:name="_Toc5353"/>
      <w:bookmarkStart w:id="2500" w:name="_Toc12285"/>
      <w:bookmarkStart w:id="2501" w:name="_Toc26470"/>
      <w:bookmarkStart w:id="2502" w:name="_Toc19388"/>
      <w:bookmarkStart w:id="2503" w:name="_Toc19648"/>
      <w:bookmarkStart w:id="2504" w:name="_Toc18818"/>
      <w:bookmarkStart w:id="2505" w:name="_Toc17954"/>
      <w:bookmarkStart w:id="2506" w:name="_Toc9619"/>
      <w:bookmarkStart w:id="2507" w:name="_Toc5776"/>
      <w:bookmarkStart w:id="2508" w:name="_Toc2672"/>
      <w:bookmarkStart w:id="2509" w:name="_Toc20855"/>
      <w:bookmarkStart w:id="2510" w:name="_Toc10433"/>
      <w:bookmarkStart w:id="2511" w:name="_Toc323"/>
      <w:bookmarkStart w:id="2512" w:name="_Toc18714"/>
      <w:bookmarkStart w:id="2513" w:name="_Toc17996"/>
      <w:bookmarkStart w:id="2514" w:name="_Toc12982"/>
      <w:bookmarkStart w:id="2515" w:name="_Toc13217"/>
      <w:bookmarkStart w:id="2516" w:name="_Toc5437"/>
      <w:bookmarkStart w:id="2517" w:name="_Toc18260"/>
      <w:bookmarkStart w:id="2518" w:name="_Toc25448"/>
      <w:bookmarkStart w:id="2519" w:name="_Toc948"/>
      <w:bookmarkStart w:id="2520" w:name="_Toc3021"/>
      <w:r>
        <w:rPr>
          <w:rFonts w:hint="eastAsia" w:ascii="楷体_GB2312" w:hAnsi="楷体_GB2312" w:eastAsia="楷体_GB2312" w:cs="楷体_GB2312"/>
          <w:b/>
          <w:bCs/>
          <w:sz w:val="24"/>
          <w:szCs w:val="24"/>
        </w:rPr>
        <w:t>三、</w:t>
      </w:r>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r>
        <w:rPr>
          <w:rFonts w:hint="eastAsia" w:ascii="楷体_GB2312" w:hAnsi="楷体_GB2312" w:eastAsia="楷体_GB2312" w:cs="楷体_GB2312"/>
          <w:b/>
          <w:bCs/>
          <w:sz w:val="24"/>
          <w:szCs w:val="24"/>
        </w:rPr>
        <w:t>信用增级机构主体评级（如有）</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pPr>
        <w:pStyle w:val="2"/>
        <w:keepNext w:val="0"/>
        <w:keepLines w:val="0"/>
        <w:pageBreakBefore w:val="0"/>
        <w:widowControl w:val="0"/>
        <w:kinsoku/>
        <w:wordWrap/>
        <w:overflowPunct/>
        <w:topLinePunct w:val="0"/>
        <w:bidi w:val="0"/>
        <w:snapToGrid/>
        <w:spacing w:before="157" w:beforeLines="50" w:after="120" w:afterLines="50" w:line="240" w:lineRule="atLeast"/>
        <w:ind w:firstLine="482"/>
        <w:textAlignment w:val="auto"/>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lang w:val="en-US" w:eastAsia="zh-CN"/>
        </w:rPr>
        <w:t>应</w:t>
      </w:r>
      <w:r>
        <w:rPr>
          <w:rFonts w:hint="eastAsia" w:ascii="Times New Roman" w:hAnsi="Times New Roman" w:eastAsia="楷体_GB2312" w:cs="Times New Roman"/>
          <w:b/>
          <w:i/>
          <w:color w:val="FF0000"/>
          <w:sz w:val="24"/>
          <w:szCs w:val="28"/>
          <w:u w:val="single"/>
        </w:rPr>
        <w:t>披露评级机构、评级结论及标识所代表的涵义。</w:t>
      </w:r>
    </w:p>
    <w:p>
      <w:pPr>
        <w:keepNext w:val="0"/>
        <w:keepLines w:val="0"/>
        <w:pageBreakBefore w:val="0"/>
        <w:widowControl w:val="0"/>
        <w:kinsoku/>
        <w:wordWrap/>
        <w:overflowPunct/>
        <w:topLinePunct w:val="0"/>
        <w:autoSpaceDE w:val="0"/>
        <w:autoSpaceDN w:val="0"/>
        <w:bidi w:val="0"/>
        <w:adjustRightInd w:val="0"/>
        <w:snapToGrid/>
        <w:spacing w:before="157" w:beforeLines="50" w:after="120" w:afterLines="50" w:line="240" w:lineRule="atLeast"/>
        <w:jc w:val="both"/>
        <w:textAlignment w:val="auto"/>
        <w:rPr>
          <w:rFonts w:hint="eastAsia" w:ascii="楷体_GB2312" w:hAnsi="楷体_GB2312" w:eastAsia="楷体_GB2312" w:cs="楷体_GB2312"/>
          <w:b/>
          <w:bCs/>
          <w:kern w:val="0"/>
          <w:sz w:val="24"/>
          <w:szCs w:val="24"/>
        </w:rPr>
      </w:pPr>
      <w:bookmarkStart w:id="2521" w:name="_Toc20192"/>
      <w:bookmarkStart w:id="2522" w:name="_Toc23083"/>
      <w:bookmarkStart w:id="2523" w:name="_Toc31892"/>
      <w:bookmarkStart w:id="2524" w:name="_Toc28200"/>
      <w:bookmarkStart w:id="2525" w:name="_Toc3812"/>
      <w:bookmarkStart w:id="2526" w:name="_Toc30786"/>
      <w:bookmarkStart w:id="2527" w:name="_Toc21907"/>
      <w:bookmarkStart w:id="2528" w:name="_Toc4145"/>
      <w:bookmarkStart w:id="2529" w:name="_Toc18354"/>
      <w:bookmarkStart w:id="2530" w:name="_Toc13059"/>
      <w:bookmarkStart w:id="2531" w:name="_Toc35499418"/>
      <w:bookmarkStart w:id="2532" w:name="_Toc3344"/>
      <w:bookmarkStart w:id="2533" w:name="_Toc26685"/>
      <w:bookmarkStart w:id="2534" w:name="_Toc12136"/>
      <w:bookmarkStart w:id="2535" w:name="_Toc13244"/>
      <w:bookmarkStart w:id="2536" w:name="_Toc4697"/>
      <w:bookmarkStart w:id="2537" w:name="_Toc29513"/>
      <w:bookmarkStart w:id="2538" w:name="_Toc15923"/>
      <w:bookmarkStart w:id="2539" w:name="_Toc32007"/>
      <w:bookmarkStart w:id="2540" w:name="_Toc13415"/>
      <w:bookmarkStart w:id="2541" w:name="_Toc15477"/>
      <w:bookmarkStart w:id="2542" w:name="_Toc18217"/>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57" w:beforeLines="50" w:after="120"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2543" w:name="_Toc3472"/>
      <w:bookmarkStart w:id="2544" w:name="_Toc26804"/>
      <w:bookmarkStart w:id="2545" w:name="_Toc7429"/>
      <w:bookmarkStart w:id="2546" w:name="_Toc27264"/>
      <w:bookmarkStart w:id="2547" w:name="_Toc12588"/>
      <w:bookmarkStart w:id="2548" w:name="_Toc26108"/>
      <w:bookmarkStart w:id="2549" w:name="_Toc12007"/>
      <w:bookmarkStart w:id="2550" w:name="_Toc29723"/>
      <w:bookmarkStart w:id="2551" w:name="_Toc15484"/>
      <w:bookmarkStart w:id="2552" w:name="_Toc26404"/>
      <w:bookmarkStart w:id="2553" w:name="_Toc13016"/>
      <w:bookmarkStart w:id="2554" w:name="_Toc27656"/>
      <w:bookmarkStart w:id="2555" w:name="_Toc23242"/>
      <w:bookmarkStart w:id="2556" w:name="_Toc22619"/>
      <w:bookmarkStart w:id="2557" w:name="_Toc6220"/>
      <w:bookmarkStart w:id="2558" w:name="_Toc11072"/>
      <w:bookmarkStart w:id="2559" w:name="_Toc4248"/>
      <w:r>
        <w:rPr>
          <w:rFonts w:hint="eastAsia" w:ascii="楷体_GB2312" w:hAnsi="楷体_GB2312" w:eastAsia="楷体_GB2312" w:cs="楷体_GB2312"/>
          <w:b/>
          <w:bCs/>
          <w:kern w:val="0"/>
          <w:sz w:val="30"/>
          <w:szCs w:val="30"/>
        </w:rPr>
        <w:t>备查文件</w:t>
      </w:r>
      <w:bookmarkEnd w:id="2543"/>
      <w:bookmarkEnd w:id="2544"/>
      <w:bookmarkEnd w:id="2545"/>
      <w:bookmarkEnd w:id="2546"/>
      <w:bookmarkEnd w:id="2547"/>
    </w:p>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8"/>
    <w:bookmarkEnd w:id="2549"/>
    <w:bookmarkEnd w:id="2550"/>
    <w:bookmarkEnd w:id="2551"/>
    <w:bookmarkEnd w:id="2552"/>
    <w:bookmarkEnd w:id="2553"/>
    <w:bookmarkEnd w:id="2554"/>
    <w:bookmarkEnd w:id="2555"/>
    <w:bookmarkEnd w:id="2556"/>
    <w:bookmarkEnd w:id="2557"/>
    <w:bookmarkEnd w:id="2558"/>
    <w:bookmarkEnd w:id="2559"/>
    <w:p>
      <w:pPr>
        <w:keepNext w:val="0"/>
        <w:keepLines w:val="0"/>
        <w:pageBreakBefore w:val="0"/>
        <w:widowControl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2560" w:name="_Toc23332"/>
      <w:bookmarkStart w:id="2561" w:name="_Toc14027"/>
      <w:bookmarkStart w:id="2562" w:name="_Toc15598"/>
      <w:bookmarkStart w:id="2563" w:name="_Toc19982"/>
      <w:bookmarkStart w:id="2564" w:name="_Toc23192"/>
      <w:bookmarkStart w:id="2565" w:name="_Toc9381"/>
      <w:bookmarkStart w:id="2566" w:name="_Toc20458"/>
      <w:bookmarkStart w:id="2567" w:name="_Toc3342"/>
      <w:bookmarkStart w:id="2568" w:name="_Toc1531"/>
      <w:bookmarkStart w:id="2569" w:name="_Toc28136"/>
      <w:bookmarkStart w:id="2570" w:name="_Toc14909"/>
      <w:bookmarkStart w:id="2571" w:name="_Toc11465"/>
      <w:bookmarkStart w:id="2572" w:name="_Toc20843"/>
      <w:bookmarkStart w:id="2573" w:name="_Toc4320"/>
      <w:bookmarkStart w:id="2574" w:name="_Toc24872"/>
      <w:bookmarkStart w:id="2575" w:name="_Toc26228"/>
      <w:bookmarkStart w:id="2576" w:name="_Toc5360"/>
      <w:bookmarkStart w:id="2577" w:name="_Toc24410"/>
      <w:bookmarkStart w:id="2578" w:name="_Toc16627"/>
      <w:bookmarkStart w:id="2579" w:name="_Toc13568"/>
      <w:bookmarkStart w:id="2580" w:name="_Toc2040"/>
      <w:bookmarkStart w:id="2581" w:name="_Toc32680"/>
      <w:bookmarkStart w:id="2582" w:name="_Toc15476"/>
      <w:bookmarkStart w:id="2583" w:name="_Toc14060"/>
      <w:bookmarkStart w:id="2584" w:name="_Toc22655"/>
      <w:bookmarkStart w:id="2585" w:name="_Toc2591"/>
      <w:bookmarkStart w:id="2586" w:name="_Toc3702"/>
      <w:bookmarkStart w:id="2587" w:name="_Toc8732"/>
      <w:bookmarkStart w:id="2588" w:name="_Toc35499419"/>
      <w:bookmarkStart w:id="2589" w:name="_Toc29611"/>
      <w:bookmarkStart w:id="2590" w:name="_Toc8424"/>
      <w:bookmarkStart w:id="2591" w:name="_Toc6749"/>
      <w:bookmarkStart w:id="2592" w:name="_Toc18546"/>
      <w:bookmarkStart w:id="2593" w:name="_Toc27399"/>
      <w:bookmarkStart w:id="2594" w:name="_Toc11710"/>
      <w:r>
        <w:rPr>
          <w:rFonts w:hint="eastAsia" w:ascii="楷体_GB2312" w:hAnsi="楷体_GB2312" w:eastAsia="楷体_GB2312" w:cs="楷体_GB2312"/>
          <w:b/>
          <w:bCs/>
          <w:sz w:val="24"/>
          <w:szCs w:val="24"/>
        </w:rPr>
        <w:t>一、备查文件</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本募集说明书的附录和备查文件包括以下文件，该等文件是本募集说明书不可分割的有机组成部分：</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snapToGrid w:val="0"/>
          <w:sz w:val="24"/>
          <w:szCs w:val="24"/>
        </w:rPr>
      </w:pPr>
      <w:r>
        <w:rPr>
          <w:rFonts w:hint="eastAsia" w:ascii="楷体_GB2312" w:hAnsi="楷体_GB2312" w:eastAsia="楷体_GB2312" w:cs="楷体_GB2312"/>
          <w:snapToGrid w:val="0"/>
          <w:sz w:val="24"/>
          <w:szCs w:val="24"/>
        </w:rPr>
        <w:t>1.《【</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】期资产支持商业票据募集说明书》</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】期资产支持商业票据</w:t>
      </w:r>
      <w:r>
        <w:rPr>
          <w:rFonts w:hint="eastAsia" w:ascii="楷体_GB2312" w:hAnsi="楷体_GB2312" w:eastAsia="楷体_GB2312" w:cs="楷体_GB2312"/>
          <w:kern w:val="0"/>
          <w:sz w:val="24"/>
          <w:szCs w:val="24"/>
        </w:rPr>
        <w:t>法律意见书》</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】期资产支持商业票据</w:t>
      </w:r>
      <w:r>
        <w:rPr>
          <w:rFonts w:hint="eastAsia" w:ascii="楷体_GB2312" w:hAnsi="楷体_GB2312" w:eastAsia="楷体_GB2312" w:cs="楷体_GB2312"/>
          <w:kern w:val="0"/>
          <w:sz w:val="24"/>
          <w:szCs w:val="24"/>
        </w:rPr>
        <w:t>信用评级报告》（如有）</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4.《</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】期资产支持商业票据</w:t>
      </w:r>
      <w:r>
        <w:rPr>
          <w:rFonts w:hint="eastAsia" w:ascii="楷体_GB2312" w:hAnsi="楷体_GB2312" w:eastAsia="楷体_GB2312" w:cs="楷体_GB2312"/>
          <w:kern w:val="0"/>
          <w:sz w:val="24"/>
          <w:szCs w:val="24"/>
        </w:rPr>
        <w:t>现金流预测分析咨询报告》（如有）</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5.《</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】资产支持商业票据信托</w:t>
      </w:r>
      <w:r>
        <w:rPr>
          <w:rFonts w:hint="eastAsia" w:ascii="楷体_GB2312" w:hAnsi="楷体_GB2312" w:eastAsia="楷体_GB2312" w:cs="楷体_GB2312"/>
          <w:kern w:val="0"/>
          <w:sz w:val="24"/>
          <w:szCs w:val="24"/>
        </w:rPr>
        <w:t>信托合同》</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6.《</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】资产支持商业票据信托</w:t>
      </w:r>
      <w:r>
        <w:rPr>
          <w:rFonts w:hint="eastAsia" w:ascii="楷体_GB2312" w:hAnsi="楷体_GB2312" w:eastAsia="楷体_GB2312" w:cs="楷体_GB2312"/>
          <w:kern w:val="0"/>
          <w:sz w:val="24"/>
          <w:szCs w:val="24"/>
        </w:rPr>
        <w:t>主定义表》</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7.《</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】资产支持商业票据信托</w:t>
      </w:r>
      <w:r>
        <w:rPr>
          <w:rFonts w:hint="eastAsia" w:ascii="楷体_GB2312" w:hAnsi="楷体_GB2312" w:eastAsia="楷体_GB2312" w:cs="楷体_GB2312"/>
          <w:kern w:val="0"/>
          <w:sz w:val="24"/>
          <w:szCs w:val="24"/>
        </w:rPr>
        <w:t>资金保管合同》</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8.《</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】资产支持商业票据信托</w:t>
      </w:r>
      <w:r>
        <w:rPr>
          <w:rFonts w:hint="eastAsia" w:ascii="楷体_GB2312" w:hAnsi="楷体_GB2312" w:eastAsia="楷体_GB2312" w:cs="楷体_GB2312"/>
          <w:kern w:val="0"/>
          <w:sz w:val="24"/>
          <w:szCs w:val="24"/>
        </w:rPr>
        <w:t>资产服务合同》（如有）</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9.《</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】资产支持商业票据信托</w:t>
      </w:r>
      <w:r>
        <w:rPr>
          <w:rFonts w:hint="eastAsia" w:ascii="楷体_GB2312" w:hAnsi="楷体_GB2312" w:eastAsia="楷体_GB2312" w:cs="楷体_GB2312"/>
          <w:kern w:val="0"/>
          <w:sz w:val="24"/>
          <w:szCs w:val="24"/>
        </w:rPr>
        <w:t>差额支付承诺函》（如有）</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10.发行载体管理机构的业务资格批件、营业执照和公司章程</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11.发起机构的营业执照和公司章程</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12.资金保管机构的业务资格批件和营业执照</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13.中国银行间市场交易商协会《接受注册通知书》（中市协注[  ]ABN【  】号）</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14.</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kern w:val="0"/>
          <w:sz w:val="24"/>
          <w:szCs w:val="24"/>
        </w:rPr>
        <w:t>公司关于本次发行资产支持商业票据的股东决定（如有）</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15.</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kern w:val="0"/>
          <w:sz w:val="24"/>
          <w:szCs w:val="24"/>
        </w:rPr>
        <w:t>公司关于本次发行资产支持商业票据的董事会决议</w:t>
      </w:r>
    </w:p>
    <w:p>
      <w:pPr>
        <w:pStyle w:val="156"/>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16.</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kern w:val="0"/>
          <w:sz w:val="24"/>
          <w:szCs w:val="24"/>
        </w:rPr>
        <w:t>公司【  】年-【  】年经审计的财务报告及【  】年【</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】未经审计的财务报表</w:t>
      </w:r>
    </w:p>
    <w:p>
      <w:pPr>
        <w:keepNext w:val="0"/>
        <w:keepLines w:val="0"/>
        <w:pageBreakBefore w:val="0"/>
        <w:widowControl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2595" w:name="_Toc29958"/>
      <w:bookmarkStart w:id="2596" w:name="_Toc25540"/>
      <w:bookmarkStart w:id="2597" w:name="_Toc11862"/>
      <w:bookmarkStart w:id="2598" w:name="_Toc27424"/>
      <w:bookmarkStart w:id="2599" w:name="_Toc29159"/>
      <w:bookmarkStart w:id="2600" w:name="_Toc16878"/>
      <w:bookmarkStart w:id="2601" w:name="_Toc4372"/>
      <w:bookmarkStart w:id="2602" w:name="_Toc2959"/>
      <w:bookmarkStart w:id="2603" w:name="_Toc31817"/>
      <w:bookmarkStart w:id="2604" w:name="_Toc2399"/>
      <w:bookmarkStart w:id="2605" w:name="_Toc7358"/>
      <w:bookmarkStart w:id="2606" w:name="_Toc28744"/>
      <w:bookmarkStart w:id="2607" w:name="_Toc5439"/>
      <w:bookmarkStart w:id="2608" w:name="_Toc18200"/>
      <w:bookmarkStart w:id="2609" w:name="_Toc2712"/>
      <w:bookmarkStart w:id="2610" w:name="_Toc29834"/>
      <w:bookmarkStart w:id="2611" w:name="_Toc35499420"/>
      <w:bookmarkStart w:id="2612" w:name="_Toc25113"/>
      <w:bookmarkStart w:id="2613" w:name="_Toc3219"/>
      <w:bookmarkStart w:id="2614" w:name="_Toc57"/>
      <w:bookmarkStart w:id="2615" w:name="_Toc15356"/>
      <w:bookmarkStart w:id="2616" w:name="_Toc5698"/>
      <w:bookmarkStart w:id="2617" w:name="_Toc861"/>
      <w:bookmarkStart w:id="2618" w:name="_Toc10642"/>
      <w:bookmarkStart w:id="2619" w:name="_Toc31631"/>
      <w:bookmarkStart w:id="2620" w:name="_Toc11189"/>
      <w:bookmarkStart w:id="2621" w:name="_Toc4340"/>
      <w:bookmarkStart w:id="2622" w:name="_Toc22101"/>
      <w:bookmarkStart w:id="2623" w:name="_Toc5836"/>
      <w:bookmarkStart w:id="2624" w:name="_Toc16389"/>
      <w:bookmarkStart w:id="2625" w:name="_Toc32192"/>
      <w:bookmarkStart w:id="2626" w:name="_Toc7402"/>
      <w:bookmarkStart w:id="2627" w:name="_Toc9271"/>
      <w:bookmarkStart w:id="2628" w:name="_Toc20460"/>
      <w:bookmarkStart w:id="2629" w:name="_Toc11750"/>
      <w:r>
        <w:rPr>
          <w:rFonts w:hint="eastAsia" w:ascii="楷体_GB2312" w:hAnsi="楷体_GB2312" w:eastAsia="楷体_GB2312" w:cs="楷体_GB2312"/>
          <w:b/>
          <w:bCs/>
          <w:sz w:val="24"/>
          <w:szCs w:val="24"/>
        </w:rPr>
        <w:t>二、查询地址</w:t>
      </w:r>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如对本募集说明书或上述备查文件有任何疑问，可以咨询发起机构和主承销商。</w:t>
      </w:r>
    </w:p>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（一）发起机构</w:t>
      </w:r>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名称：</w:t>
      </w:r>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法定代表人：</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联系人：</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联系电话：</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b/>
          <w:bCs/>
        </w:rPr>
      </w:pPr>
      <w:r>
        <w:rPr>
          <w:rFonts w:hint="eastAsia" w:ascii="楷体_GB2312" w:hAnsi="楷体_GB2312" w:eastAsia="楷体_GB2312" w:cs="楷体_GB2312"/>
          <w:kern w:val="0"/>
          <w:sz w:val="24"/>
          <w:szCs w:val="24"/>
        </w:rPr>
        <w:t>传真：</w:t>
      </w:r>
    </w:p>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（二）牵头主承销商</w:t>
      </w:r>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bookmarkStart w:id="2630" w:name="_Toc6935"/>
      <w:bookmarkStart w:id="2631" w:name="_Toc22440"/>
      <w:bookmarkStart w:id="2632" w:name="_Toc21035"/>
      <w:bookmarkStart w:id="2633" w:name="_Toc18371"/>
      <w:r>
        <w:rPr>
          <w:rFonts w:hint="eastAsia" w:ascii="楷体_GB2312" w:hAnsi="楷体_GB2312" w:eastAsia="楷体_GB2312" w:cs="楷体_GB2312"/>
          <w:snapToGrid w:val="0"/>
        </w:rPr>
        <w:t>名称：</w:t>
      </w:r>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法定代表人：</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联系人：</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联系电话：</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b/>
          <w:bCs/>
        </w:rPr>
      </w:pPr>
      <w:r>
        <w:rPr>
          <w:rFonts w:hint="eastAsia" w:ascii="楷体_GB2312" w:hAnsi="楷体_GB2312" w:eastAsia="楷体_GB2312" w:cs="楷体_GB2312"/>
          <w:kern w:val="0"/>
          <w:sz w:val="24"/>
          <w:szCs w:val="24"/>
        </w:rPr>
        <w:t>传真：</w:t>
      </w:r>
    </w:p>
    <w:p>
      <w:pPr>
        <w:keepNext w:val="0"/>
        <w:keepLines w:val="0"/>
        <w:pageBreakBefore w:val="0"/>
        <w:widowControl w:val="0"/>
        <w:kinsoku/>
        <w:wordWrap/>
        <w:overflowPunct/>
        <w:topLinePunct w:val="0"/>
        <w:bidi w:val="0"/>
        <w:snapToGrid w:val="0"/>
        <w:spacing w:before="157" w:beforeLines="50" w:after="120" w:afterLines="50" w:line="240" w:lineRule="atLeast"/>
        <w:ind w:firstLine="482" w:firstLineChars="200"/>
        <w:jc w:val="both"/>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kern w:val="0"/>
          <w:sz w:val="24"/>
          <w:szCs w:val="24"/>
        </w:rPr>
        <w:t>（三）</w:t>
      </w:r>
      <w:r>
        <w:rPr>
          <w:rFonts w:hint="eastAsia" w:ascii="楷体_GB2312" w:hAnsi="楷体_GB2312" w:eastAsia="楷体_GB2312" w:cs="楷体_GB2312"/>
          <w:b/>
          <w:bCs/>
          <w:sz w:val="24"/>
          <w:szCs w:val="24"/>
        </w:rPr>
        <w:t>联席主承销商</w:t>
      </w:r>
      <w:bookmarkEnd w:id="2630"/>
      <w:bookmarkEnd w:id="2631"/>
      <w:bookmarkEnd w:id="2632"/>
      <w:bookmarkEnd w:id="2633"/>
      <w:r>
        <w:rPr>
          <w:rFonts w:hint="eastAsia" w:ascii="楷体_GB2312" w:hAnsi="楷体_GB2312" w:eastAsia="楷体_GB2312" w:cs="楷体_GB2312"/>
          <w:b/>
          <w:bCs/>
          <w:sz w:val="24"/>
          <w:szCs w:val="24"/>
        </w:rPr>
        <w:t>（如有）</w:t>
      </w:r>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名称：</w:t>
      </w:r>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法定代表人：</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联系人：</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联系电话：</w:t>
      </w:r>
    </w:p>
    <w:p>
      <w:pPr>
        <w:keepNext w:val="0"/>
        <w:keepLines w:val="0"/>
        <w:pageBreakBefore w:val="0"/>
        <w:widowControl w:val="0"/>
        <w:kinsoku/>
        <w:wordWrap/>
        <w:overflowPunct/>
        <w:topLinePunct w:val="0"/>
        <w:bidi w:val="0"/>
        <w:spacing w:before="157" w:beforeLines="50" w:after="120" w:afterLines="50" w:line="240" w:lineRule="atLeast"/>
        <w:ind w:firstLine="480" w:firstLineChars="200"/>
        <w:jc w:val="both"/>
        <w:textAlignment w:val="auto"/>
        <w:rPr>
          <w:rFonts w:hint="eastAsia" w:ascii="楷体_GB2312" w:hAnsi="楷体_GB2312" w:eastAsia="楷体_GB2312" w:cs="楷体_GB2312"/>
          <w:b/>
          <w:bCs/>
        </w:rPr>
      </w:pPr>
      <w:r>
        <w:rPr>
          <w:rFonts w:hint="eastAsia" w:ascii="楷体_GB2312" w:hAnsi="楷体_GB2312" w:eastAsia="楷体_GB2312" w:cs="楷体_GB2312"/>
          <w:kern w:val="0"/>
          <w:sz w:val="24"/>
          <w:szCs w:val="24"/>
        </w:rPr>
        <w:t>传真：</w:t>
      </w:r>
    </w:p>
    <w:p>
      <w:pPr>
        <w:keepNext w:val="0"/>
        <w:keepLines w:val="0"/>
        <w:pageBreakBefore w:val="0"/>
        <w:widowControl w:val="0"/>
        <w:kinsoku/>
        <w:wordWrap/>
        <w:overflowPunct/>
        <w:topLinePunct w:val="0"/>
        <w:bidi w:val="0"/>
        <w:adjustRightInd w:val="0"/>
        <w:spacing w:before="157" w:beforeLines="50" w:after="120"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2634" w:name="_Toc5068"/>
      <w:bookmarkStart w:id="2635" w:name="_Toc16848"/>
      <w:bookmarkStart w:id="2636" w:name="_Toc5686"/>
      <w:bookmarkStart w:id="2637" w:name="_Toc14530"/>
      <w:bookmarkStart w:id="2638" w:name="_Toc1387"/>
      <w:bookmarkStart w:id="2639" w:name="_Toc10426"/>
      <w:bookmarkStart w:id="2640" w:name="_Toc12763"/>
      <w:bookmarkStart w:id="2641" w:name="_Toc13790"/>
      <w:bookmarkStart w:id="2642" w:name="_Toc18241"/>
      <w:bookmarkStart w:id="2643" w:name="_Toc9371"/>
      <w:bookmarkStart w:id="2644" w:name="_Toc15295"/>
      <w:bookmarkStart w:id="2645" w:name="_Toc4888"/>
      <w:bookmarkStart w:id="2646" w:name="_Toc144"/>
      <w:bookmarkStart w:id="2647" w:name="_Toc20260"/>
      <w:bookmarkStart w:id="2648" w:name="_Toc19079"/>
      <w:bookmarkStart w:id="2649" w:name="_Toc21161"/>
      <w:bookmarkStart w:id="2650" w:name="_Toc1808"/>
      <w:bookmarkStart w:id="2651" w:name="_Toc15132"/>
      <w:bookmarkStart w:id="2652" w:name="_Toc16471"/>
      <w:bookmarkStart w:id="2653" w:name="_Toc12092"/>
      <w:bookmarkStart w:id="2654" w:name="_Toc8381"/>
      <w:bookmarkStart w:id="2655" w:name="_Toc12011"/>
      <w:bookmarkStart w:id="2656" w:name="_Toc6940"/>
      <w:bookmarkStart w:id="2657" w:name="_Toc22952"/>
      <w:bookmarkStart w:id="2658" w:name="_Toc32091"/>
      <w:bookmarkStart w:id="2659" w:name="_Toc5908"/>
      <w:bookmarkStart w:id="2660" w:name="_Toc15721"/>
      <w:bookmarkStart w:id="2661" w:name="_Toc35499421"/>
      <w:bookmarkStart w:id="2662" w:name="_Toc29707"/>
      <w:bookmarkStart w:id="2663" w:name="_Toc26180"/>
      <w:bookmarkStart w:id="2664" w:name="_Toc14972"/>
      <w:bookmarkStart w:id="2665" w:name="_Toc14445"/>
      <w:bookmarkStart w:id="2666" w:name="_Toc28230"/>
      <w:bookmarkStart w:id="2667" w:name="_Toc23018"/>
      <w:bookmarkStart w:id="2668" w:name="_Toc19296"/>
      <w:r>
        <w:rPr>
          <w:rFonts w:hint="eastAsia" w:ascii="楷体_GB2312" w:hAnsi="楷体_GB2312" w:eastAsia="楷体_GB2312" w:cs="楷体_GB2312"/>
          <w:b/>
          <w:bCs/>
          <w:sz w:val="24"/>
          <w:szCs w:val="24"/>
        </w:rPr>
        <w:t>三、网站</w:t>
      </w:r>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pPr>
        <w:keepNext w:val="0"/>
        <w:keepLines w:val="0"/>
        <w:pageBreakBefore w:val="0"/>
        <w:widowControl w:val="0"/>
        <w:kinsoku/>
        <w:wordWrap/>
        <w:overflowPunct/>
        <w:topLinePunct w:val="0"/>
        <w:autoSpaceDE w:val="0"/>
        <w:autoSpaceDN w:val="0"/>
        <w:bidi w:val="0"/>
        <w:adjustRightInd w:val="0"/>
        <w:snapToGrid w:val="0"/>
        <w:spacing w:before="157" w:beforeLines="50" w:after="120"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投资人可通过交易商协会认可的信息披露渠道下载本募集说明书，或者在本期资产支持商业票据发行期内工作日的一般办公时间，到上述地点查阅本募集说明书全文及上述备查文件。</w:t>
      </w:r>
    </w:p>
    <w:p>
      <w:pPr>
        <w:pStyle w:val="2"/>
        <w:keepNext w:val="0"/>
        <w:keepLines w:val="0"/>
        <w:pageBreakBefore w:val="0"/>
        <w:widowControl w:val="0"/>
        <w:kinsoku/>
        <w:wordWrap/>
        <w:overflowPunct/>
        <w:topLinePunct w:val="0"/>
        <w:bidi w:val="0"/>
        <w:spacing w:before="157" w:beforeLines="50" w:after="120" w:afterLines="50" w:line="240" w:lineRule="atLeast"/>
        <w:ind w:firstLine="482"/>
        <w:jc w:val="both"/>
        <w:textAlignment w:val="auto"/>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项目实际情况调整备查文件安排。</w:t>
      </w:r>
    </w:p>
    <w:p>
      <w:pPr>
        <w:keepNext w:val="0"/>
        <w:keepLines w:val="0"/>
        <w:pageBreakBefore w:val="0"/>
        <w:widowControl w:val="0"/>
        <w:kinsoku/>
        <w:wordWrap/>
        <w:overflowPunct/>
        <w:topLinePunct w:val="0"/>
        <w:autoSpaceDE w:val="0"/>
        <w:autoSpaceDN w:val="0"/>
        <w:bidi w:val="0"/>
        <w:adjustRightInd w:val="0"/>
        <w:spacing w:before="157" w:beforeLines="50" w:after="120" w:afterLines="50" w:line="240" w:lineRule="atLeast"/>
        <w:jc w:val="both"/>
        <w:textAlignment w:val="auto"/>
        <w:rPr>
          <w:rFonts w:hint="eastAsia" w:ascii="楷体_GB2312" w:hAnsi="楷体_GB2312" w:eastAsia="楷体_GB2312" w:cs="楷体_GB2312"/>
          <w:b/>
          <w:bCs/>
          <w:kern w:val="0"/>
          <w:sz w:val="24"/>
          <w:szCs w:val="24"/>
        </w:rPr>
      </w:pPr>
      <w:bookmarkStart w:id="2669" w:name="_Toc19038"/>
      <w:bookmarkStart w:id="2670" w:name="_Toc17258"/>
      <w:bookmarkStart w:id="2671" w:name="_Toc11151"/>
      <w:bookmarkStart w:id="2672" w:name="_Toc12236"/>
      <w:bookmarkStart w:id="2673" w:name="_Toc22335"/>
      <w:bookmarkStart w:id="2674" w:name="_Toc735"/>
      <w:bookmarkStart w:id="2675" w:name="_Toc23698"/>
      <w:bookmarkStart w:id="2676" w:name="_Toc2544"/>
      <w:bookmarkStart w:id="2677" w:name="_Toc26322"/>
      <w:bookmarkStart w:id="2678" w:name="_Toc28609"/>
      <w:bookmarkStart w:id="2679" w:name="_Toc3360"/>
      <w:bookmarkStart w:id="2680" w:name="_Toc35499422"/>
      <w:bookmarkStart w:id="2681" w:name="_Toc27998"/>
      <w:bookmarkStart w:id="2682" w:name="_Toc22432"/>
      <w:bookmarkStart w:id="2683" w:name="_Toc8623"/>
      <w:bookmarkStart w:id="2684" w:name="_Toc16912"/>
      <w:bookmarkStart w:id="2685" w:name="_Toc31594"/>
      <w:bookmarkStart w:id="2686" w:name="_Toc7695"/>
      <w:bookmarkStart w:id="2687" w:name="_Toc18216"/>
      <w:bookmarkStart w:id="2688" w:name="_Toc26244"/>
      <w:bookmarkStart w:id="2689" w:name="_Toc13862"/>
      <w:bookmarkStart w:id="2690" w:name="_Toc19912"/>
      <w:r>
        <w:rPr>
          <w:rFonts w:hint="eastAsia" w:ascii="楷体_GB2312" w:hAnsi="楷体_GB2312" w:eastAsia="楷体_GB2312" w:cs="楷体_GB2312"/>
          <w:b/>
          <w:bCs/>
          <w:kern w:val="0"/>
          <w:sz w:val="24"/>
          <w:szCs w:val="24"/>
        </w:rPr>
        <w:br w:type="page"/>
      </w:r>
    </w:p>
    <w:p>
      <w:pPr>
        <w:pStyle w:val="156"/>
        <w:keepNext w:val="0"/>
        <w:keepLines w:val="0"/>
        <w:pageBreakBefore w:val="0"/>
        <w:widowControl w:val="0"/>
        <w:numPr>
          <w:ilvl w:val="0"/>
          <w:numId w:val="1"/>
        </w:numPr>
        <w:kinsoku/>
        <w:wordWrap/>
        <w:overflowPunct/>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2691" w:name="_Toc30462"/>
      <w:bookmarkStart w:id="2692" w:name="_Toc15169"/>
      <w:bookmarkStart w:id="2693" w:name="_Toc16758"/>
      <w:bookmarkStart w:id="2694" w:name="_Toc22228"/>
      <w:bookmarkStart w:id="2695" w:name="_Toc11089"/>
      <w:bookmarkStart w:id="2696" w:name="_Toc32257"/>
      <w:bookmarkStart w:id="2697" w:name="_Toc26993"/>
      <w:bookmarkStart w:id="2698" w:name="_Toc29985"/>
      <w:bookmarkStart w:id="2699" w:name="_Toc30495"/>
      <w:bookmarkStart w:id="2700" w:name="_Toc20119"/>
      <w:bookmarkStart w:id="2701" w:name="_Toc29464"/>
      <w:bookmarkStart w:id="2702" w:name="_Toc27698"/>
      <w:bookmarkStart w:id="2703" w:name="_Toc5042"/>
      <w:bookmarkStart w:id="2704" w:name="_Toc22780"/>
      <w:bookmarkStart w:id="2705" w:name="_Toc16113"/>
      <w:bookmarkStart w:id="2706" w:name="_Toc5975"/>
      <w:bookmarkStart w:id="2707" w:name="_Toc25539"/>
      <w:r>
        <w:rPr>
          <w:rFonts w:hint="eastAsia" w:ascii="楷体_GB2312" w:hAnsi="楷体_GB2312" w:eastAsia="楷体_GB2312" w:cs="楷体_GB2312"/>
          <w:b/>
          <w:bCs/>
          <w:kern w:val="0"/>
          <w:sz w:val="30"/>
          <w:szCs w:val="30"/>
        </w:rPr>
        <w:t>发行有关机构</w:t>
      </w:r>
      <w:bookmarkEnd w:id="2691"/>
      <w:bookmarkEnd w:id="2692"/>
      <w:bookmarkEnd w:id="2693"/>
      <w:bookmarkEnd w:id="2694"/>
      <w:bookmarkEnd w:id="2695"/>
    </w:p>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6"/>
    <w:bookmarkEnd w:id="2697"/>
    <w:bookmarkEnd w:id="2698"/>
    <w:bookmarkEnd w:id="2699"/>
    <w:bookmarkEnd w:id="2700"/>
    <w:bookmarkEnd w:id="2701"/>
    <w:bookmarkEnd w:id="2702"/>
    <w:bookmarkEnd w:id="2703"/>
    <w:bookmarkEnd w:id="2704"/>
    <w:bookmarkEnd w:id="2705"/>
    <w:bookmarkEnd w:id="2706"/>
    <w:bookmarkEnd w:id="2707"/>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2708" w:name="_Toc4375"/>
      <w:bookmarkStart w:id="2709" w:name="_Toc26761"/>
      <w:bookmarkStart w:id="2710" w:name="_Toc9379"/>
      <w:bookmarkStart w:id="2711" w:name="_Toc18647"/>
      <w:bookmarkStart w:id="2712" w:name="_Toc27245"/>
      <w:bookmarkStart w:id="2713" w:name="_Toc8687"/>
      <w:bookmarkStart w:id="2714" w:name="_Toc29344"/>
      <w:bookmarkStart w:id="2715" w:name="_Toc14388"/>
      <w:bookmarkStart w:id="2716" w:name="_Toc14957"/>
      <w:bookmarkStart w:id="2717" w:name="_Toc31901"/>
      <w:bookmarkStart w:id="2718" w:name="_Toc17146"/>
      <w:bookmarkStart w:id="2719" w:name="_Toc1223"/>
      <w:bookmarkStart w:id="2720" w:name="_Toc5913"/>
      <w:bookmarkStart w:id="2721" w:name="_Toc24014"/>
      <w:bookmarkStart w:id="2722" w:name="_Toc26502"/>
      <w:bookmarkStart w:id="2723" w:name="_Toc14010"/>
      <w:bookmarkStart w:id="2724" w:name="_Toc14108"/>
      <w:bookmarkStart w:id="2725" w:name="_Toc22602"/>
      <w:bookmarkStart w:id="2726" w:name="_Toc1492"/>
      <w:bookmarkStart w:id="2727" w:name="_Toc24570"/>
      <w:bookmarkStart w:id="2728" w:name="_Toc1818"/>
      <w:bookmarkStart w:id="2729" w:name="_Toc7359"/>
      <w:bookmarkStart w:id="2730" w:name="_Toc5891"/>
      <w:bookmarkStart w:id="2731" w:name="_Toc7990"/>
      <w:bookmarkStart w:id="2732" w:name="_Toc13328"/>
      <w:bookmarkStart w:id="2733" w:name="_Toc4520"/>
      <w:bookmarkStart w:id="2734" w:name="_Toc4267"/>
      <w:bookmarkStart w:id="2735" w:name="_Toc9886"/>
      <w:bookmarkStart w:id="2736" w:name="_Toc2825"/>
      <w:bookmarkStart w:id="2737" w:name="_Toc14903"/>
      <w:bookmarkStart w:id="2738" w:name="_Toc15746"/>
      <w:bookmarkStart w:id="2739" w:name="_Toc12700"/>
      <w:bookmarkStart w:id="2740" w:name="_Toc431"/>
      <w:bookmarkStart w:id="2741" w:name="_Toc35499423"/>
      <w:r>
        <w:rPr>
          <w:rFonts w:hint="eastAsia" w:ascii="楷体_GB2312" w:hAnsi="楷体_GB2312" w:eastAsia="楷体_GB2312" w:cs="楷体_GB2312"/>
          <w:b/>
          <w:bCs/>
          <w:snapToGrid w:val="0"/>
          <w:kern w:val="0"/>
          <w:sz w:val="24"/>
          <w:szCs w:val="24"/>
        </w:rPr>
        <w:t>一、发起机构</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法定代表人：</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联系人：</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电话：</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hAnsi="楷体_GB2312"/>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2742" w:name="_Toc31919"/>
      <w:bookmarkStart w:id="2743" w:name="_Toc10014"/>
      <w:bookmarkStart w:id="2744" w:name="_Toc18651"/>
      <w:bookmarkStart w:id="2745" w:name="_Toc1184"/>
      <w:bookmarkStart w:id="2746" w:name="_Toc7778"/>
      <w:bookmarkStart w:id="2747" w:name="_Toc32581"/>
      <w:bookmarkStart w:id="2748" w:name="_Toc20716"/>
      <w:bookmarkStart w:id="2749" w:name="_Toc30765"/>
      <w:bookmarkStart w:id="2750" w:name="_Toc27589"/>
      <w:bookmarkStart w:id="2751" w:name="_Toc2295"/>
      <w:bookmarkStart w:id="2752" w:name="_Toc16983"/>
      <w:bookmarkStart w:id="2753" w:name="_Toc9342"/>
      <w:bookmarkStart w:id="2754" w:name="_Toc15777"/>
      <w:bookmarkStart w:id="2755" w:name="_Toc13409"/>
      <w:bookmarkStart w:id="2756" w:name="_Toc30233"/>
      <w:bookmarkStart w:id="2757" w:name="_Toc13699"/>
      <w:bookmarkStart w:id="2758" w:name="_Toc29970"/>
      <w:bookmarkStart w:id="2759" w:name="_Toc6091"/>
      <w:bookmarkStart w:id="2760" w:name="_Toc20689"/>
      <w:bookmarkStart w:id="2761" w:name="_Toc30738"/>
      <w:bookmarkStart w:id="2762" w:name="_Toc32031"/>
      <w:bookmarkStart w:id="2763" w:name="_Toc9743"/>
      <w:bookmarkStart w:id="2764" w:name="_Toc24475"/>
      <w:bookmarkStart w:id="2765" w:name="_Toc25982"/>
      <w:bookmarkStart w:id="2766" w:name="_Toc10267"/>
      <w:bookmarkStart w:id="2767" w:name="_Toc28211"/>
      <w:bookmarkStart w:id="2768" w:name="_Toc24273"/>
      <w:bookmarkStart w:id="2769" w:name="_Toc15331"/>
      <w:bookmarkStart w:id="2770" w:name="_Toc28945"/>
      <w:bookmarkStart w:id="2771" w:name="_Toc13983"/>
      <w:bookmarkStart w:id="2772" w:name="_Toc30218"/>
      <w:bookmarkStart w:id="2773" w:name="_Toc27393"/>
      <w:bookmarkStart w:id="2774" w:name="_Toc29824"/>
      <w:bookmarkStart w:id="2775" w:name="_Toc35499424"/>
      <w:r>
        <w:rPr>
          <w:rFonts w:hint="eastAsia" w:ascii="楷体_GB2312" w:hAnsi="楷体_GB2312" w:eastAsia="楷体_GB2312" w:cs="楷体_GB2312"/>
          <w:b/>
          <w:bCs/>
          <w:snapToGrid w:val="0"/>
          <w:kern w:val="0"/>
          <w:sz w:val="24"/>
          <w:szCs w:val="24"/>
        </w:rPr>
        <w:t>二、发行载体管理机构</w:t>
      </w:r>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hAnsi="楷体_GB2312"/>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ascii="楷体_GB2312" w:hAnsi="楷体_GB2312" w:eastAsia="楷体_GB2312" w:cs="楷体_GB2312"/>
          <w:b/>
          <w:bCs/>
          <w:snapToGrid w:val="0"/>
          <w:kern w:val="0"/>
          <w:sz w:val="24"/>
          <w:szCs w:val="24"/>
        </w:rPr>
      </w:pPr>
      <w:bookmarkStart w:id="2776" w:name="_Toc18311"/>
      <w:bookmarkStart w:id="2777" w:name="_Toc9739"/>
      <w:bookmarkStart w:id="2778" w:name="_Toc25369"/>
      <w:bookmarkStart w:id="2779" w:name="_Toc5770"/>
      <w:bookmarkStart w:id="2780" w:name="_Toc8020"/>
      <w:bookmarkStart w:id="2781" w:name="_Toc35499425"/>
      <w:bookmarkStart w:id="2782" w:name="_Toc27197"/>
      <w:bookmarkStart w:id="2783" w:name="_Toc14030"/>
      <w:bookmarkStart w:id="2784" w:name="_Toc25317"/>
      <w:bookmarkStart w:id="2785" w:name="_Toc1582"/>
      <w:bookmarkStart w:id="2786" w:name="_Toc13793"/>
      <w:bookmarkStart w:id="2787" w:name="_Toc10964"/>
      <w:bookmarkStart w:id="2788" w:name="_Toc23416"/>
      <w:bookmarkStart w:id="2789" w:name="_Toc19299"/>
      <w:bookmarkStart w:id="2790" w:name="_Toc26826"/>
      <w:bookmarkStart w:id="2791" w:name="_Toc4903"/>
      <w:bookmarkStart w:id="2792" w:name="_Toc27729"/>
      <w:bookmarkStart w:id="2793" w:name="_Toc21654"/>
      <w:bookmarkStart w:id="2794" w:name="_Toc12359"/>
      <w:bookmarkStart w:id="2795" w:name="_Toc1472"/>
      <w:bookmarkStart w:id="2796" w:name="_Toc15796"/>
      <w:bookmarkStart w:id="2797" w:name="_Toc12893"/>
      <w:bookmarkStart w:id="2798" w:name="_Toc23778"/>
      <w:bookmarkStart w:id="2799" w:name="_Toc27669"/>
      <w:bookmarkStart w:id="2800" w:name="_Toc12559"/>
      <w:bookmarkStart w:id="2801" w:name="_Toc18753"/>
      <w:bookmarkStart w:id="2802" w:name="_Toc17391"/>
      <w:bookmarkStart w:id="2803" w:name="_Toc24173"/>
      <w:bookmarkStart w:id="2804" w:name="_Toc24504"/>
      <w:bookmarkStart w:id="2805" w:name="_Toc32595"/>
      <w:bookmarkStart w:id="2806" w:name="_Toc10266"/>
      <w:bookmarkStart w:id="2807" w:name="_Toc8107"/>
      <w:bookmarkStart w:id="2808" w:name="_Toc9304"/>
      <w:bookmarkStart w:id="2809" w:name="_Toc32227"/>
      <w:r>
        <w:rPr>
          <w:rFonts w:hint="eastAsia" w:ascii="楷体_GB2312" w:hAnsi="楷体_GB2312" w:eastAsia="楷体_GB2312" w:cs="楷体_GB2312"/>
          <w:b/>
          <w:bCs/>
          <w:snapToGrid w:val="0"/>
          <w:kern w:val="0"/>
          <w:sz w:val="24"/>
          <w:szCs w:val="24"/>
        </w:rPr>
        <w:t>三、牵头主承销商</w:t>
      </w:r>
      <w:bookmarkEnd w:id="2776"/>
      <w:bookmarkEnd w:id="2777"/>
      <w:bookmarkEnd w:id="2778"/>
      <w:bookmarkEnd w:id="2779"/>
      <w:bookmarkEnd w:id="2780"/>
      <w:bookmarkEnd w:id="2781"/>
      <w:bookmarkEnd w:id="2782"/>
      <w:bookmarkEnd w:id="2783"/>
      <w:bookmarkEnd w:id="2784"/>
      <w:bookmarkEnd w:id="2785"/>
      <w:bookmarkEnd w:id="2786"/>
      <w:r>
        <w:rPr>
          <w:rFonts w:hint="eastAsia" w:ascii="楷体_GB2312" w:hAnsi="楷体_GB2312" w:eastAsia="楷体_GB2312" w:cs="楷体_GB2312"/>
          <w:b/>
          <w:bCs/>
          <w:snapToGrid w:val="0"/>
          <w:kern w:val="0"/>
          <w:sz w:val="24"/>
          <w:szCs w:val="24"/>
        </w:rPr>
        <w:t>/簿记管理人</w:t>
      </w:r>
      <w:bookmarkEnd w:id="2787"/>
      <w:bookmarkEnd w:id="2788"/>
      <w:bookmarkEnd w:id="2789"/>
      <w:bookmarkEnd w:id="2790"/>
      <w:bookmarkEnd w:id="2791"/>
      <w:bookmarkEnd w:id="2792"/>
      <w:bookmarkEnd w:id="2793"/>
      <w:bookmarkEnd w:id="2794"/>
      <w:bookmarkEnd w:id="2795"/>
      <w:bookmarkEnd w:id="2796"/>
      <w:bookmarkEnd w:id="2797"/>
      <w:bookmarkEnd w:id="2798"/>
      <w:r>
        <w:rPr>
          <w:rFonts w:hint="eastAsia" w:ascii="楷体_GB2312" w:hAnsi="楷体_GB2312" w:eastAsia="楷体_GB2312" w:cs="楷体_GB2312"/>
          <w:b/>
          <w:bCs/>
          <w:snapToGrid w:val="0"/>
          <w:kern w:val="0"/>
          <w:sz w:val="24"/>
          <w:szCs w:val="24"/>
        </w:rPr>
        <w:t>/存续期管理机构</w:t>
      </w:r>
      <w:bookmarkEnd w:id="2799"/>
      <w:bookmarkEnd w:id="2800"/>
      <w:bookmarkEnd w:id="2801"/>
      <w:bookmarkEnd w:id="2802"/>
      <w:bookmarkEnd w:id="2803"/>
      <w:bookmarkEnd w:id="2804"/>
      <w:bookmarkEnd w:id="2805"/>
      <w:bookmarkEnd w:id="2806"/>
      <w:bookmarkEnd w:id="2807"/>
      <w:bookmarkEnd w:id="2808"/>
      <w:bookmarkEnd w:id="2809"/>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2810" w:name="_Toc27861"/>
      <w:bookmarkStart w:id="2811" w:name="_Toc29265"/>
      <w:bookmarkStart w:id="2812" w:name="_Toc2739"/>
      <w:bookmarkStart w:id="2813" w:name="_Toc4863"/>
      <w:bookmarkStart w:id="2814" w:name="_Toc26171"/>
      <w:bookmarkStart w:id="2815" w:name="_Toc21042"/>
      <w:bookmarkStart w:id="2816" w:name="_Toc6986"/>
      <w:bookmarkStart w:id="2817" w:name="_Toc3838"/>
      <w:bookmarkStart w:id="2818" w:name="_Toc29912"/>
      <w:bookmarkStart w:id="2819" w:name="_Toc17854"/>
      <w:bookmarkStart w:id="2820" w:name="_Toc8842"/>
      <w:bookmarkStart w:id="2821" w:name="_Toc27925"/>
      <w:bookmarkStart w:id="2822" w:name="_Toc27809"/>
      <w:bookmarkStart w:id="2823" w:name="_Toc4080"/>
      <w:bookmarkStart w:id="2824" w:name="_Toc19042"/>
      <w:bookmarkStart w:id="2825" w:name="_Toc7739"/>
      <w:bookmarkStart w:id="2826" w:name="_Toc7541"/>
      <w:bookmarkStart w:id="2827" w:name="_Toc10990"/>
      <w:bookmarkStart w:id="2828" w:name="_Toc10057"/>
      <w:bookmarkStart w:id="2829" w:name="_Toc20445"/>
      <w:bookmarkStart w:id="2830" w:name="_Toc10278"/>
      <w:bookmarkStart w:id="2831" w:name="_Toc22474"/>
      <w:bookmarkStart w:id="2832" w:name="_Toc10592"/>
      <w:r>
        <w:rPr>
          <w:rFonts w:hint="eastAsia" w:ascii="楷体_GB2312" w:hAnsi="楷体_GB2312" w:eastAsia="楷体_GB2312" w:cs="楷体_GB2312"/>
          <w:b/>
          <w:bCs/>
          <w:snapToGrid w:val="0"/>
          <w:kern w:val="0"/>
          <w:sz w:val="24"/>
          <w:szCs w:val="24"/>
        </w:rPr>
        <w:t>四、联席主承销商</w:t>
      </w:r>
      <w:bookmarkEnd w:id="2810"/>
      <w:bookmarkEnd w:id="2811"/>
      <w:bookmarkEnd w:id="2812"/>
      <w:bookmarkEnd w:id="2813"/>
      <w:bookmarkEnd w:id="2814"/>
      <w:bookmarkEnd w:id="2815"/>
      <w:bookmarkEnd w:id="2816"/>
      <w:bookmarkEnd w:id="2817"/>
      <w:bookmarkEnd w:id="2818"/>
      <w:bookmarkEnd w:id="2819"/>
      <w:bookmarkEnd w:id="2820"/>
      <w:r>
        <w:rPr>
          <w:rFonts w:hint="eastAsia" w:ascii="楷体_GB2312" w:hAnsi="楷体_GB2312" w:eastAsia="楷体_GB2312" w:cs="楷体_GB2312"/>
          <w:b/>
          <w:bCs/>
          <w:snapToGrid w:val="0"/>
          <w:kern w:val="0"/>
          <w:sz w:val="24"/>
          <w:szCs w:val="24"/>
        </w:rPr>
        <w:t>（如有）</w:t>
      </w:r>
      <w:bookmarkEnd w:id="2821"/>
      <w:bookmarkEnd w:id="2822"/>
      <w:bookmarkEnd w:id="2823"/>
      <w:bookmarkEnd w:id="2824"/>
      <w:bookmarkEnd w:id="2825"/>
      <w:bookmarkEnd w:id="2826"/>
      <w:bookmarkEnd w:id="2827"/>
      <w:bookmarkEnd w:id="2828"/>
      <w:bookmarkEnd w:id="2829"/>
      <w:bookmarkEnd w:id="2830"/>
      <w:bookmarkEnd w:id="2831"/>
      <w:bookmarkEnd w:id="2832"/>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hAnsi="楷体_GB2312"/>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2833" w:name="_Toc9834"/>
      <w:bookmarkStart w:id="2834" w:name="_Toc23125"/>
      <w:bookmarkStart w:id="2835" w:name="_Toc12537"/>
      <w:bookmarkStart w:id="2836" w:name="_Toc20060"/>
      <w:bookmarkStart w:id="2837" w:name="_Toc35499426"/>
      <w:bookmarkStart w:id="2838" w:name="_Toc7870"/>
      <w:bookmarkStart w:id="2839" w:name="_Toc21701"/>
      <w:bookmarkStart w:id="2840" w:name="_Toc15095"/>
      <w:bookmarkStart w:id="2841" w:name="_Toc1215"/>
      <w:bookmarkStart w:id="2842" w:name="_Toc325"/>
      <w:bookmarkStart w:id="2843" w:name="_Toc27452"/>
      <w:bookmarkStart w:id="2844" w:name="_Toc1036"/>
      <w:bookmarkStart w:id="2845" w:name="_Toc16254"/>
      <w:bookmarkStart w:id="2846" w:name="_Toc26671"/>
      <w:bookmarkStart w:id="2847" w:name="_Toc7507"/>
      <w:bookmarkStart w:id="2848" w:name="_Toc28722"/>
      <w:bookmarkStart w:id="2849" w:name="_Toc5606"/>
      <w:bookmarkStart w:id="2850" w:name="_Toc23476"/>
      <w:bookmarkStart w:id="2851" w:name="_Toc23696"/>
      <w:bookmarkStart w:id="2852" w:name="_Toc25301"/>
      <w:bookmarkStart w:id="2853" w:name="_Toc14174"/>
      <w:bookmarkStart w:id="2854" w:name="_Toc21878"/>
      <w:bookmarkStart w:id="2855" w:name="_Toc26887"/>
      <w:bookmarkStart w:id="2856" w:name="_Toc26097"/>
      <w:bookmarkStart w:id="2857" w:name="_Toc19854"/>
      <w:bookmarkStart w:id="2858" w:name="_Toc17516"/>
      <w:bookmarkStart w:id="2859" w:name="_Toc24041"/>
      <w:bookmarkStart w:id="2860" w:name="_Toc19028"/>
      <w:bookmarkStart w:id="2861" w:name="_Toc15364"/>
      <w:bookmarkStart w:id="2862" w:name="_Toc3445"/>
      <w:bookmarkStart w:id="2863" w:name="_Toc17802"/>
      <w:bookmarkStart w:id="2864" w:name="_Toc9329"/>
      <w:bookmarkStart w:id="2865" w:name="_Toc8913"/>
      <w:bookmarkStart w:id="2866" w:name="_Toc5570"/>
      <w:r>
        <w:rPr>
          <w:rFonts w:hint="eastAsia" w:ascii="楷体_GB2312" w:hAnsi="楷体_GB2312" w:eastAsia="楷体_GB2312" w:cs="楷体_GB2312"/>
          <w:b/>
          <w:bCs/>
          <w:snapToGrid w:val="0"/>
          <w:kern w:val="0"/>
          <w:sz w:val="24"/>
          <w:szCs w:val="24"/>
        </w:rPr>
        <w:t>五、资金保管</w:t>
      </w:r>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r>
        <w:rPr>
          <w:rFonts w:hint="eastAsia" w:ascii="楷体_GB2312" w:hAnsi="楷体_GB2312" w:eastAsia="楷体_GB2312" w:cs="楷体_GB2312"/>
          <w:b/>
          <w:bCs/>
          <w:snapToGrid w:val="0"/>
          <w:kern w:val="0"/>
          <w:sz w:val="24"/>
          <w:szCs w:val="24"/>
        </w:rPr>
        <w:t>机构</w:t>
      </w:r>
      <w:bookmarkEnd w:id="2855"/>
      <w:bookmarkEnd w:id="2856"/>
      <w:bookmarkEnd w:id="2857"/>
      <w:bookmarkEnd w:id="2858"/>
      <w:bookmarkEnd w:id="2859"/>
      <w:bookmarkEnd w:id="2860"/>
      <w:bookmarkEnd w:id="2861"/>
      <w:bookmarkEnd w:id="2862"/>
      <w:bookmarkEnd w:id="2863"/>
      <w:bookmarkEnd w:id="2864"/>
      <w:bookmarkEnd w:id="2865"/>
      <w:bookmarkEnd w:id="2866"/>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hAnsi="楷体_GB2312"/>
          <w:snapToGrid w:val="0"/>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ascii="楷体_GB2312" w:hAnsi="楷体_GB2312" w:eastAsia="楷体_GB2312" w:cs="楷体_GB2312"/>
          <w:b/>
          <w:bCs/>
          <w:snapToGrid w:val="0"/>
          <w:kern w:val="0"/>
          <w:sz w:val="24"/>
          <w:szCs w:val="24"/>
        </w:rPr>
      </w:pPr>
      <w:bookmarkStart w:id="2867" w:name="_Toc11181"/>
      <w:bookmarkStart w:id="2868" w:name="_Toc11036"/>
      <w:bookmarkStart w:id="2869" w:name="_Toc10712"/>
      <w:bookmarkStart w:id="2870" w:name="_Toc27132"/>
      <w:bookmarkStart w:id="2871" w:name="_Toc29733"/>
      <w:bookmarkStart w:id="2872" w:name="_Toc25414"/>
      <w:bookmarkStart w:id="2873" w:name="_Toc5397"/>
      <w:bookmarkStart w:id="2874" w:name="_Toc22543"/>
      <w:bookmarkStart w:id="2875" w:name="_Toc25173"/>
      <w:bookmarkStart w:id="2876" w:name="_Toc10820"/>
      <w:bookmarkStart w:id="2877" w:name="_Toc19194"/>
      <w:bookmarkStart w:id="2878" w:name="_Toc3353"/>
      <w:r>
        <w:rPr>
          <w:rFonts w:hint="eastAsia" w:ascii="楷体_GB2312" w:hAnsi="楷体_GB2312" w:eastAsia="楷体_GB2312" w:cs="楷体_GB2312"/>
          <w:b/>
          <w:bCs/>
          <w:snapToGrid w:val="0"/>
          <w:kern w:val="0"/>
          <w:sz w:val="24"/>
          <w:szCs w:val="24"/>
        </w:rPr>
        <w:t>六、资金监管机构</w:t>
      </w:r>
      <w:bookmarkEnd w:id="2867"/>
      <w:r>
        <w:rPr>
          <w:rFonts w:hint="eastAsia" w:ascii="楷体_GB2312" w:hAnsi="楷体_GB2312" w:eastAsia="楷体_GB2312" w:cs="楷体_GB2312"/>
          <w:b/>
          <w:bCs/>
          <w:snapToGrid w:val="0"/>
          <w:kern w:val="0"/>
          <w:sz w:val="24"/>
          <w:szCs w:val="24"/>
        </w:rPr>
        <w:t>（如有）</w:t>
      </w:r>
      <w:bookmarkEnd w:id="2868"/>
      <w:bookmarkEnd w:id="2869"/>
      <w:bookmarkEnd w:id="2870"/>
      <w:bookmarkEnd w:id="2871"/>
      <w:bookmarkEnd w:id="2872"/>
      <w:bookmarkEnd w:id="2873"/>
      <w:bookmarkEnd w:id="2874"/>
      <w:bookmarkEnd w:id="2875"/>
      <w:bookmarkEnd w:id="2876"/>
      <w:bookmarkEnd w:id="2877"/>
      <w:bookmarkEnd w:id="2878"/>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76"/>
        <w:keepNext w:val="0"/>
        <w:keepLines w:val="0"/>
        <w:pageBreakBefore w:val="0"/>
        <w:widowControl w:val="0"/>
        <w:kinsoku/>
        <w:wordWrap/>
        <w:overflowPunct/>
        <w:topLinePunct w:val="0"/>
        <w:bidi w:val="0"/>
        <w:snapToGrid w:val="0"/>
        <w:spacing w:before="157" w:beforeLines="50" w:after="157" w:afterLines="50" w:line="240" w:lineRule="atLeast"/>
        <w:textAlignment w:val="auto"/>
        <w:rPr>
          <w:rFonts w:hint="eastAsia"/>
        </w:rPr>
      </w:pPr>
      <w:bookmarkStart w:id="2879" w:name="_Toc35499427"/>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ascii="楷体_GB2312" w:hAnsi="楷体_GB2312" w:eastAsia="楷体_GB2312" w:cs="楷体_GB2312"/>
          <w:b/>
          <w:bCs/>
          <w:snapToGrid w:val="0"/>
          <w:kern w:val="0"/>
          <w:sz w:val="24"/>
          <w:szCs w:val="24"/>
        </w:rPr>
      </w:pPr>
      <w:bookmarkStart w:id="2880" w:name="_Toc5771"/>
      <w:bookmarkStart w:id="2881" w:name="_Toc8515"/>
      <w:bookmarkStart w:id="2882" w:name="_Toc28963"/>
      <w:bookmarkStart w:id="2883" w:name="_Toc22043"/>
      <w:bookmarkStart w:id="2884" w:name="_Toc3356"/>
      <w:bookmarkStart w:id="2885" w:name="_Toc5827"/>
      <w:bookmarkStart w:id="2886" w:name="_Toc12706"/>
      <w:bookmarkStart w:id="2887" w:name="_Toc1717"/>
      <w:bookmarkStart w:id="2888" w:name="_Toc20957"/>
      <w:bookmarkStart w:id="2889" w:name="_Toc16300"/>
      <w:bookmarkStart w:id="2890" w:name="_Toc20052"/>
      <w:bookmarkStart w:id="2891" w:name="_Toc26474"/>
      <w:bookmarkStart w:id="2892" w:name="_Toc8028"/>
      <w:bookmarkStart w:id="2893" w:name="_Toc14537"/>
      <w:bookmarkStart w:id="2894" w:name="_Toc554"/>
      <w:bookmarkStart w:id="2895" w:name="_Toc31972"/>
      <w:bookmarkStart w:id="2896" w:name="_Toc8362"/>
      <w:bookmarkStart w:id="2897" w:name="_Toc6168"/>
      <w:bookmarkStart w:id="2898" w:name="_Toc11854"/>
      <w:bookmarkStart w:id="2899" w:name="_Toc30681"/>
      <w:bookmarkStart w:id="2900" w:name="_Toc27396"/>
      <w:bookmarkStart w:id="2901" w:name="_Toc29285"/>
      <w:bookmarkStart w:id="2902" w:name="_Toc7172"/>
      <w:bookmarkStart w:id="2903" w:name="_Toc6382"/>
      <w:bookmarkStart w:id="2904" w:name="_Toc748"/>
      <w:bookmarkStart w:id="2905" w:name="_Toc32110"/>
      <w:bookmarkStart w:id="2906" w:name="_Toc24337"/>
      <w:bookmarkStart w:id="2907" w:name="_Toc30134"/>
      <w:bookmarkStart w:id="2908" w:name="_Toc11891"/>
      <w:bookmarkStart w:id="2909" w:name="_Toc3381"/>
      <w:bookmarkStart w:id="2910" w:name="_Toc11993"/>
      <w:bookmarkStart w:id="2911" w:name="_Toc29829"/>
      <w:bookmarkStart w:id="2912" w:name="_Toc9230"/>
      <w:r>
        <w:rPr>
          <w:rFonts w:hint="eastAsia" w:ascii="楷体_GB2312" w:hAnsi="楷体_GB2312" w:eastAsia="楷体_GB2312" w:cs="楷体_GB2312"/>
          <w:b/>
          <w:bCs/>
          <w:snapToGrid w:val="0"/>
          <w:kern w:val="0"/>
          <w:sz w:val="24"/>
          <w:szCs w:val="24"/>
        </w:rPr>
        <w:t>七、资产服务机构（如有）</w:t>
      </w:r>
      <w:bookmarkEnd w:id="2880"/>
      <w:bookmarkEnd w:id="2881"/>
      <w:bookmarkEnd w:id="2882"/>
      <w:bookmarkEnd w:id="2883"/>
      <w:bookmarkEnd w:id="2884"/>
      <w:bookmarkEnd w:id="2885"/>
      <w:bookmarkEnd w:id="2886"/>
      <w:bookmarkEnd w:id="2887"/>
      <w:bookmarkEnd w:id="2888"/>
      <w:bookmarkEnd w:id="2889"/>
      <w:bookmarkEnd w:id="2890"/>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keepNext w:val="0"/>
        <w:keepLines w:val="0"/>
        <w:pageBreakBefore w:val="0"/>
        <w:widowControl w:val="0"/>
        <w:kinsoku/>
        <w:wordWrap/>
        <w:overflowPunct/>
        <w:topLinePunct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z w:val="24"/>
          <w:szCs w:val="24"/>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2913" w:name="_Toc9879"/>
      <w:bookmarkStart w:id="2914" w:name="_Toc17667"/>
      <w:bookmarkStart w:id="2915" w:name="_Toc3698"/>
      <w:bookmarkStart w:id="2916" w:name="_Toc29939"/>
      <w:bookmarkStart w:id="2917" w:name="_Toc23343"/>
      <w:bookmarkStart w:id="2918" w:name="_Toc5188"/>
      <w:bookmarkStart w:id="2919" w:name="_Toc3314"/>
      <w:bookmarkStart w:id="2920" w:name="_Toc10598"/>
      <w:bookmarkStart w:id="2921" w:name="_Toc4926"/>
      <w:bookmarkStart w:id="2922" w:name="_Toc15770"/>
      <w:bookmarkStart w:id="2923" w:name="_Toc2618"/>
      <w:r>
        <w:rPr>
          <w:rFonts w:hint="eastAsia" w:ascii="楷体_GB2312" w:hAnsi="楷体_GB2312" w:eastAsia="楷体_GB2312" w:cs="楷体_GB2312"/>
          <w:b/>
          <w:bCs/>
          <w:snapToGrid w:val="0"/>
          <w:kern w:val="0"/>
          <w:sz w:val="24"/>
          <w:szCs w:val="24"/>
        </w:rPr>
        <w:t>八、律师事务所</w:t>
      </w:r>
      <w:bookmarkEnd w:id="2879"/>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hAnsi="楷体_GB2312"/>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2924" w:name="_Toc22103"/>
      <w:bookmarkStart w:id="2925" w:name="_Toc14168"/>
      <w:bookmarkStart w:id="2926" w:name="_Toc9774"/>
      <w:bookmarkStart w:id="2927" w:name="_Toc28449"/>
      <w:bookmarkStart w:id="2928" w:name="_Toc6903"/>
      <w:bookmarkStart w:id="2929" w:name="_Toc18518"/>
      <w:bookmarkStart w:id="2930" w:name="_Toc25145"/>
      <w:bookmarkStart w:id="2931" w:name="_Toc25159"/>
      <w:bookmarkStart w:id="2932" w:name="_Toc4544"/>
      <w:bookmarkStart w:id="2933" w:name="_Toc9569"/>
      <w:bookmarkStart w:id="2934" w:name="_Toc21180"/>
      <w:bookmarkStart w:id="2935" w:name="_Toc29491"/>
      <w:bookmarkStart w:id="2936" w:name="_Toc10063"/>
      <w:bookmarkStart w:id="2937" w:name="_Toc12617"/>
      <w:bookmarkStart w:id="2938" w:name="_Toc8954"/>
      <w:bookmarkStart w:id="2939" w:name="_Toc20660"/>
      <w:bookmarkStart w:id="2940" w:name="_Toc20158"/>
      <w:bookmarkStart w:id="2941" w:name="_Toc27846"/>
      <w:bookmarkStart w:id="2942" w:name="_Toc22311"/>
      <w:bookmarkStart w:id="2943" w:name="_Toc24761"/>
      <w:bookmarkStart w:id="2944" w:name="_Toc35499428"/>
      <w:bookmarkStart w:id="2945" w:name="_Toc9981"/>
      <w:bookmarkStart w:id="2946" w:name="_Toc14739"/>
      <w:bookmarkStart w:id="2947" w:name="_Toc22170"/>
      <w:bookmarkStart w:id="2948" w:name="_Toc31179"/>
      <w:bookmarkStart w:id="2949" w:name="_Toc10807"/>
      <w:bookmarkStart w:id="2950" w:name="_Toc29655"/>
      <w:bookmarkStart w:id="2951" w:name="_Toc25750"/>
      <w:bookmarkStart w:id="2952" w:name="_Toc18858"/>
      <w:bookmarkStart w:id="2953" w:name="_Toc29088"/>
      <w:bookmarkStart w:id="2954" w:name="_Toc19352"/>
      <w:bookmarkStart w:id="2955" w:name="_Toc5565"/>
      <w:bookmarkStart w:id="2956" w:name="_Toc2312"/>
      <w:bookmarkStart w:id="2957" w:name="_Toc393"/>
      <w:r>
        <w:rPr>
          <w:rFonts w:hint="eastAsia" w:ascii="楷体_GB2312" w:hAnsi="楷体_GB2312" w:eastAsia="楷体_GB2312" w:cs="楷体_GB2312"/>
          <w:b/>
          <w:bCs/>
          <w:snapToGrid w:val="0"/>
          <w:kern w:val="0"/>
          <w:sz w:val="24"/>
          <w:szCs w:val="24"/>
        </w:rPr>
        <w:t>九、会计师事务所、现金流评估预测机构</w:t>
      </w:r>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r>
        <w:rPr>
          <w:rFonts w:hint="eastAsia" w:ascii="楷体_GB2312" w:hAnsi="楷体_GB2312" w:eastAsia="楷体_GB2312" w:cs="楷体_GB2312"/>
          <w:b/>
          <w:bCs/>
          <w:snapToGrid w:val="0"/>
          <w:kern w:val="0"/>
          <w:sz w:val="24"/>
          <w:szCs w:val="24"/>
        </w:rPr>
        <w:t>（如有）</w:t>
      </w:r>
      <w:bookmarkEnd w:id="2946"/>
      <w:bookmarkEnd w:id="2947"/>
      <w:bookmarkEnd w:id="2948"/>
      <w:bookmarkEnd w:id="2949"/>
      <w:bookmarkEnd w:id="2950"/>
      <w:bookmarkEnd w:id="2951"/>
      <w:bookmarkEnd w:id="2952"/>
      <w:bookmarkEnd w:id="2953"/>
      <w:bookmarkEnd w:id="2954"/>
      <w:bookmarkEnd w:id="2955"/>
      <w:bookmarkEnd w:id="2956"/>
      <w:bookmarkEnd w:id="2957"/>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hAnsi="楷体_GB2312"/>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2958" w:name="_Toc16039"/>
      <w:bookmarkStart w:id="2959" w:name="_Toc21494"/>
      <w:bookmarkStart w:id="2960" w:name="_Toc18081"/>
      <w:bookmarkStart w:id="2961" w:name="_Toc23104"/>
      <w:bookmarkStart w:id="2962" w:name="_Toc27482"/>
      <w:bookmarkStart w:id="2963" w:name="_Toc15268"/>
      <w:bookmarkStart w:id="2964" w:name="_Toc29100"/>
      <w:bookmarkStart w:id="2965" w:name="_Toc28069"/>
      <w:bookmarkStart w:id="2966" w:name="_Toc21506"/>
      <w:bookmarkStart w:id="2967" w:name="_Toc19420"/>
      <w:bookmarkStart w:id="2968" w:name="_Toc24841"/>
      <w:bookmarkStart w:id="2969" w:name="_Toc17653"/>
      <w:bookmarkStart w:id="2970" w:name="_Toc31326"/>
      <w:bookmarkStart w:id="2971" w:name="_Toc15128"/>
      <w:bookmarkStart w:id="2972" w:name="_Toc18044"/>
      <w:bookmarkStart w:id="2973" w:name="_Toc24190"/>
      <w:bookmarkStart w:id="2974" w:name="_Toc8113"/>
      <w:bookmarkStart w:id="2975" w:name="_Toc35499429"/>
      <w:bookmarkStart w:id="2976" w:name="_Toc16432"/>
      <w:bookmarkStart w:id="2977" w:name="_Toc30289"/>
      <w:bookmarkStart w:id="2978" w:name="_Toc30657"/>
      <w:bookmarkStart w:id="2979" w:name="_Toc15289"/>
      <w:bookmarkStart w:id="2980" w:name="_Toc281"/>
      <w:bookmarkStart w:id="2981" w:name="_Toc30854"/>
      <w:bookmarkStart w:id="2982" w:name="_Toc22344"/>
      <w:bookmarkStart w:id="2983" w:name="_Toc22735"/>
      <w:bookmarkStart w:id="2984" w:name="_Toc7830"/>
      <w:bookmarkStart w:id="2985" w:name="_Toc7514"/>
      <w:bookmarkStart w:id="2986" w:name="_Toc16163"/>
      <w:bookmarkStart w:id="2987" w:name="_Toc23625"/>
      <w:bookmarkStart w:id="2988" w:name="_Toc9640"/>
      <w:bookmarkStart w:id="2989" w:name="_Toc30005"/>
      <w:bookmarkStart w:id="2990" w:name="_Toc4268"/>
      <w:bookmarkStart w:id="2991" w:name="_Toc26619"/>
      <w:r>
        <w:rPr>
          <w:rFonts w:hint="eastAsia" w:ascii="楷体_GB2312" w:hAnsi="楷体_GB2312" w:eastAsia="楷体_GB2312" w:cs="楷体_GB2312"/>
          <w:b/>
          <w:bCs/>
          <w:snapToGrid w:val="0"/>
          <w:kern w:val="0"/>
          <w:sz w:val="24"/>
          <w:szCs w:val="24"/>
        </w:rPr>
        <w:t>十、信用评级机构</w:t>
      </w:r>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r>
        <w:rPr>
          <w:rFonts w:hint="eastAsia" w:ascii="楷体_GB2312" w:hAnsi="楷体_GB2312" w:eastAsia="楷体_GB2312" w:cs="楷体_GB2312"/>
          <w:b/>
          <w:bCs/>
          <w:snapToGrid w:val="0"/>
          <w:kern w:val="0"/>
          <w:sz w:val="24"/>
          <w:szCs w:val="24"/>
        </w:rPr>
        <w:t>（如有）</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hAnsi="楷体_GB2312"/>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ascii="楷体_GB2312" w:hAnsi="楷体_GB2312" w:eastAsia="楷体_GB2312" w:cs="楷体_GB2312"/>
          <w:b/>
          <w:bCs/>
          <w:snapToGrid w:val="0"/>
          <w:kern w:val="0"/>
          <w:sz w:val="24"/>
          <w:szCs w:val="24"/>
        </w:rPr>
      </w:pPr>
      <w:bookmarkStart w:id="2992" w:name="_Toc4426"/>
      <w:bookmarkStart w:id="2993" w:name="_Toc18254"/>
      <w:bookmarkStart w:id="2994" w:name="_Toc3579"/>
      <w:bookmarkStart w:id="2995" w:name="_Toc30314"/>
      <w:bookmarkStart w:id="2996" w:name="_Toc27005"/>
      <w:bookmarkStart w:id="2997" w:name="_Toc15185"/>
      <w:bookmarkStart w:id="2998" w:name="_Toc471"/>
      <w:bookmarkStart w:id="2999" w:name="_Toc12567"/>
      <w:bookmarkStart w:id="3000" w:name="_Toc2335"/>
      <w:bookmarkStart w:id="3001" w:name="_Toc13424"/>
      <w:bookmarkStart w:id="3002" w:name="_Toc10331"/>
      <w:bookmarkStart w:id="3003" w:name="_Toc28576"/>
      <w:bookmarkStart w:id="3004" w:name="_Toc29207"/>
      <w:bookmarkStart w:id="3005" w:name="_Toc23764"/>
      <w:bookmarkStart w:id="3006" w:name="_Toc18155"/>
      <w:bookmarkStart w:id="3007" w:name="_Toc222"/>
      <w:bookmarkStart w:id="3008" w:name="_Toc21667"/>
      <w:bookmarkStart w:id="3009" w:name="_Toc0"/>
      <w:bookmarkStart w:id="3010" w:name="_Toc2234"/>
      <w:bookmarkStart w:id="3011" w:name="_Toc17963"/>
      <w:bookmarkStart w:id="3012" w:name="_Toc20308"/>
      <w:bookmarkStart w:id="3013" w:name="_Toc35499430"/>
      <w:bookmarkStart w:id="3014" w:name="_Toc25067"/>
      <w:bookmarkStart w:id="3015" w:name="_Toc13507"/>
      <w:bookmarkStart w:id="3016" w:name="_Toc2300"/>
      <w:bookmarkStart w:id="3017" w:name="_Toc678"/>
      <w:bookmarkStart w:id="3018" w:name="_Toc28886"/>
      <w:bookmarkStart w:id="3019" w:name="_Toc20057"/>
      <w:bookmarkStart w:id="3020" w:name="_Toc10418"/>
      <w:bookmarkStart w:id="3021" w:name="_Toc17350"/>
      <w:bookmarkStart w:id="3022" w:name="_Toc23445"/>
      <w:bookmarkStart w:id="3023" w:name="_Toc31014"/>
      <w:bookmarkStart w:id="3024" w:name="_Toc28826"/>
      <w:bookmarkStart w:id="3025" w:name="_Toc27210"/>
      <w:r>
        <w:rPr>
          <w:rFonts w:hint="eastAsia" w:ascii="楷体_GB2312" w:hAnsi="楷体_GB2312" w:eastAsia="楷体_GB2312" w:cs="楷体_GB2312"/>
          <w:b/>
          <w:bCs/>
          <w:snapToGrid w:val="0"/>
          <w:kern w:val="0"/>
          <w:sz w:val="24"/>
          <w:szCs w:val="24"/>
        </w:rPr>
        <w:t>十一、</w:t>
      </w:r>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r>
        <w:rPr>
          <w:rFonts w:hint="eastAsia" w:ascii="楷体_GB2312" w:hAnsi="楷体_GB2312" w:eastAsia="楷体_GB2312" w:cs="楷体_GB2312"/>
          <w:b/>
          <w:bCs/>
          <w:snapToGrid w:val="0"/>
          <w:kern w:val="0"/>
          <w:sz w:val="24"/>
          <w:szCs w:val="24"/>
        </w:rPr>
        <w:t>信用增级机构</w:t>
      </w:r>
      <w:bookmarkEnd w:id="3014"/>
      <w:bookmarkEnd w:id="3015"/>
      <w:bookmarkEnd w:id="3016"/>
      <w:bookmarkEnd w:id="3017"/>
      <w:bookmarkEnd w:id="3018"/>
      <w:bookmarkEnd w:id="3019"/>
      <w:bookmarkEnd w:id="3020"/>
      <w:bookmarkEnd w:id="3021"/>
      <w:bookmarkEnd w:id="3022"/>
      <w:bookmarkEnd w:id="3023"/>
      <w:bookmarkEnd w:id="3024"/>
      <w:bookmarkEnd w:id="3025"/>
      <w:r>
        <w:rPr>
          <w:rFonts w:hint="eastAsia" w:ascii="楷体_GB2312" w:hAnsi="楷体_GB2312" w:eastAsia="楷体_GB2312" w:cs="楷体_GB2312"/>
          <w:b/>
          <w:bCs/>
          <w:snapToGrid w:val="0"/>
          <w:kern w:val="0"/>
          <w:sz w:val="24"/>
          <w:szCs w:val="24"/>
        </w:rPr>
        <w:t>（如有）</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ascii="楷体_GB2312" w:hAnsi="楷体_GB2312" w:eastAsia="楷体_GB2312" w:cs="楷体_GB2312"/>
          <w:b/>
          <w:bCs/>
          <w:snapToGrid w:val="0"/>
          <w:kern w:val="0"/>
          <w:sz w:val="24"/>
          <w:szCs w:val="24"/>
        </w:rPr>
      </w:pPr>
      <w:bookmarkStart w:id="3026" w:name="_Toc21224"/>
      <w:bookmarkStart w:id="3027" w:name="_Toc10448"/>
      <w:bookmarkStart w:id="3028" w:name="_Toc4138"/>
      <w:bookmarkStart w:id="3029" w:name="_Toc8445"/>
      <w:bookmarkStart w:id="3030" w:name="_Toc21264"/>
      <w:bookmarkStart w:id="3031" w:name="_Toc6043"/>
      <w:bookmarkStart w:id="3032" w:name="_Toc21628"/>
      <w:bookmarkStart w:id="3033" w:name="_Toc11629"/>
      <w:bookmarkStart w:id="3034" w:name="_Toc24129"/>
      <w:bookmarkStart w:id="3035" w:name="_Toc32071"/>
      <w:bookmarkStart w:id="3036" w:name="_Toc14211"/>
      <w:r>
        <w:rPr>
          <w:rFonts w:hint="eastAsia" w:ascii="楷体_GB2312" w:hAnsi="楷体_GB2312" w:eastAsia="楷体_GB2312" w:cs="楷体_GB2312"/>
          <w:b/>
          <w:bCs/>
          <w:snapToGrid w:val="0"/>
          <w:kern w:val="0"/>
          <w:sz w:val="24"/>
          <w:szCs w:val="24"/>
        </w:rPr>
        <w:t>十二、资产评估机构</w:t>
      </w:r>
      <w:bookmarkEnd w:id="3026"/>
      <w:bookmarkEnd w:id="3027"/>
      <w:bookmarkEnd w:id="3028"/>
      <w:bookmarkEnd w:id="3029"/>
      <w:bookmarkEnd w:id="3030"/>
      <w:bookmarkEnd w:id="3031"/>
      <w:bookmarkEnd w:id="3032"/>
      <w:bookmarkEnd w:id="3033"/>
      <w:bookmarkEnd w:id="3034"/>
      <w:bookmarkEnd w:id="3035"/>
      <w:bookmarkEnd w:id="3036"/>
      <w:r>
        <w:rPr>
          <w:rFonts w:hint="eastAsia" w:ascii="楷体_GB2312" w:hAnsi="楷体_GB2312" w:eastAsia="楷体_GB2312" w:cs="楷体_GB2312"/>
          <w:b/>
          <w:bCs/>
          <w:snapToGrid w:val="0"/>
          <w:kern w:val="0"/>
          <w:sz w:val="24"/>
          <w:szCs w:val="24"/>
        </w:rPr>
        <w:t>（如有）</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hAnsi="楷体_GB2312"/>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3037" w:name="_Toc17485"/>
      <w:bookmarkStart w:id="3038" w:name="_Toc22253"/>
      <w:bookmarkStart w:id="3039" w:name="_Toc30119"/>
      <w:bookmarkStart w:id="3040" w:name="_Toc9901"/>
      <w:bookmarkStart w:id="3041" w:name="_Toc15360"/>
      <w:bookmarkStart w:id="3042" w:name="_Toc17279"/>
      <w:bookmarkStart w:id="3043" w:name="_Toc12975"/>
      <w:bookmarkStart w:id="3044" w:name="_Toc13566"/>
      <w:bookmarkStart w:id="3045" w:name="_Toc32018"/>
      <w:bookmarkStart w:id="3046" w:name="_Toc27860"/>
      <w:bookmarkStart w:id="3047" w:name="_Toc35499431"/>
      <w:bookmarkStart w:id="3048" w:name="_Toc26007"/>
      <w:bookmarkStart w:id="3049" w:name="_Toc5807"/>
      <w:bookmarkStart w:id="3050" w:name="_Toc6164"/>
      <w:bookmarkStart w:id="3051" w:name="_Toc3012"/>
      <w:bookmarkStart w:id="3052" w:name="_Toc6897"/>
      <w:bookmarkStart w:id="3053" w:name="_Toc14088"/>
      <w:bookmarkStart w:id="3054" w:name="_Toc17811"/>
      <w:bookmarkStart w:id="3055" w:name="_Toc12684"/>
      <w:bookmarkStart w:id="3056" w:name="_Toc2932"/>
      <w:bookmarkStart w:id="3057" w:name="_Toc4607"/>
      <w:bookmarkStart w:id="3058" w:name="_Toc22221"/>
      <w:bookmarkStart w:id="3059" w:name="_Toc18019"/>
      <w:bookmarkStart w:id="3060" w:name="_Toc12628"/>
      <w:bookmarkStart w:id="3061" w:name="_Toc10561"/>
      <w:bookmarkStart w:id="3062" w:name="_Toc29250"/>
      <w:bookmarkStart w:id="3063" w:name="_Toc25162"/>
      <w:bookmarkStart w:id="3064" w:name="_Toc7547"/>
      <w:bookmarkStart w:id="3065" w:name="_Toc31795"/>
      <w:bookmarkStart w:id="3066" w:name="_Toc15039"/>
      <w:bookmarkStart w:id="3067" w:name="_Toc20491"/>
      <w:bookmarkStart w:id="3068" w:name="_Toc5918"/>
      <w:bookmarkStart w:id="3069" w:name="_Toc18650"/>
      <w:bookmarkStart w:id="3070" w:name="_Toc23767"/>
      <w:r>
        <w:rPr>
          <w:rFonts w:hint="eastAsia" w:ascii="楷体_GB2312" w:hAnsi="楷体_GB2312" w:eastAsia="楷体_GB2312" w:cs="楷体_GB2312"/>
          <w:b/>
          <w:bCs/>
          <w:snapToGrid w:val="0"/>
          <w:kern w:val="0"/>
          <w:sz w:val="24"/>
          <w:szCs w:val="24"/>
        </w:rPr>
        <w:t>十三、登记、托管、结算机构</w:t>
      </w:r>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hAnsi="楷体_GB2312"/>
        </w:rPr>
      </w:pP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3071" w:name="_Toc19062"/>
      <w:bookmarkStart w:id="3072" w:name="_Toc2572"/>
      <w:bookmarkStart w:id="3073" w:name="_Toc19055"/>
      <w:bookmarkStart w:id="3074" w:name="_Toc29764"/>
      <w:bookmarkStart w:id="3075" w:name="_Toc14581"/>
      <w:bookmarkStart w:id="3076" w:name="_Toc28578"/>
      <w:bookmarkStart w:id="3077" w:name="_Toc14292"/>
      <w:bookmarkStart w:id="3078" w:name="_Toc16057"/>
      <w:bookmarkStart w:id="3079" w:name="_Toc29082"/>
      <w:bookmarkStart w:id="3080" w:name="_Toc24288"/>
      <w:bookmarkStart w:id="3081" w:name="_Toc3160"/>
      <w:bookmarkStart w:id="3082" w:name="_Toc9105"/>
      <w:bookmarkStart w:id="3083" w:name="_Toc35499432"/>
      <w:bookmarkStart w:id="3084" w:name="_Toc10947"/>
      <w:bookmarkStart w:id="3085" w:name="_Toc5075"/>
      <w:bookmarkStart w:id="3086" w:name="_Toc31951"/>
      <w:bookmarkStart w:id="3087" w:name="_Toc13286"/>
      <w:bookmarkStart w:id="3088" w:name="_Toc56"/>
      <w:bookmarkStart w:id="3089" w:name="_Toc21857"/>
      <w:bookmarkStart w:id="3090" w:name="_Toc3948"/>
      <w:bookmarkStart w:id="3091" w:name="_Toc20487"/>
      <w:bookmarkStart w:id="3092" w:name="_Toc13871"/>
      <w:bookmarkStart w:id="3093" w:name="_Toc31291"/>
      <w:bookmarkStart w:id="3094" w:name="_Toc25930"/>
      <w:bookmarkStart w:id="3095" w:name="_Toc18567"/>
      <w:bookmarkStart w:id="3096" w:name="_Toc32210"/>
      <w:bookmarkStart w:id="3097" w:name="_Toc29079"/>
      <w:bookmarkStart w:id="3098" w:name="_Toc13865"/>
      <w:bookmarkStart w:id="3099" w:name="_Toc19834"/>
      <w:bookmarkStart w:id="3100" w:name="_Toc14182"/>
      <w:bookmarkStart w:id="3101" w:name="_Toc8155"/>
      <w:bookmarkStart w:id="3102" w:name="_Toc6907"/>
      <w:bookmarkStart w:id="3103" w:name="_Toc9695"/>
      <w:bookmarkStart w:id="3104" w:name="_Toc1547"/>
      <w:r>
        <w:rPr>
          <w:rFonts w:hint="eastAsia" w:ascii="楷体_GB2312" w:hAnsi="楷体_GB2312" w:eastAsia="楷体_GB2312" w:cs="楷体_GB2312"/>
          <w:b/>
          <w:bCs/>
          <w:snapToGrid w:val="0"/>
          <w:kern w:val="0"/>
          <w:sz w:val="24"/>
          <w:szCs w:val="24"/>
        </w:rPr>
        <w:t>十四、集中簿记建档系统技术支持机构</w:t>
      </w:r>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2"/>
        <w:keepNext w:val="0"/>
        <w:keepLines w:val="0"/>
        <w:pageBreakBefore w:val="0"/>
        <w:widowControl w:val="0"/>
        <w:kinsoku/>
        <w:wordWrap/>
        <w:overflowPunct/>
        <w:topLinePunct w:val="0"/>
        <w:bidi w:val="0"/>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项目实际情况调整发行有关机构的披露情况。</w:t>
      </w:r>
    </w:p>
    <w:p>
      <w:pPr>
        <w:pStyle w:val="169"/>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0" w:firstLineChars="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br w:type="page"/>
      </w:r>
      <w:r>
        <w:rPr>
          <w:rFonts w:hint="eastAsia" w:ascii="楷体_GB2312" w:hAnsi="楷体_GB2312" w:eastAsia="楷体_GB2312" w:cs="楷体_GB2312"/>
          <w:snapToGrid w:val="0"/>
          <w:kern w:val="0"/>
          <w:sz w:val="24"/>
          <w:szCs w:val="24"/>
        </w:rPr>
        <w:t>（本页无正文，为《【</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】期资产支持商业票据募集说明书》之盖章页）</w:t>
      </w: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】公司</w:t>
      </w: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wordWrap w:val="0"/>
        <w:overflowPunct/>
        <w:topLinePunct w:val="0"/>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】年【</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】月【</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】日</w:t>
      </w:r>
    </w:p>
    <w:p>
      <w:pPr>
        <w:keepNext w:val="0"/>
        <w:keepLines w:val="0"/>
        <w:pageBreakBefore w:val="0"/>
        <w:widowControl/>
        <w:kinsoku/>
        <w:overflowPunct/>
        <w:topLinePunct w:val="0"/>
        <w:bidi w:val="0"/>
        <w:spacing w:before="157" w:beforeLines="50" w:after="157" w:afterLines="50" w:line="240" w:lineRule="atLeas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br w:type="page"/>
      </w:r>
      <w:r>
        <w:rPr>
          <w:rFonts w:hint="eastAsia" w:ascii="楷体_GB2312" w:hAnsi="楷体_GB2312" w:eastAsia="楷体_GB2312" w:cs="楷体_GB2312"/>
          <w:snapToGrid w:val="0"/>
          <w:kern w:val="0"/>
          <w:sz w:val="24"/>
          <w:szCs w:val="24"/>
        </w:rPr>
        <w:t>（本页无正文，为《【</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】期资产支持商业票据募集说明书》之盖章页）</w:t>
      </w: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】公司</w:t>
      </w: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】年【</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】月【</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】日</w:t>
      </w:r>
    </w:p>
    <w:p>
      <w:pPr>
        <w:pStyle w:val="169"/>
        <w:keepNext w:val="0"/>
        <w:keepLines w:val="0"/>
        <w:pageBreakBefore w:val="0"/>
        <w:kinsoku/>
        <w:overflowPunct/>
        <w:topLinePunct w:val="0"/>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p>
    <w:p>
      <w:pPr>
        <w:keepNext w:val="0"/>
        <w:keepLines w:val="0"/>
        <w:pageBreakBefore w:val="0"/>
        <w:kinsoku/>
        <w:overflowPunct/>
        <w:topLinePunct w:val="0"/>
        <w:autoSpaceDE w:val="0"/>
        <w:autoSpaceDN w:val="0"/>
        <w:bidi w:val="0"/>
        <w:adjustRightInd w:val="0"/>
        <w:spacing w:before="157" w:beforeLines="50" w:after="157" w:afterLines="50" w:line="240" w:lineRule="atLeast"/>
        <w:jc w:val="both"/>
        <w:textAlignment w:val="auto"/>
        <w:rPr>
          <w:rFonts w:hint="eastAsia" w:ascii="楷体_GB2312" w:hAnsi="楷体_GB2312" w:eastAsia="楷体_GB2312" w:cs="楷体_GB2312"/>
          <w:kern w:val="0"/>
          <w:sz w:val="24"/>
          <w:szCs w:val="24"/>
        </w:rPr>
      </w:pPr>
    </w:p>
    <w:p>
      <w:pPr>
        <w:pStyle w:val="2"/>
        <w:keepNext w:val="0"/>
        <w:keepLines w:val="0"/>
        <w:pageBreakBefore w:val="0"/>
        <w:kinsoku/>
        <w:overflowPunct/>
        <w:topLinePunct w:val="0"/>
        <w:bidi w:val="0"/>
        <w:spacing w:before="157" w:beforeLines="50" w:after="157" w:afterLines="50" w:line="240" w:lineRule="atLeast"/>
        <w:ind w:firstLine="480"/>
        <w:textAlignment w:val="auto"/>
        <w:rPr>
          <w:rFonts w:hint="eastAsia" w:ascii="楷体_GB2312" w:hAnsi="楷体_GB2312" w:eastAsia="楷体_GB2312" w:cs="楷体_GB2312"/>
          <w:bCs/>
          <w:kern w:val="2"/>
          <w:sz w:val="24"/>
          <w:szCs w:val="24"/>
        </w:rPr>
        <w:sectPr>
          <w:footerReference r:id="rId11" w:type="default"/>
          <w:footnotePr>
            <w:numRestart w:val="eachPage"/>
          </w:footnotePr>
          <w:pgSz w:w="11906" w:h="16839"/>
          <w:pgMar w:top="1440" w:right="1800" w:bottom="1440" w:left="1800" w:header="0" w:footer="992" w:gutter="0"/>
          <w:pgBorders>
            <w:top w:val="none" w:sz="0" w:space="0"/>
            <w:left w:val="none" w:sz="0" w:space="0"/>
            <w:bottom w:val="none" w:sz="0" w:space="0"/>
            <w:right w:val="none" w:sz="0" w:space="0"/>
          </w:pgBorders>
          <w:pgNumType w:start="1"/>
          <w:cols w:space="720" w:num="1"/>
          <w:docGrid w:type="lines" w:linePitch="312" w:charSpace="0"/>
        </w:sectPr>
      </w:pPr>
      <w:bookmarkStart w:id="3105" w:name="_Toc32617"/>
    </w:p>
    <w:p>
      <w:pPr>
        <w:pStyle w:val="2"/>
        <w:ind w:firstLine="480"/>
        <w:rPr>
          <w:rFonts w:hint="eastAsia" w:ascii="楷体_GB2312" w:hAnsi="楷体_GB2312" w:eastAsia="楷体_GB2312" w:cs="楷体_GB2312"/>
          <w:bCs/>
          <w:kern w:val="2"/>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pStyle w:val="2"/>
        <w:ind w:firstLine="482"/>
        <w:rPr>
          <w:rFonts w:ascii="楷体_GB2312" w:hAnsi="楷体_GB2312" w:eastAsia="楷体_GB2312" w:cs="楷体_GB2312"/>
          <w:b/>
          <w:sz w:val="24"/>
          <w:szCs w:val="24"/>
        </w:rPr>
      </w:pPr>
    </w:p>
    <w:p>
      <w:pPr>
        <w:pStyle w:val="2"/>
        <w:ind w:firstLine="482"/>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tLeast"/>
        <w:jc w:val="center"/>
        <w:textAlignment w:val="auto"/>
        <w:outlineLvl w:val="0"/>
        <w:rPr>
          <w:rFonts w:hint="eastAsia" w:ascii="楷体_GB2312" w:hAnsi="楷体_GB2312" w:eastAsia="楷体_GB2312" w:cs="楷体_GB2312"/>
          <w:b/>
          <w:bCs/>
          <w:kern w:val="0"/>
          <w:sz w:val="44"/>
          <w:szCs w:val="44"/>
        </w:rPr>
        <w:sectPr>
          <w:footerReference r:id="rId12" w:type="default"/>
          <w:footnotePr>
            <w:numRestart w:val="eachPage"/>
          </w:footnotePr>
          <w:pgSz w:w="11906" w:h="16839"/>
          <w:pgMar w:top="1440" w:right="1800" w:bottom="1440" w:left="1800" w:header="0" w:footer="992" w:gutter="0"/>
          <w:pgBorders>
            <w:top w:val="none" w:sz="0" w:space="0"/>
            <w:left w:val="none" w:sz="0" w:space="0"/>
            <w:bottom w:val="none" w:sz="0" w:space="0"/>
            <w:right w:val="none" w:sz="0" w:space="0"/>
          </w:pgBorders>
          <w:pgNumType w:start="1"/>
          <w:cols w:space="720" w:num="1"/>
          <w:docGrid w:type="lines" w:linePitch="312" w:charSpace="0"/>
        </w:sectPr>
      </w:pPr>
      <w:bookmarkStart w:id="3106" w:name="_Toc14123"/>
      <w:bookmarkStart w:id="3107" w:name="_Toc28708"/>
      <w:r>
        <w:rPr>
          <w:rFonts w:hint="eastAsia" w:ascii="楷体_GB2312" w:hAnsi="楷体_GB2312" w:eastAsia="楷体_GB2312" w:cs="楷体_GB2312"/>
          <w:b/>
          <w:bCs/>
          <w:kern w:val="0"/>
          <w:sz w:val="44"/>
          <w:szCs w:val="44"/>
        </w:rPr>
        <w:t>第</w:t>
      </w:r>
      <w:r>
        <w:rPr>
          <w:rFonts w:hint="eastAsia" w:ascii="楷体_GB2312" w:hAnsi="楷体_GB2312" w:eastAsia="楷体_GB2312" w:cs="楷体_GB2312"/>
          <w:b/>
          <w:bCs/>
          <w:kern w:val="0"/>
          <w:sz w:val="44"/>
          <w:szCs w:val="44"/>
          <w:lang w:val="en-US" w:eastAsia="zh-CN"/>
        </w:rPr>
        <w:t>三</w:t>
      </w:r>
      <w:r>
        <w:rPr>
          <w:rFonts w:hint="eastAsia" w:ascii="楷体_GB2312" w:hAnsi="楷体_GB2312" w:eastAsia="楷体_GB2312" w:cs="楷体_GB2312"/>
          <w:b/>
          <w:bCs/>
          <w:kern w:val="0"/>
          <w:sz w:val="44"/>
          <w:szCs w:val="44"/>
        </w:rPr>
        <w:t xml:space="preserve">部分 </w:t>
      </w:r>
      <w:r>
        <w:rPr>
          <w:rFonts w:hint="eastAsia" w:ascii="楷体_GB2312" w:hAnsi="楷体_GB2312" w:eastAsia="楷体_GB2312" w:cs="楷体_GB2312"/>
          <w:b/>
          <w:bCs/>
          <w:kern w:val="0"/>
          <w:sz w:val="44"/>
          <w:szCs w:val="44"/>
          <w:lang w:val="en-US" w:eastAsia="zh-CN"/>
        </w:rPr>
        <w:t>定向募集说明书</w:t>
      </w:r>
      <w:bookmarkEnd w:id="3106"/>
      <w:r>
        <w:rPr>
          <w:rFonts w:hint="eastAsia" w:ascii="楷体_GB2312" w:hAnsi="楷体_GB2312" w:eastAsia="楷体_GB2312" w:cs="楷体_GB2312"/>
          <w:b/>
          <w:bCs/>
          <w:kern w:val="0"/>
          <w:sz w:val="44"/>
          <w:szCs w:val="44"/>
          <w:lang w:val="en-US" w:eastAsia="zh-CN"/>
        </w:rPr>
        <w:t>（参考文本）</w:t>
      </w:r>
      <w:bookmarkEnd w:id="3107"/>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jc w:val="center"/>
        <w:textAlignment w:val="auto"/>
        <w:rPr>
          <w:rFonts w:hint="eastAsia" w:ascii="楷体_GB2312" w:hAnsi="楷体_GB2312" w:eastAsia="楷体_GB2312" w:cs="楷体_GB2312"/>
          <w:b/>
          <w:color w:val="000000"/>
          <w:sz w:val="40"/>
          <w:szCs w:val="40"/>
        </w:rPr>
      </w:pPr>
      <w:r>
        <w:rPr>
          <w:rFonts w:hint="eastAsia" w:ascii="楷体_GB2312" w:hAnsi="楷体_GB2312" w:eastAsia="楷体_GB2312" w:cs="楷体_GB2312"/>
          <w:b/>
          <w:color w:val="000000"/>
          <w:sz w:val="40"/>
          <w:szCs w:val="40"/>
        </w:rPr>
        <w:t>【</w:t>
      </w:r>
      <w:r>
        <w:rPr>
          <w:rFonts w:hint="eastAsia" w:ascii="楷体_GB2312" w:hAnsi="楷体_GB2312" w:eastAsia="楷体_GB2312" w:cs="楷体_GB2312"/>
          <w:b/>
          <w:i/>
          <w:iCs/>
          <w:color w:val="FF0000"/>
          <w:sz w:val="40"/>
          <w:szCs w:val="40"/>
          <w:u w:val="single"/>
        </w:rPr>
        <w:t>发起机构</w:t>
      </w:r>
      <w:r>
        <w:rPr>
          <w:rFonts w:hint="eastAsia" w:ascii="楷体_GB2312" w:hAnsi="楷体_GB2312" w:eastAsia="楷体_GB2312" w:cs="楷体_GB2312"/>
          <w:b/>
          <w:color w:val="000000"/>
          <w:sz w:val="40"/>
          <w:szCs w:val="40"/>
        </w:rPr>
        <w:t>】公司【  】年度</w:t>
      </w:r>
      <w:bookmarkEnd w:id="3105"/>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jc w:val="center"/>
        <w:textAlignment w:val="auto"/>
        <w:rPr>
          <w:rFonts w:hint="eastAsia" w:ascii="楷体_GB2312" w:hAnsi="楷体_GB2312" w:eastAsia="楷体_GB2312" w:cs="楷体_GB2312"/>
          <w:b/>
          <w:color w:val="000000"/>
          <w:sz w:val="40"/>
          <w:szCs w:val="40"/>
        </w:rPr>
      </w:pPr>
      <w:bookmarkStart w:id="3108" w:name="_Toc191"/>
      <w:r>
        <w:rPr>
          <w:rFonts w:hint="eastAsia" w:ascii="楷体_GB2312" w:hAnsi="楷体_GB2312" w:eastAsia="楷体_GB2312" w:cs="楷体_GB2312"/>
          <w:b/>
          <w:color w:val="000000"/>
          <w:sz w:val="40"/>
          <w:szCs w:val="40"/>
        </w:rPr>
        <w:t>【</w:t>
      </w:r>
      <w:r>
        <w:rPr>
          <w:rFonts w:hint="eastAsia" w:ascii="楷体_GB2312" w:hAnsi="楷体_GB2312" w:eastAsia="楷体_GB2312" w:cs="楷体_GB2312"/>
          <w:b/>
          <w:i/>
          <w:iCs/>
          <w:color w:val="FF0000"/>
          <w:sz w:val="40"/>
          <w:szCs w:val="40"/>
          <w:u w:val="single"/>
        </w:rPr>
        <w:t>项目标识</w:t>
      </w:r>
      <w:r>
        <w:rPr>
          <w:rFonts w:hint="eastAsia" w:ascii="楷体_GB2312" w:hAnsi="楷体_GB2312" w:eastAsia="楷体_GB2312" w:cs="楷体_GB2312"/>
          <w:b/>
          <w:color w:val="000000"/>
          <w:sz w:val="40"/>
          <w:szCs w:val="40"/>
        </w:rPr>
        <w:t>】第【</w:t>
      </w:r>
      <w:r>
        <w:rPr>
          <w:rFonts w:hint="eastAsia" w:ascii="楷体_GB2312" w:hAnsi="楷体_GB2312" w:eastAsia="楷体_GB2312" w:cs="楷体_GB2312"/>
          <w:b/>
          <w:color w:val="000000"/>
          <w:sz w:val="40"/>
          <w:szCs w:val="40"/>
          <w:u w:val="single"/>
        </w:rPr>
        <w:t xml:space="preserve">  </w:t>
      </w:r>
      <w:r>
        <w:rPr>
          <w:rFonts w:hint="eastAsia" w:ascii="楷体_GB2312" w:hAnsi="楷体_GB2312" w:eastAsia="楷体_GB2312" w:cs="楷体_GB2312"/>
          <w:b/>
          <w:color w:val="000000"/>
          <w:sz w:val="40"/>
          <w:szCs w:val="40"/>
        </w:rPr>
        <w:t>】期资产支持商业票据</w:t>
      </w:r>
      <w:bookmarkEnd w:id="3108"/>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jc w:val="center"/>
        <w:textAlignment w:val="auto"/>
        <w:rPr>
          <w:rFonts w:hint="eastAsia" w:ascii="楷体_GB2312" w:hAnsi="楷体_GB2312" w:eastAsia="楷体_GB2312" w:cs="楷体_GB2312"/>
          <w:sz w:val="40"/>
          <w:szCs w:val="40"/>
        </w:rPr>
      </w:pPr>
      <w:bookmarkStart w:id="3109" w:name="_Toc16648"/>
      <w:r>
        <w:rPr>
          <w:rFonts w:hint="eastAsia" w:ascii="楷体_GB2312" w:hAnsi="楷体_GB2312" w:eastAsia="楷体_GB2312" w:cs="楷体_GB2312"/>
          <w:b/>
          <w:color w:val="000000"/>
          <w:sz w:val="40"/>
          <w:szCs w:val="40"/>
        </w:rPr>
        <w:t>定向募集说明书</w:t>
      </w:r>
      <w:r>
        <w:rPr>
          <w:rStyle w:val="48"/>
          <w:rFonts w:hint="eastAsia" w:ascii="楷体_GB2312" w:hAnsi="楷体_GB2312" w:eastAsia="楷体_GB2312" w:cs="楷体_GB2312"/>
          <w:b/>
          <w:color w:val="000000"/>
          <w:sz w:val="40"/>
          <w:szCs w:val="40"/>
        </w:rPr>
        <w:footnoteReference w:id="30"/>
      </w:r>
      <w:bookmarkEnd w:id="3109"/>
    </w:p>
    <w:tbl>
      <w:tblPr>
        <w:tblStyle w:val="41"/>
        <w:tblW w:w="8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94"/>
        <w:gridCol w:w="5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发起机构</w:t>
            </w:r>
          </w:p>
        </w:tc>
        <w:tc>
          <w:tcPr>
            <w:tcW w:w="5638" w:type="dxa"/>
            <w:noWrap w:val="0"/>
            <w:vAlign w:val="center"/>
          </w:tcPr>
          <w:p>
            <w:pPr>
              <w:widowControl/>
              <w:spacing w:after="0" w:line="240" w:lineRule="auto"/>
              <w:jc w:val="center"/>
              <w:rPr>
                <w:rFonts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发行载体管理机构</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牵头主承销商</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联席主承销商（如有）</w:t>
            </w:r>
            <w:r>
              <w:rPr>
                <w:rStyle w:val="48"/>
                <w:rFonts w:hint="eastAsia" w:ascii="楷体_GB2312" w:hAnsi="楷体_GB2312" w:eastAsia="楷体_GB2312" w:cs="楷体_GB2312"/>
                <w:b/>
                <w:bCs/>
                <w:color w:val="000000"/>
                <w:kern w:val="0"/>
                <w:sz w:val="24"/>
                <w:szCs w:val="24"/>
              </w:rPr>
              <w:footnoteReference w:id="31"/>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簿记管理人</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注册金额</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人民币【  】亿元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本期发行金额</w:t>
            </w:r>
            <w:r>
              <w:rPr>
                <w:rStyle w:val="48"/>
                <w:rFonts w:hint="eastAsia" w:ascii="楷体_GB2312" w:hAnsi="楷体_GB2312" w:eastAsia="楷体_GB2312" w:cs="楷体_GB2312"/>
                <w:b/>
                <w:bCs/>
                <w:color w:val="000000"/>
                <w:kern w:val="0"/>
                <w:sz w:val="24"/>
                <w:szCs w:val="24"/>
              </w:rPr>
              <w:footnoteReference w:id="32"/>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人民币【  】亿元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基础资产类型</w:t>
            </w:r>
          </w:p>
        </w:tc>
        <w:tc>
          <w:tcPr>
            <w:tcW w:w="5638" w:type="dxa"/>
            <w:noWrap w:val="0"/>
            <w:vAlign w:val="center"/>
          </w:tcPr>
          <w:p>
            <w:pPr>
              <w:widowControl/>
              <w:spacing w:after="0" w:line="240" w:lineRule="auto"/>
              <w:jc w:val="center"/>
              <w:rPr>
                <w:rFonts w:ascii="楷体_GB2312" w:hAnsi="楷体_GB2312" w:eastAsia="楷体_GB2312" w:cs="楷体_GB2312"/>
                <w:color w:val="000000"/>
                <w:kern w:val="0"/>
                <w:sz w:val="24"/>
                <w:szCs w:val="24"/>
                <w:u w:val="dash"/>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应收账款债权/租赁债权/（其他）</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资产池类型</w:t>
            </w:r>
          </w:p>
        </w:tc>
        <w:tc>
          <w:tcPr>
            <w:tcW w:w="5638" w:type="dxa"/>
            <w:noWrap w:val="0"/>
            <w:vAlign w:val="center"/>
          </w:tcPr>
          <w:p>
            <w:pPr>
              <w:widowControl/>
              <w:spacing w:after="0" w:line="240" w:lineRule="auto"/>
              <w:jc w:val="center"/>
              <w:rPr>
                <w:rFonts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静态池/动态池</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信用增级机构</w:t>
            </w:r>
            <w:r>
              <w:rPr>
                <w:rStyle w:val="48"/>
                <w:rFonts w:hint="eastAsia" w:ascii="楷体_GB2312" w:hAnsi="楷体_GB2312" w:eastAsia="楷体_GB2312" w:cs="楷体_GB2312"/>
                <w:b/>
                <w:bCs/>
                <w:color w:val="000000"/>
                <w:kern w:val="0"/>
                <w:sz w:val="24"/>
                <w:szCs w:val="24"/>
              </w:rPr>
              <w:footnoteReference w:id="33"/>
            </w:r>
            <w:r>
              <w:rPr>
                <w:rFonts w:hint="eastAsia" w:ascii="楷体_GB2312" w:hAnsi="楷体_GB2312" w:eastAsia="楷体_GB2312" w:cs="楷体_GB2312"/>
                <w:b/>
                <w:bCs/>
                <w:color w:val="000000"/>
                <w:kern w:val="0"/>
                <w:sz w:val="24"/>
                <w:szCs w:val="24"/>
              </w:rPr>
              <w:t>（如有）</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定向投资人范围</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专项机构投资人和经遴选的特定机构投资人（如有）</w:t>
            </w:r>
          </w:p>
        </w:tc>
      </w:tr>
    </w:tbl>
    <w:p>
      <w:pPr>
        <w:spacing w:line="240" w:lineRule="auto"/>
        <w:rPr>
          <w:rFonts w:hint="eastAsia" w:ascii="楷体_GB2312" w:hAnsi="楷体_GB2312" w:eastAsia="楷体_GB2312" w:cs="楷体_GB2312"/>
        </w:rPr>
      </w:pPr>
    </w:p>
    <w:tbl>
      <w:tblPr>
        <w:tblStyle w:val="41"/>
        <w:tblW w:w="111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1"/>
        <w:gridCol w:w="1304"/>
        <w:gridCol w:w="1020"/>
        <w:gridCol w:w="1020"/>
        <w:gridCol w:w="737"/>
        <w:gridCol w:w="2438"/>
        <w:gridCol w:w="1701"/>
        <w:gridCol w:w="1020"/>
        <w:gridCol w:w="7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各档名称</w:t>
            </w:r>
            <w:r>
              <w:rPr>
                <w:rStyle w:val="48"/>
                <w:rFonts w:hint="eastAsia" w:ascii="楷体_GB2312" w:hAnsi="楷体_GB2312" w:eastAsia="楷体_GB2312" w:cs="楷体_GB2312"/>
                <w:b/>
                <w:color w:val="000000"/>
                <w:kern w:val="0"/>
                <w:szCs w:val="21"/>
              </w:rPr>
              <w:footnoteReference w:id="34"/>
            </w:r>
          </w:p>
        </w:tc>
        <w:tc>
          <w:tcPr>
            <w:tcW w:w="1304"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是否本期</w:t>
            </w:r>
          </w:p>
          <w:p>
            <w:pPr>
              <w:widowControl/>
              <w:spacing w:after="0" w:line="240" w:lineRule="auto"/>
              <w:jc w:val="center"/>
              <w:rPr>
                <w:szCs w:val="21"/>
              </w:rPr>
            </w:pPr>
            <w:r>
              <w:rPr>
                <w:rFonts w:hint="eastAsia" w:ascii="楷体_GB2312" w:hAnsi="楷体_GB2312" w:eastAsia="楷体_GB2312" w:cs="楷体_GB2312"/>
                <w:b/>
                <w:color w:val="000000"/>
                <w:kern w:val="0"/>
                <w:szCs w:val="21"/>
              </w:rPr>
              <w:t>发行</w:t>
            </w:r>
          </w:p>
        </w:tc>
        <w:tc>
          <w:tcPr>
            <w:tcW w:w="1020"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金额</w:t>
            </w:r>
          </w:p>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（亿元）</w:t>
            </w:r>
          </w:p>
        </w:tc>
        <w:tc>
          <w:tcPr>
            <w:tcW w:w="1020"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占比</w:t>
            </w:r>
          </w:p>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w:t>
            </w:r>
          </w:p>
        </w:tc>
        <w:tc>
          <w:tcPr>
            <w:tcW w:w="737" w:type="dxa"/>
            <w:noWrap w:val="0"/>
            <w:vAlign w:val="center"/>
          </w:tcPr>
          <w:p>
            <w:pPr>
              <w:widowControl/>
              <w:spacing w:after="0" w:line="240" w:lineRule="auto"/>
              <w:jc w:val="center"/>
              <w:rPr>
                <w:rFonts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期限</w:t>
            </w:r>
          </w:p>
        </w:tc>
        <w:tc>
          <w:tcPr>
            <w:tcW w:w="2438"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w:t>
            </w:r>
            <w:r>
              <w:rPr>
                <w:rFonts w:hint="eastAsia" w:ascii="楷体_GB2312" w:hAnsi="楷体_GB2312" w:eastAsia="楷体_GB2312" w:cs="楷体_GB2312"/>
                <w:b/>
                <w:color w:val="000000"/>
                <w:kern w:val="0"/>
                <w:szCs w:val="21"/>
                <w:u w:val="single"/>
              </w:rPr>
              <w:t>预期到期日/到期日</w:t>
            </w:r>
            <w:r>
              <w:rPr>
                <w:rFonts w:hint="eastAsia" w:ascii="楷体_GB2312" w:hAnsi="楷体_GB2312" w:eastAsia="楷体_GB2312" w:cs="楷体_GB2312"/>
                <w:b/>
                <w:color w:val="000000"/>
                <w:kern w:val="0"/>
                <w:szCs w:val="21"/>
              </w:rPr>
              <w:t>】</w:t>
            </w:r>
            <w:r>
              <w:rPr>
                <w:rStyle w:val="48"/>
                <w:rFonts w:hint="eastAsia" w:ascii="楷体_GB2312" w:hAnsi="楷体_GB2312" w:eastAsia="楷体_GB2312" w:cs="楷体_GB2312"/>
                <w:b/>
                <w:color w:val="000000"/>
                <w:kern w:val="0"/>
                <w:szCs w:val="21"/>
              </w:rPr>
              <w:footnoteReference w:id="35"/>
            </w:r>
          </w:p>
        </w:tc>
        <w:tc>
          <w:tcPr>
            <w:tcW w:w="1701"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还本付息方式</w:t>
            </w:r>
          </w:p>
        </w:tc>
        <w:tc>
          <w:tcPr>
            <w:tcW w:w="1020"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评级</w:t>
            </w:r>
          </w:p>
          <w:p>
            <w:pPr>
              <w:widowControl/>
              <w:spacing w:after="0" w:line="240" w:lineRule="auto"/>
              <w:jc w:val="center"/>
              <w:rPr>
                <w:rFonts w:hint="eastAsia" w:eastAsia="楷体_GB2312"/>
                <w:szCs w:val="21"/>
              </w:rPr>
            </w:pPr>
            <w:r>
              <w:rPr>
                <w:rFonts w:hint="eastAsia" w:ascii="楷体_GB2312" w:hAnsi="楷体_GB2312" w:eastAsia="楷体_GB2312" w:cs="楷体_GB2312"/>
                <w:b/>
                <w:color w:val="000000"/>
                <w:kern w:val="0"/>
                <w:szCs w:val="21"/>
              </w:rPr>
              <w:t>（如有）</w:t>
            </w:r>
          </w:p>
        </w:tc>
        <w:tc>
          <w:tcPr>
            <w:tcW w:w="737" w:type="dxa"/>
            <w:noWrap w:val="0"/>
            <w:vAlign w:val="center"/>
          </w:tcPr>
          <w:p>
            <w:pPr>
              <w:widowControl/>
              <w:spacing w:after="0" w:line="240" w:lineRule="auto"/>
              <w:jc w:val="center"/>
              <w:rPr>
                <w:rFonts w:hint="eastAsia" w:ascii="楷体_GB2312" w:hAnsi="楷体_GB2312" w:eastAsia="楷体_GB2312" w:cs="楷体_GB2312"/>
                <w:b/>
                <w:color w:val="000000"/>
                <w:kern w:val="0"/>
                <w:szCs w:val="21"/>
              </w:rPr>
            </w:pPr>
            <w:r>
              <w:rPr>
                <w:rFonts w:hint="eastAsia" w:ascii="楷体_GB2312" w:hAnsi="楷体_GB2312" w:eastAsia="楷体_GB2312" w:cs="楷体_GB2312"/>
                <w:b/>
                <w:color w:val="000000"/>
                <w:kern w:val="0"/>
                <w:szCs w:val="21"/>
              </w:rPr>
              <w:t>利率类型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优先级</w:t>
            </w:r>
          </w:p>
        </w:tc>
        <w:tc>
          <w:tcPr>
            <w:tcW w:w="1304"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本期发行/存续</w:t>
            </w: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43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c>
          <w:tcPr>
            <w:tcW w:w="170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737"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固定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次级</w:t>
            </w:r>
          </w:p>
        </w:tc>
        <w:tc>
          <w:tcPr>
            <w:tcW w:w="1304"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本期发行/存续</w:t>
            </w: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43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c>
          <w:tcPr>
            <w:tcW w:w="170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b/>
                <w:bCs/>
                <w:color w:val="000000"/>
                <w:kern w:val="0"/>
                <w:szCs w:val="21"/>
              </w:rPr>
              <w:t>合计</w:t>
            </w:r>
          </w:p>
        </w:tc>
        <w:tc>
          <w:tcPr>
            <w:tcW w:w="1304"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1020"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100%</w:t>
            </w:r>
          </w:p>
        </w:tc>
        <w:tc>
          <w:tcPr>
            <w:tcW w:w="737" w:type="dxa"/>
            <w:noWrap w:val="0"/>
            <w:vAlign w:val="center"/>
          </w:tcPr>
          <w:p>
            <w:pPr>
              <w:widowControl/>
              <w:spacing w:after="0" w:line="240" w:lineRule="auto"/>
              <w:jc w:val="center"/>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243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1701"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r>
    </w:tbl>
    <w:p>
      <w:pPr>
        <w:spacing w:line="240" w:lineRule="auto"/>
        <w:jc w:val="center"/>
        <w:rPr>
          <w:rFonts w:hint="eastAsia" w:ascii="楷体_GB2312" w:hAnsi="楷体_GB2312" w:eastAsia="楷体_GB2312" w:cs="楷体_GB2312"/>
          <w:kern w:val="0"/>
          <w:sz w:val="28"/>
          <w:szCs w:val="28"/>
        </w:rPr>
      </w:pPr>
      <w:bookmarkStart w:id="3110" w:name="_Toc22718"/>
    </w:p>
    <w:p>
      <w:pPr>
        <w:spacing w:line="240" w:lineRule="auto"/>
        <w:jc w:val="center"/>
        <w:rPr>
          <w:rFonts w:hint="eastAsia"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二〇二【</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kern w:val="0"/>
          <w:sz w:val="28"/>
          <w:szCs w:val="28"/>
        </w:rPr>
        <w:t>】年【</w:t>
      </w:r>
      <w:r>
        <w:rPr>
          <w:rFonts w:hint="eastAsia" w:ascii="楷体_GB2312" w:hAnsi="楷体_GB2312" w:eastAsia="楷体_GB2312" w:cs="楷体_GB2312"/>
          <w:color w:val="000000"/>
          <w:kern w:val="0"/>
          <w:sz w:val="28"/>
          <w:szCs w:val="28"/>
          <w:u w:val="single"/>
        </w:rPr>
        <w:t xml:space="preserve">  </w:t>
      </w:r>
      <w:r>
        <w:rPr>
          <w:rFonts w:hint="eastAsia" w:ascii="楷体_GB2312" w:hAnsi="楷体_GB2312" w:eastAsia="楷体_GB2312" w:cs="楷体_GB2312"/>
          <w:kern w:val="0"/>
          <w:sz w:val="28"/>
          <w:szCs w:val="28"/>
        </w:rPr>
        <w:t>】月</w:t>
      </w:r>
      <w:bookmarkEnd w:id="3110"/>
    </w:p>
    <w:p>
      <w:pPr>
        <w:pStyle w:val="2"/>
        <w:ind w:firstLine="400"/>
        <w:rPr>
          <w:rFonts w:hint="eastAsia"/>
        </w:rPr>
        <w:sectPr>
          <w:footerReference r:id="rId13" w:type="default"/>
          <w:footnotePr>
            <w:numRestart w:val="eachPage"/>
          </w:footnotePr>
          <w:pgSz w:w="11906" w:h="16839"/>
          <w:pgMar w:top="720" w:right="1803" w:bottom="720" w:left="1803" w:header="0" w:footer="0" w:gutter="0"/>
          <w:pgBorders>
            <w:top w:val="none" w:sz="0" w:space="0"/>
            <w:left w:val="none" w:sz="0" w:space="0"/>
            <w:bottom w:val="none" w:sz="0" w:space="0"/>
            <w:right w:val="none" w:sz="0" w:space="0"/>
          </w:pgBorders>
          <w:pgNumType w:start="1"/>
          <w:cols w:space="720" w:num="1"/>
          <w:docGrid w:type="lines" w:linePitch="312" w:charSpace="0"/>
        </w:sectPr>
      </w:pPr>
    </w:p>
    <w:p>
      <w:pPr>
        <w:pStyle w:val="2"/>
        <w:ind w:firstLine="400"/>
        <w:rPr>
          <w:rFonts w:hint="eastAsia"/>
        </w:rPr>
      </w:pP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3111" w:name="_Toc19698"/>
      <w:bookmarkStart w:id="3112" w:name="_Toc22427"/>
      <w:bookmarkStart w:id="3113" w:name="_Toc9279"/>
      <w:bookmarkStart w:id="3114" w:name="_Toc25746"/>
      <w:bookmarkStart w:id="3115" w:name="_Toc13186"/>
      <w:bookmarkStart w:id="3116" w:name="_Toc11148"/>
      <w:r>
        <w:rPr>
          <w:rFonts w:hint="eastAsia" w:ascii="楷体_GB2312" w:hAnsi="楷体_GB2312" w:eastAsia="楷体_GB2312" w:cs="楷体_GB2312"/>
          <w:b/>
          <w:bCs/>
          <w:kern w:val="0"/>
          <w:sz w:val="30"/>
          <w:szCs w:val="30"/>
        </w:rPr>
        <w:t>声明与承诺</w:t>
      </w:r>
      <w:bookmarkEnd w:id="3111"/>
      <w:bookmarkEnd w:id="3112"/>
      <w:bookmarkEnd w:id="3113"/>
      <w:bookmarkEnd w:id="3114"/>
      <w:bookmarkEnd w:id="3115"/>
      <w:bookmarkEnd w:id="3116"/>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各方均了解本期资产支持商业票据已在交易商协会注册，注册不代表交易商协会对本期资产支持商业票据的投资价值作出任何评价，也不代表对本期资产支持商业票据的投资风险作出任何判断。</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发起机构及时、公平地履行信息披露义务，发起机构及全体董事、监事、高级管理人员或履行同等职责的人员保证定向募集说明书信息披露的真实、准确、完整，不存在虚假记载、误导性陈述或重大遗漏。董事、监事、高级管理人员或履行同等职责的人员不能保证所披露的信息真实、准确、完整的，作出相应声明并说明理由。</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发起机构等信息披露义务人未按照规定履行信息披露义务或所披露信息存在虚假记载、误导性陈述或重大遗漏，给定向资产支持商业票据投资人造成损失的，依法承担赔偿责任。发起机构的控股股东、实际控制人、董事、监事、高级管理人员和其他直接责任人员，依法与发起机构承担连带赔偿责任，但是能够证明自己没有过错的除外。</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0"/>
        <w:textAlignment w:val="auto"/>
        <w:rPr>
          <w:rFonts w:ascii="楷体_GB2312" w:hAnsi="楷体_GB2312" w:eastAsia="楷体_GB2312" w:cs="楷体_GB2312"/>
          <w:sz w:val="24"/>
          <w:szCs w:val="24"/>
        </w:rPr>
      </w:pPr>
      <w:r>
        <w:rPr>
          <w:rFonts w:hint="eastAsia" w:ascii="楷体_GB2312" w:hAnsi="楷体_GB2312" w:eastAsia="楷体_GB2312" w:cs="楷体_GB2312"/>
          <w:sz w:val="24"/>
          <w:szCs w:val="24"/>
        </w:rPr>
        <w:t>发行载体管理机构及时、公平地履行信息披露义务，保证定向募集说明书信息披露的真实、准确、完整，不存在虚假记载、误导性陈述或重大遗漏。未按照规定履行信息披露义务或所披露信息存在虚假记载、误导性陈述或重大遗漏，给定向资产支持商业票据投资人造成损失的，依法承担赔偿责任。</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发起机构、发行载体管理机构或其授权的机构已就定向募集说明书中引用中介机构意见的内容向相关中介机构进行了确认，中介机构确认定向募集说明书所引用的内容与其就本期资产支持商业票据发行出具的相关意见不存在矛盾，对所引用的内容无异议。中介机构未确认或无法保证一致性或对引用内容有异议的，发起机构、发行载体管理机构和相关中介机构应对异议情况进行披露。</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对预测性信息的陈述是基于定向募集说明书签署日的事件或信息，并基于当前的预期、假设、估计和预测，不存在误导投资人的故意。请投资人注意预测性存在固有的风险和不确定性，许多因素可能导致预测和实际结果存在偏差。投资人不应过度依赖前瞻性陈述。</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发起机构、发行载体管理机构根据法律法规的规定、交易商协会相关自律规则的规定和本募集说明书的约定履行义务，接受定向投资人监督，不因定向投资人和定向资产支持商业票据持有人的变化影响上述义务的履行。</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截至本募集说明书签署日，除已披露信息外，无其他影响兑付本期资产支持商业票据的重大事项。</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本募集说明书索引内容，投资人可通过规定的信息披露渠道查阅募集说明书、存续期信息披露等文件</w:t>
      </w:r>
      <w:r>
        <w:rPr>
          <w:rStyle w:val="48"/>
          <w:rFonts w:hint="eastAsia" w:ascii="楷体_GB2312" w:hAnsi="楷体_GB2312" w:eastAsia="楷体_GB2312" w:cs="楷体_GB2312"/>
          <w:kern w:val="0"/>
          <w:sz w:val="24"/>
          <w:szCs w:val="24"/>
        </w:rPr>
        <w:footnoteReference w:id="36"/>
      </w:r>
      <w:r>
        <w:rPr>
          <w:rFonts w:hint="eastAsia" w:ascii="楷体_GB2312" w:hAnsi="楷体_GB2312" w:eastAsia="楷体_GB2312" w:cs="楷体_GB2312"/>
          <w:kern w:val="0"/>
          <w:sz w:val="24"/>
          <w:szCs w:val="24"/>
        </w:rPr>
        <w:t>，相关文件链接已在对应章节进行披露。索引内容也是定向募集说明书的组成部分，发起机构、发行载体管理机构、中介机构及相关人员应当对其承担相应的法律责任。</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b/>
          <w:bCs/>
          <w:color w:val="FF0000"/>
          <w:kern w:val="0"/>
          <w:sz w:val="24"/>
          <w:szCs w:val="24"/>
        </w:rPr>
        <w:t>【涉密企业应声明】</w:t>
      </w:r>
      <w:r>
        <w:rPr>
          <w:rFonts w:hint="eastAsia" w:ascii="楷体_GB2312" w:hAnsi="楷体_GB2312" w:eastAsia="楷体_GB2312" w:cs="楷体_GB2312"/>
          <w:kern w:val="0"/>
          <w:sz w:val="24"/>
          <w:szCs w:val="24"/>
        </w:rPr>
        <w:t>发起机构声明：“本公司承诺，本公司发行定向资产支持商业票据所披露的全部信息不涉及国家秘密，因披露信息产生的一切后果由本公司自行承担。”</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定向投资人购买本期资产支持商业票据，应当认真阅读本募集说明书及有关的信息披露文件，对信息披露的真实性、准确性、完整性和及时性进行独立分析，并据以独立判断投资价值，自行承担与其有关的任何投资风险。资产支持商业票据仅代表信托权益的相应份额，不属于发行载体管理机构的负债。认购或受让资产支持商业票据的投资人，视为作为受益人接受本资产支持商业票据项下《信托合同》的全部约定。发起机构、发行载体管理机构、保管银行及其他业务参与人因依法解散、被依法撤销或者宣告破产等原因进行清算的，信托资产不属于其清算资产。</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凡通过认购、受让等合法手段自愿取得并持有本期资产支持商业票据的定向投资人，均视同自愿接受本募集说明书对各项权利义务的约定，了解本期资产支持商业票据风险特征和投资流程，具有承担该资产支持商业票据投资风险的意愿和能力，同意发起机构、发行载体管理机构及主承销商按照相关规则增加定向投资人，认可发起机构信息披露标准和频率，了解、愿意并有能力承担本期资产支持商业票据投资风险，自愿接受交易商协会自律管理。</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上述声明、保证和承诺是本定向募集说明书的组成部分，对声明各方具有不可撤销的法律约束力。</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0"/>
        <w:textAlignment w:val="auto"/>
        <w:rPr>
          <w:rFonts w:hint="eastAsia"/>
          <w:sz w:val="24"/>
          <w:szCs w:val="24"/>
        </w:rPr>
      </w:pPr>
      <w:r>
        <w:rPr>
          <w:rFonts w:hint="eastAsia"/>
          <w:sz w:val="24"/>
          <w:szCs w:val="24"/>
        </w:rPr>
        <w:br w:type="page"/>
      </w:r>
    </w:p>
    <w:p>
      <w:pPr>
        <w:keepNext w:val="0"/>
        <w:keepLines w:val="0"/>
        <w:pageBreakBefore w:val="0"/>
        <w:kinsoku/>
        <w:wordWrap/>
        <w:overflowPunct/>
        <w:topLinePunct w:val="0"/>
        <w:autoSpaceDE/>
        <w:autoSpaceDN/>
        <w:bidi w:val="0"/>
        <w:adjustRightInd/>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3117" w:name="_Toc27478"/>
      <w:bookmarkStart w:id="3118" w:name="_Toc27535"/>
      <w:bookmarkStart w:id="3119" w:name="_Toc10362"/>
      <w:bookmarkStart w:id="3120" w:name="_Toc23029"/>
      <w:bookmarkStart w:id="3121" w:name="_Toc17685"/>
      <w:bookmarkStart w:id="3122" w:name="_Toc8041"/>
      <w:r>
        <w:rPr>
          <w:rFonts w:hint="eastAsia" w:ascii="楷体_GB2312" w:hAnsi="楷体_GB2312" w:eastAsia="楷体_GB2312" w:cs="楷体_GB2312"/>
          <w:b/>
          <w:bCs/>
          <w:kern w:val="0"/>
          <w:sz w:val="30"/>
          <w:szCs w:val="30"/>
        </w:rPr>
        <w:t>目录</w:t>
      </w:r>
      <w:bookmarkEnd w:id="3117"/>
      <w:bookmarkEnd w:id="3118"/>
      <w:bookmarkEnd w:id="3119"/>
      <w:bookmarkEnd w:id="3120"/>
      <w:bookmarkEnd w:id="3121"/>
      <w:bookmarkEnd w:id="3122"/>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TOC \o "1-3" \h \u </w:instrText>
      </w:r>
      <w:r>
        <w:rPr>
          <w:rFonts w:hint="eastAsia" w:ascii="楷体_GB2312" w:hAnsi="楷体_GB2312" w:eastAsia="楷体_GB2312" w:cs="楷体_GB2312"/>
        </w:rPr>
        <w:fldChar w:fldCharType="separate"/>
      </w: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_Toc14052 </w:instrText>
      </w:r>
      <w:r>
        <w:rPr>
          <w:rFonts w:hint="eastAsia" w:ascii="楷体_GB2312" w:hAnsi="楷体_GB2312" w:eastAsia="楷体_GB2312" w:cs="楷体_GB2312"/>
          <w:b/>
          <w:bCs/>
        </w:rPr>
        <w:fldChar w:fldCharType="separate"/>
      </w:r>
      <w:r>
        <w:rPr>
          <w:rFonts w:hint="eastAsia" w:ascii="楷体_GB2312" w:hAnsi="楷体_GB2312" w:eastAsia="楷体_GB2312" w:cs="楷体_GB2312"/>
          <w:b/>
          <w:bCs/>
          <w:szCs w:val="30"/>
        </w:rPr>
        <w:t>重要提示</w:t>
      </w:r>
      <w:r>
        <w:rPr>
          <w:b/>
          <w:bCs/>
        </w:rPr>
        <w:tab/>
      </w:r>
      <w:r>
        <w:rPr>
          <w:b/>
          <w:bCs/>
        </w:rPr>
        <w:fldChar w:fldCharType="begin"/>
      </w:r>
      <w:r>
        <w:rPr>
          <w:b/>
          <w:bCs/>
        </w:rPr>
        <w:instrText xml:space="preserve"> PAGEREF _Toc14052 \h </w:instrText>
      </w:r>
      <w:r>
        <w:rPr>
          <w:b/>
          <w:bCs/>
        </w:rPr>
        <w:fldChar w:fldCharType="separate"/>
      </w:r>
      <w:r>
        <w:rPr>
          <w:b/>
          <w:bCs/>
        </w:rPr>
        <w:t>1</w:t>
      </w:r>
      <w:r>
        <w:rPr>
          <w:b/>
          <w:bCs/>
        </w:rPr>
        <w:fldChar w:fldCharType="end"/>
      </w:r>
      <w:r>
        <w:rPr>
          <w:rFonts w:hint="eastAsia" w:ascii="楷体_GB2312" w:hAnsi="楷体_GB2312" w:eastAsia="楷体_GB2312" w:cs="楷体_GB2312"/>
          <w:b/>
          <w:bCs/>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_Toc20076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第一章 </w:t>
      </w:r>
      <w:r>
        <w:rPr>
          <w:rFonts w:hint="eastAsia" w:ascii="楷体_GB2312" w:hAnsi="楷体_GB2312" w:eastAsia="楷体_GB2312" w:cs="楷体_GB2312"/>
          <w:b/>
          <w:bCs/>
          <w:szCs w:val="30"/>
        </w:rPr>
        <w:t>释义</w:t>
      </w:r>
      <w:r>
        <w:rPr>
          <w:b/>
          <w:bCs/>
        </w:rPr>
        <w:tab/>
      </w:r>
      <w:r>
        <w:rPr>
          <w:b/>
          <w:bCs/>
        </w:rPr>
        <w:fldChar w:fldCharType="begin"/>
      </w:r>
      <w:r>
        <w:rPr>
          <w:b/>
          <w:bCs/>
        </w:rPr>
        <w:instrText xml:space="preserve"> PAGEREF _Toc20076 \h </w:instrText>
      </w:r>
      <w:r>
        <w:rPr>
          <w:b/>
          <w:bCs/>
        </w:rPr>
        <w:fldChar w:fldCharType="separate"/>
      </w:r>
      <w:r>
        <w:rPr>
          <w:b/>
          <w:bCs/>
        </w:rPr>
        <w:t>4</w:t>
      </w:r>
      <w:r>
        <w:rPr>
          <w:b/>
          <w:bCs/>
        </w:rPr>
        <w:fldChar w:fldCharType="end"/>
      </w:r>
      <w:r>
        <w:rPr>
          <w:rFonts w:hint="eastAsia" w:ascii="楷体_GB2312" w:hAnsi="楷体_GB2312" w:eastAsia="楷体_GB2312" w:cs="楷体_GB2312"/>
          <w:b/>
          <w:bCs/>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_Toc2157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第二章 </w:t>
      </w:r>
      <w:r>
        <w:rPr>
          <w:rFonts w:hint="eastAsia" w:ascii="楷体_GB2312" w:hAnsi="楷体_GB2312" w:eastAsia="楷体_GB2312" w:cs="楷体_GB2312"/>
          <w:b/>
          <w:bCs/>
          <w:szCs w:val="30"/>
        </w:rPr>
        <w:t>定向资产支持商业票据的基本情况</w:t>
      </w:r>
      <w:r>
        <w:rPr>
          <w:b/>
          <w:bCs/>
        </w:rPr>
        <w:tab/>
      </w:r>
      <w:r>
        <w:rPr>
          <w:b/>
          <w:bCs/>
        </w:rPr>
        <w:fldChar w:fldCharType="begin"/>
      </w:r>
      <w:r>
        <w:rPr>
          <w:b/>
          <w:bCs/>
        </w:rPr>
        <w:instrText xml:space="preserve"> PAGEREF _Toc2157 \h </w:instrText>
      </w:r>
      <w:r>
        <w:rPr>
          <w:b/>
          <w:bCs/>
        </w:rPr>
        <w:fldChar w:fldCharType="separate"/>
      </w:r>
      <w:r>
        <w:rPr>
          <w:b/>
          <w:bCs/>
        </w:rPr>
        <w:t>5</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_Toc19212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一、主要发行条款</w:t>
      </w:r>
      <w:r>
        <w:tab/>
      </w:r>
      <w:r>
        <w:rPr>
          <w:rFonts w:hint="eastAsia"/>
          <w:lang w:val="en-US" w:eastAsia="zh-CN"/>
        </w:rPr>
        <w:t>6</w:t>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_Toc6647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二、定向资产支持商业票据分层情况</w:t>
      </w:r>
      <w:r>
        <w:tab/>
      </w:r>
      <w:r>
        <w:fldChar w:fldCharType="begin"/>
      </w:r>
      <w:r>
        <w:instrText xml:space="preserve"> PAGEREF _Toc6647 \h </w:instrText>
      </w:r>
      <w:r>
        <w:fldChar w:fldCharType="separate"/>
      </w:r>
      <w:r>
        <w:t>6</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_Toc28364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三、发行安排</w:t>
      </w:r>
      <w:r>
        <w:tab/>
      </w:r>
      <w:r>
        <w:fldChar w:fldCharType="begin"/>
      </w:r>
      <w:r>
        <w:instrText xml:space="preserve"> PAGEREF _Toc28364 \h </w:instrText>
      </w:r>
      <w:r>
        <w:fldChar w:fldCharType="separate"/>
      </w:r>
      <w:r>
        <w:t>7</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_Toc22972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第三章 </w:t>
      </w:r>
      <w:r>
        <w:rPr>
          <w:rFonts w:hint="eastAsia" w:ascii="楷体_GB2312" w:hAnsi="楷体_GB2312" w:eastAsia="楷体_GB2312" w:cs="楷体_GB2312"/>
          <w:b/>
          <w:bCs/>
          <w:szCs w:val="30"/>
        </w:rPr>
        <w:t>风险提示及说明</w:t>
      </w:r>
      <w:r>
        <w:rPr>
          <w:b/>
          <w:bCs/>
        </w:rPr>
        <w:tab/>
      </w:r>
      <w:r>
        <w:rPr>
          <w:b/>
          <w:bCs/>
        </w:rPr>
        <w:fldChar w:fldCharType="begin"/>
      </w:r>
      <w:r>
        <w:rPr>
          <w:b/>
          <w:bCs/>
        </w:rPr>
        <w:instrText xml:space="preserve"> PAGEREF _Toc22972 \h </w:instrText>
      </w:r>
      <w:r>
        <w:rPr>
          <w:b/>
          <w:bCs/>
        </w:rPr>
        <w:fldChar w:fldCharType="separate"/>
      </w:r>
      <w:r>
        <w:rPr>
          <w:b/>
          <w:bCs/>
        </w:rPr>
        <w:t>9</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_Toc4625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一、投资风险</w:t>
      </w:r>
      <w:r>
        <w:tab/>
      </w:r>
      <w:r>
        <w:fldChar w:fldCharType="begin"/>
      </w:r>
      <w:r>
        <w:instrText xml:space="preserve"> PAGEREF _Toc4625 \h </w:instrText>
      </w:r>
      <w:r>
        <w:fldChar w:fldCharType="separate"/>
      </w:r>
      <w:r>
        <w:t>9</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_Toc7510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二、基础资产相关风险</w:t>
      </w:r>
      <w:r>
        <w:tab/>
      </w:r>
      <w:r>
        <w:fldChar w:fldCharType="begin"/>
      </w:r>
      <w:r>
        <w:instrText xml:space="preserve"> PAGEREF _Toc7510 \h </w:instrText>
      </w:r>
      <w:r>
        <w:fldChar w:fldCharType="separate"/>
      </w:r>
      <w:r>
        <w:t>9</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_Toc16301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三、交易结构相关风险</w:t>
      </w:r>
      <w:r>
        <w:tab/>
      </w:r>
      <w:r>
        <w:fldChar w:fldCharType="begin"/>
      </w:r>
      <w:r>
        <w:instrText xml:space="preserve"> PAGEREF _Toc16301 \h </w:instrText>
      </w:r>
      <w:r>
        <w:fldChar w:fldCharType="separate"/>
      </w:r>
      <w:r>
        <w:t>9</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_Toc10599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四、发起机构相关风险</w:t>
      </w:r>
      <w:r>
        <w:tab/>
      </w:r>
      <w:r>
        <w:rPr>
          <w:rFonts w:hint="eastAsia"/>
          <w:lang w:val="en-US" w:eastAsia="zh-CN"/>
        </w:rPr>
        <w:t>9</w:t>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_Toc25194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五、信用增级机构相关风险（如有）</w:t>
      </w:r>
      <w:r>
        <w:tab/>
      </w:r>
      <w:r>
        <w:fldChar w:fldCharType="begin"/>
      </w:r>
      <w:r>
        <w:instrText xml:space="preserve"> PAGEREF _Toc25194 \h </w:instrText>
      </w:r>
      <w:r>
        <w:fldChar w:fldCharType="separate"/>
      </w:r>
      <w:r>
        <w:t>9</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_Toc23418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六、中介机构相关风险</w:t>
      </w:r>
      <w:r>
        <w:tab/>
      </w:r>
      <w:r>
        <w:fldChar w:fldCharType="begin"/>
      </w:r>
      <w:r>
        <w:instrText xml:space="preserve"> PAGEREF _Toc23418 \h </w:instrText>
      </w:r>
      <w:r>
        <w:fldChar w:fldCharType="separate"/>
      </w:r>
      <w:r>
        <w:t>9</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_Toc12268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七、定向资产支持商业票据相关风险</w:t>
      </w:r>
      <w:r>
        <w:tab/>
      </w:r>
      <w:r>
        <w:fldChar w:fldCharType="begin"/>
      </w:r>
      <w:r>
        <w:instrText xml:space="preserve"> PAGEREF _Toc12268 \h </w:instrText>
      </w:r>
      <w:r>
        <w:fldChar w:fldCharType="separate"/>
      </w:r>
      <w:r>
        <w:t>9</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_Toc12260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八、其他特有风险</w:t>
      </w:r>
      <w:r>
        <w:tab/>
      </w:r>
      <w:r>
        <w:fldChar w:fldCharType="begin"/>
      </w:r>
      <w:r>
        <w:instrText xml:space="preserve"> PAGEREF _Toc12260 \h </w:instrText>
      </w:r>
      <w:r>
        <w:fldChar w:fldCharType="separate"/>
      </w:r>
      <w:r>
        <w:t>9</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_Toc17287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第四章 </w:t>
      </w:r>
      <w:r>
        <w:rPr>
          <w:rFonts w:hint="eastAsia" w:ascii="楷体_GB2312" w:hAnsi="楷体_GB2312" w:eastAsia="楷体_GB2312" w:cs="楷体_GB2312"/>
          <w:b/>
          <w:bCs/>
          <w:szCs w:val="30"/>
        </w:rPr>
        <w:t>定向资产支持商业票据的交易结构</w:t>
      </w:r>
      <w:r>
        <w:rPr>
          <w:b/>
          <w:bCs/>
        </w:rPr>
        <w:tab/>
      </w:r>
      <w:r>
        <w:rPr>
          <w:b/>
          <w:bCs/>
        </w:rPr>
        <w:fldChar w:fldCharType="begin"/>
      </w:r>
      <w:r>
        <w:rPr>
          <w:b/>
          <w:bCs/>
        </w:rPr>
        <w:instrText xml:space="preserve"> PAGEREF _Toc17287 \h </w:instrText>
      </w:r>
      <w:r>
        <w:rPr>
          <w:b/>
          <w:bCs/>
        </w:rPr>
        <w:fldChar w:fldCharType="separate"/>
      </w:r>
      <w:r>
        <w:rPr>
          <w:b/>
          <w:bCs/>
        </w:rPr>
        <w:t>10</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_Toc27563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一、交易结构图</w:t>
      </w:r>
      <w:r>
        <w:tab/>
      </w:r>
      <w:r>
        <w:fldChar w:fldCharType="begin"/>
      </w:r>
      <w:r>
        <w:instrText xml:space="preserve"> PAGEREF _Toc27563 \h </w:instrText>
      </w:r>
      <w:r>
        <w:fldChar w:fldCharType="separate"/>
      </w:r>
      <w:r>
        <w:t>10</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_Toc12552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二、交易结构介绍</w:t>
      </w:r>
      <w:r>
        <w:tab/>
      </w:r>
      <w:r>
        <w:fldChar w:fldCharType="begin"/>
      </w:r>
      <w:r>
        <w:instrText xml:space="preserve"> PAGEREF _Toc12552 \h </w:instrText>
      </w:r>
      <w:r>
        <w:fldChar w:fldCharType="separate"/>
      </w:r>
      <w:r>
        <w:t>10</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_Toc12997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三、各当事方的权利与义务</w:t>
      </w:r>
      <w:r>
        <w:tab/>
      </w:r>
      <w:r>
        <w:fldChar w:fldCharType="begin"/>
      </w:r>
      <w:r>
        <w:instrText xml:space="preserve"> PAGEREF _Toc12997 \h </w:instrText>
      </w:r>
      <w:r>
        <w:fldChar w:fldCharType="separate"/>
      </w:r>
      <w:r>
        <w:t>13</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_Toc22144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第五章 </w:t>
      </w:r>
      <w:r>
        <w:rPr>
          <w:rFonts w:hint="eastAsia" w:ascii="楷体_GB2312" w:hAnsi="楷体_GB2312" w:eastAsia="楷体_GB2312" w:cs="楷体_GB2312"/>
          <w:b/>
          <w:bCs/>
          <w:szCs w:val="30"/>
        </w:rPr>
        <w:t>定向资产支持商业票据的信用增级方式</w:t>
      </w:r>
      <w:r>
        <w:rPr>
          <w:b/>
          <w:bCs/>
        </w:rPr>
        <w:tab/>
      </w:r>
      <w:r>
        <w:rPr>
          <w:b/>
          <w:bCs/>
        </w:rPr>
        <w:fldChar w:fldCharType="begin"/>
      </w:r>
      <w:r>
        <w:rPr>
          <w:b/>
          <w:bCs/>
        </w:rPr>
        <w:instrText xml:space="preserve"> PAGEREF _Toc22144 \h </w:instrText>
      </w:r>
      <w:r>
        <w:rPr>
          <w:b/>
          <w:bCs/>
        </w:rPr>
        <w:fldChar w:fldCharType="separate"/>
      </w:r>
      <w:r>
        <w:rPr>
          <w:b/>
          <w:bCs/>
        </w:rPr>
        <w:t>14</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_Toc21803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一、内部增信安排</w:t>
      </w:r>
      <w:r>
        <w:tab/>
      </w:r>
      <w:r>
        <w:fldChar w:fldCharType="begin"/>
      </w:r>
      <w:r>
        <w:instrText xml:space="preserve"> PAGEREF _Toc21803 \h </w:instrText>
      </w:r>
      <w:r>
        <w:fldChar w:fldCharType="separate"/>
      </w:r>
      <w:r>
        <w:t>14</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_Toc11655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二、外部增信安排</w:t>
      </w:r>
      <w:r>
        <w:tab/>
      </w:r>
      <w:r>
        <w:fldChar w:fldCharType="begin"/>
      </w:r>
      <w:r>
        <w:instrText xml:space="preserve"> PAGEREF _Toc11655 \h </w:instrText>
      </w:r>
      <w:r>
        <w:fldChar w:fldCharType="separate"/>
      </w:r>
      <w:r>
        <w:t>14</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_Toc12685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三、增级方式的触发顺序</w:t>
      </w:r>
      <w:r>
        <w:tab/>
      </w:r>
      <w:r>
        <w:fldChar w:fldCharType="begin"/>
      </w:r>
      <w:r>
        <w:instrText xml:space="preserve"> PAGEREF _Toc12685 \h </w:instrText>
      </w:r>
      <w:r>
        <w:fldChar w:fldCharType="separate"/>
      </w:r>
      <w:r>
        <w:t>15</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_Toc17073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第六章 </w:t>
      </w:r>
      <w:r>
        <w:rPr>
          <w:rFonts w:hint="eastAsia" w:ascii="楷体_GB2312" w:hAnsi="楷体_GB2312" w:eastAsia="楷体_GB2312" w:cs="楷体_GB2312"/>
          <w:b/>
          <w:bCs/>
          <w:szCs w:val="30"/>
        </w:rPr>
        <w:t>发起机构、信用增级机构（如有）、发行载体管理机构及相关中介机构的基本情况</w:t>
      </w:r>
      <w:r>
        <w:rPr>
          <w:b/>
          <w:bCs/>
        </w:rPr>
        <w:tab/>
      </w:r>
      <w:r>
        <w:rPr>
          <w:b/>
          <w:bCs/>
        </w:rPr>
        <w:fldChar w:fldCharType="begin"/>
      </w:r>
      <w:r>
        <w:rPr>
          <w:b/>
          <w:bCs/>
        </w:rPr>
        <w:instrText xml:space="preserve"> PAGEREF _Toc17073 \h </w:instrText>
      </w:r>
      <w:r>
        <w:rPr>
          <w:b/>
          <w:bCs/>
        </w:rPr>
        <w:fldChar w:fldCharType="separate"/>
      </w:r>
      <w:r>
        <w:rPr>
          <w:b/>
          <w:bCs/>
        </w:rPr>
        <w:t>16</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_Toc16021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一、发起机构的基本情况</w:t>
      </w:r>
      <w:r>
        <w:tab/>
      </w:r>
      <w:r>
        <w:fldChar w:fldCharType="begin"/>
      </w:r>
      <w:r>
        <w:instrText xml:space="preserve"> PAGEREF _Toc16021 \h </w:instrText>
      </w:r>
      <w:r>
        <w:fldChar w:fldCharType="separate"/>
      </w:r>
      <w:r>
        <w:t>16</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_Toc21698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二、信用增级机构的基本情况（如有）</w:t>
      </w:r>
      <w:r>
        <w:tab/>
      </w:r>
      <w:r>
        <w:fldChar w:fldCharType="begin"/>
      </w:r>
      <w:r>
        <w:instrText xml:space="preserve"> PAGEREF _Toc21698 \h </w:instrText>
      </w:r>
      <w:r>
        <w:fldChar w:fldCharType="separate"/>
      </w:r>
      <w:r>
        <w:t>17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_Toc2333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三、发行载体管理机构的基本情况</w:t>
      </w:r>
      <w:r>
        <w:tab/>
      </w:r>
      <w:r>
        <w:fldChar w:fldCharType="begin"/>
      </w:r>
      <w:r>
        <w:instrText xml:space="preserve"> PAGEREF _Toc2333 \h </w:instrText>
      </w:r>
      <w:r>
        <w:fldChar w:fldCharType="separate"/>
      </w:r>
      <w:r>
        <w:t>17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_Toc2584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四、资金保管机构的基本情况</w:t>
      </w:r>
      <w:r>
        <w:tab/>
      </w:r>
      <w:r>
        <w:fldChar w:fldCharType="begin"/>
      </w:r>
      <w:r>
        <w:instrText xml:space="preserve"> PAGEREF _Toc2584 \h </w:instrText>
      </w:r>
      <w:r>
        <w:fldChar w:fldCharType="separate"/>
      </w:r>
      <w:r>
        <w:t>17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_Toc25839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五、资产服务机构的基本情况（如有）</w:t>
      </w:r>
      <w:r>
        <w:tab/>
      </w:r>
      <w:r>
        <w:fldChar w:fldCharType="begin"/>
      </w:r>
      <w:r>
        <w:instrText xml:space="preserve"> PAGEREF _Toc25839 \h </w:instrText>
      </w:r>
      <w:r>
        <w:fldChar w:fldCharType="separate"/>
      </w:r>
      <w:r>
        <w:t>17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_Toc21315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六、资金监管机构的基本情况（如有）</w:t>
      </w:r>
      <w:r>
        <w:tab/>
      </w:r>
      <w:r>
        <w:fldChar w:fldCharType="begin"/>
      </w:r>
      <w:r>
        <w:instrText xml:space="preserve"> PAGEREF _Toc21315 \h </w:instrText>
      </w:r>
      <w:r>
        <w:fldChar w:fldCharType="separate"/>
      </w:r>
      <w:r>
        <w:t>17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_Toc816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七、主承销商的基本情况</w:t>
      </w:r>
      <w:r>
        <w:tab/>
      </w:r>
      <w:r>
        <w:fldChar w:fldCharType="begin"/>
      </w:r>
      <w:r>
        <w:instrText xml:space="preserve"> PAGEREF _Toc816 \h </w:instrText>
      </w:r>
      <w:r>
        <w:fldChar w:fldCharType="separate"/>
      </w:r>
      <w:r>
        <w:t>17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_Toc23641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八、律师事务所的基本情况</w:t>
      </w:r>
      <w:r>
        <w:tab/>
      </w:r>
      <w:r>
        <w:fldChar w:fldCharType="begin"/>
      </w:r>
      <w:r>
        <w:instrText xml:space="preserve"> PAGEREF _Toc23641 \h </w:instrText>
      </w:r>
      <w:r>
        <w:fldChar w:fldCharType="separate"/>
      </w:r>
      <w:r>
        <w:t>17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_Toc18687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九、评级机构的基本情况（如有）</w:t>
      </w:r>
      <w:r>
        <w:tab/>
      </w:r>
      <w:r>
        <w:fldChar w:fldCharType="begin"/>
      </w:r>
      <w:r>
        <w:instrText xml:space="preserve"> PAGEREF _Toc18687 \h </w:instrText>
      </w:r>
      <w:r>
        <w:fldChar w:fldCharType="separate"/>
      </w:r>
      <w:r>
        <w:t>17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_Toc16860 </w:instrText>
      </w:r>
      <w:r>
        <w:rPr>
          <w:rFonts w:hint="eastAsia" w:ascii="楷体_GB2312" w:hAnsi="楷体_GB2312" w:eastAsia="楷体_GB2312" w:cs="楷体_GB2312"/>
        </w:rPr>
        <w:fldChar w:fldCharType="separate"/>
      </w:r>
      <w:r>
        <w:rPr>
          <w:rFonts w:hint="eastAsia" w:ascii="楷体_GB2312" w:hAnsi="楷体_GB2312" w:eastAsia="楷体_GB2312" w:cs="楷体_GB2312"/>
          <w:szCs w:val="24"/>
        </w:rPr>
        <w:t>十、与相关机构的关系</w:t>
      </w:r>
      <w:r>
        <w:tab/>
      </w:r>
      <w:r>
        <w:fldChar w:fldCharType="begin"/>
      </w:r>
      <w:r>
        <w:instrText xml:space="preserve"> PAGEREF _Toc16860 \h </w:instrText>
      </w:r>
      <w:r>
        <w:fldChar w:fldCharType="separate"/>
      </w:r>
      <w:r>
        <w:t>17</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_Toc25926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第七章 </w:t>
      </w:r>
      <w:r>
        <w:rPr>
          <w:rFonts w:hint="eastAsia" w:ascii="楷体_GB2312" w:hAnsi="楷体_GB2312" w:eastAsia="楷体_GB2312" w:cs="楷体_GB2312"/>
          <w:b/>
          <w:bCs/>
          <w:szCs w:val="30"/>
        </w:rPr>
        <w:t>基础资产情况及现金流预测分析</w:t>
      </w:r>
      <w:r>
        <w:rPr>
          <w:b/>
          <w:bCs/>
        </w:rPr>
        <w:tab/>
      </w:r>
      <w:r>
        <w:rPr>
          <w:b/>
          <w:bCs/>
        </w:rPr>
        <w:fldChar w:fldCharType="begin"/>
      </w:r>
      <w:r>
        <w:rPr>
          <w:b/>
          <w:bCs/>
        </w:rPr>
        <w:instrText xml:space="preserve"> PAGEREF _Toc25926 \h </w:instrText>
      </w:r>
      <w:r>
        <w:rPr>
          <w:b/>
          <w:bCs/>
        </w:rPr>
        <w:fldChar w:fldCharType="separate"/>
      </w:r>
      <w:r>
        <w:rPr>
          <w:b/>
          <w:bCs/>
        </w:rPr>
        <w:t>18</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_Toc12727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一、基础资产情况</w:t>
      </w:r>
      <w:r>
        <w:tab/>
      </w:r>
      <w:r>
        <w:fldChar w:fldCharType="begin"/>
      </w:r>
      <w:r>
        <w:instrText xml:space="preserve"> PAGEREF _Toc12727 \h </w:instrText>
      </w:r>
      <w:r>
        <w:fldChar w:fldCharType="separate"/>
      </w:r>
      <w:r>
        <w:t>17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_Toc17992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二、基础资产现金流形成机制及历史数据</w:t>
      </w:r>
      <w:r>
        <w:tab/>
      </w:r>
      <w:r>
        <w:fldChar w:fldCharType="begin"/>
      </w:r>
      <w:r>
        <w:instrText xml:space="preserve"> PAGEREF _Toc17992 \h </w:instrText>
      </w:r>
      <w:r>
        <w:fldChar w:fldCharType="separate"/>
      </w:r>
      <w:r>
        <w:t>18</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_Toc280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三、基础资产现金流预测分析、压力测试情况</w:t>
      </w:r>
      <w:r>
        <w:tab/>
      </w:r>
      <w:r>
        <w:fldChar w:fldCharType="begin"/>
      </w:r>
      <w:r>
        <w:instrText xml:space="preserve"> PAGEREF _Toc280 \h </w:instrText>
      </w:r>
      <w:r>
        <w:fldChar w:fldCharType="separate"/>
      </w:r>
      <w:r>
        <w:t>18</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_Toc29836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第八章 </w:t>
      </w:r>
      <w:r>
        <w:rPr>
          <w:rFonts w:hint="eastAsia" w:ascii="楷体_GB2312" w:hAnsi="楷体_GB2312" w:eastAsia="楷体_GB2312" w:cs="楷体_GB2312"/>
          <w:b/>
          <w:bCs/>
          <w:szCs w:val="30"/>
        </w:rPr>
        <w:t>现金流归集与管理机制、投资及分配机制</w:t>
      </w:r>
      <w:r>
        <w:rPr>
          <w:b/>
          <w:bCs/>
        </w:rPr>
        <w:tab/>
      </w:r>
      <w:r>
        <w:rPr>
          <w:b/>
          <w:bCs/>
        </w:rPr>
        <w:fldChar w:fldCharType="begin"/>
      </w:r>
      <w:r>
        <w:rPr>
          <w:b/>
          <w:bCs/>
        </w:rPr>
        <w:instrText xml:space="preserve"> PAGEREF _Toc29836 \h </w:instrText>
      </w:r>
      <w:r>
        <w:rPr>
          <w:b/>
          <w:bCs/>
        </w:rPr>
        <w:fldChar w:fldCharType="separate"/>
      </w:r>
      <w:r>
        <w:rPr>
          <w:b/>
          <w:bCs/>
        </w:rPr>
        <w:t>19</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_Toc17977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一、现金流的归集安排</w:t>
      </w:r>
      <w:r>
        <w:tab/>
      </w:r>
      <w:r>
        <w:fldChar w:fldCharType="begin"/>
      </w:r>
      <w:r>
        <w:instrText xml:space="preserve"> PAGEREF _Toc17977 \h </w:instrText>
      </w:r>
      <w:r>
        <w:fldChar w:fldCharType="separate"/>
      </w:r>
      <w:r>
        <w:t>19</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_Toc17925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二、现金流运用及投资安排</w:t>
      </w:r>
      <w:r>
        <w:tab/>
      </w:r>
      <w:r>
        <w:fldChar w:fldCharType="begin"/>
      </w:r>
      <w:r>
        <w:instrText xml:space="preserve"> PAGEREF _Toc17925 \h </w:instrText>
      </w:r>
      <w:r>
        <w:fldChar w:fldCharType="separate"/>
      </w:r>
      <w:r>
        <w:t>19</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_Toc15702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三、现金流分配机制</w:t>
      </w:r>
      <w:r>
        <w:tab/>
      </w:r>
      <w:r>
        <w:fldChar w:fldCharType="begin"/>
      </w:r>
      <w:r>
        <w:instrText xml:space="preserve"> PAGEREF _Toc15702 \h </w:instrText>
      </w:r>
      <w:r>
        <w:fldChar w:fldCharType="separate"/>
      </w:r>
      <w:r>
        <w:t>19</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_Toc13235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第九章 </w:t>
      </w:r>
      <w:r>
        <w:rPr>
          <w:rFonts w:hint="eastAsia" w:ascii="楷体_GB2312" w:hAnsi="楷体_GB2312" w:eastAsia="楷体_GB2312" w:cs="楷体_GB2312"/>
          <w:b/>
          <w:bCs/>
          <w:szCs w:val="30"/>
        </w:rPr>
        <w:t>风险自留的相关情况</w:t>
      </w:r>
      <w:r>
        <w:rPr>
          <w:b/>
          <w:bCs/>
        </w:rPr>
        <w:tab/>
      </w:r>
      <w:r>
        <w:rPr>
          <w:b/>
          <w:bCs/>
        </w:rPr>
        <w:fldChar w:fldCharType="begin"/>
      </w:r>
      <w:r>
        <w:rPr>
          <w:b/>
          <w:bCs/>
        </w:rPr>
        <w:instrText xml:space="preserve"> PAGEREF _Toc13235 \h </w:instrText>
      </w:r>
      <w:r>
        <w:rPr>
          <w:b/>
          <w:bCs/>
        </w:rPr>
        <w:fldChar w:fldCharType="separate"/>
      </w:r>
      <w:r>
        <w:rPr>
          <w:b/>
          <w:bCs/>
        </w:rPr>
        <w:t>20</w:t>
      </w:r>
      <w:r>
        <w:rPr>
          <w:b/>
          <w:bCs/>
        </w:rPr>
        <w:fldChar w:fldCharType="end"/>
      </w:r>
      <w:r>
        <w:rPr>
          <w:rFonts w:hint="eastAsia" w:ascii="楷体_GB2312" w:hAnsi="楷体_GB2312" w:eastAsia="楷体_GB2312" w:cs="楷体_GB2312"/>
          <w:b/>
          <w:bCs/>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_Toc14941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第十章 </w:t>
      </w:r>
      <w:r>
        <w:rPr>
          <w:rFonts w:hint="eastAsia" w:ascii="楷体_GB2312" w:hAnsi="楷体_GB2312" w:eastAsia="楷体_GB2312" w:cs="楷体_GB2312"/>
          <w:b/>
          <w:bCs/>
          <w:szCs w:val="30"/>
        </w:rPr>
        <w:t>募集资金用途及合法合规性声明</w:t>
      </w:r>
      <w:r>
        <w:rPr>
          <w:b/>
          <w:bCs/>
        </w:rPr>
        <w:tab/>
      </w:r>
      <w:r>
        <w:rPr>
          <w:b/>
          <w:bCs/>
        </w:rPr>
        <w:fldChar w:fldCharType="begin"/>
      </w:r>
      <w:r>
        <w:rPr>
          <w:b/>
          <w:bCs/>
        </w:rPr>
        <w:instrText xml:space="preserve"> PAGEREF _Toc14941 \h </w:instrText>
      </w:r>
      <w:r>
        <w:rPr>
          <w:b/>
          <w:bCs/>
        </w:rPr>
        <w:fldChar w:fldCharType="separate"/>
      </w:r>
      <w:r>
        <w:rPr>
          <w:b/>
          <w:bCs/>
        </w:rPr>
        <w:t>21</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_Toc11533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一、募集资金用途</w:t>
      </w:r>
      <w:r>
        <w:tab/>
      </w:r>
      <w:r>
        <w:fldChar w:fldCharType="begin"/>
      </w:r>
      <w:r>
        <w:instrText xml:space="preserve"> PAGEREF _Toc11533 \h </w:instrText>
      </w:r>
      <w:r>
        <w:fldChar w:fldCharType="separate"/>
      </w:r>
      <w:r>
        <w:t>21</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_Toc13599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二、承诺</w:t>
      </w:r>
      <w:r>
        <w:tab/>
      </w:r>
      <w:r>
        <w:fldChar w:fldCharType="begin"/>
      </w:r>
      <w:r>
        <w:instrText xml:space="preserve"> PAGEREF _Toc13599 \h </w:instrText>
      </w:r>
      <w:r>
        <w:fldChar w:fldCharType="separate"/>
      </w:r>
      <w:r>
        <w:t>21</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_Toc24563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第十一章 </w:t>
      </w:r>
      <w:r>
        <w:rPr>
          <w:rFonts w:hint="eastAsia" w:ascii="楷体_GB2312" w:hAnsi="楷体_GB2312" w:eastAsia="楷体_GB2312" w:cs="楷体_GB2312"/>
          <w:b/>
          <w:bCs/>
          <w:szCs w:val="30"/>
        </w:rPr>
        <w:t>信息披露安排</w:t>
      </w:r>
      <w:r>
        <w:rPr>
          <w:b/>
          <w:bCs/>
        </w:rPr>
        <w:tab/>
      </w:r>
      <w:r>
        <w:rPr>
          <w:b/>
          <w:bCs/>
        </w:rPr>
        <w:fldChar w:fldCharType="begin"/>
      </w:r>
      <w:r>
        <w:rPr>
          <w:b/>
          <w:bCs/>
        </w:rPr>
        <w:instrText xml:space="preserve"> PAGEREF _Toc24563 \h </w:instrText>
      </w:r>
      <w:r>
        <w:rPr>
          <w:b/>
          <w:bCs/>
        </w:rPr>
        <w:fldChar w:fldCharType="separate"/>
      </w:r>
      <w:r>
        <w:rPr>
          <w:b/>
          <w:bCs/>
        </w:rPr>
        <w:t>23</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_Toc11275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一、信息披露机制</w:t>
      </w:r>
      <w:r>
        <w:tab/>
      </w:r>
      <w:r>
        <w:fldChar w:fldCharType="begin"/>
      </w:r>
      <w:r>
        <w:instrText xml:space="preserve"> PAGEREF _Toc11275 \h </w:instrText>
      </w:r>
      <w:r>
        <w:fldChar w:fldCharType="separate"/>
      </w:r>
      <w:r>
        <w:t>23</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_Toc24826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二、信息披露文件</w:t>
      </w:r>
      <w:r>
        <w:tab/>
      </w:r>
      <w:r>
        <w:fldChar w:fldCharType="begin"/>
      </w:r>
      <w:r>
        <w:instrText xml:space="preserve"> PAGEREF _Toc24826 \h </w:instrText>
      </w:r>
      <w:r>
        <w:fldChar w:fldCharType="separate"/>
      </w:r>
      <w:r>
        <w:t>23</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_Toc14775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第十二章 </w:t>
      </w:r>
      <w:r>
        <w:rPr>
          <w:rFonts w:hint="eastAsia" w:ascii="楷体_GB2312" w:hAnsi="楷体_GB2312" w:eastAsia="楷体_GB2312" w:cs="楷体_GB2312"/>
          <w:b/>
          <w:bCs/>
          <w:szCs w:val="30"/>
        </w:rPr>
        <w:t>投资人保护机制</w:t>
      </w:r>
      <w:r>
        <w:rPr>
          <w:b/>
          <w:bCs/>
        </w:rPr>
        <w:tab/>
      </w:r>
      <w:r>
        <w:rPr>
          <w:b/>
          <w:bCs/>
        </w:rPr>
        <w:fldChar w:fldCharType="begin"/>
      </w:r>
      <w:r>
        <w:rPr>
          <w:b/>
          <w:bCs/>
        </w:rPr>
        <w:instrText xml:space="preserve"> PAGEREF _Toc14775 \h </w:instrText>
      </w:r>
      <w:r>
        <w:rPr>
          <w:b/>
          <w:bCs/>
        </w:rPr>
        <w:fldChar w:fldCharType="separate"/>
      </w:r>
      <w:r>
        <w:rPr>
          <w:b/>
          <w:bCs/>
        </w:rPr>
        <w:t>27</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_Toc16208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一、违约事件</w:t>
      </w:r>
      <w:r>
        <w:tab/>
      </w:r>
      <w:r>
        <w:fldChar w:fldCharType="begin"/>
      </w:r>
      <w:r>
        <w:instrText xml:space="preserve"> PAGEREF _Toc16208 \h </w:instrText>
      </w:r>
      <w:r>
        <w:fldChar w:fldCharType="separate"/>
      </w:r>
      <w:r>
        <w:t>27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_Toc23496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二、违约责任</w:t>
      </w:r>
      <w:r>
        <w:tab/>
      </w:r>
      <w:r>
        <w:fldChar w:fldCharType="begin"/>
      </w:r>
      <w:r>
        <w:instrText xml:space="preserve"> PAGEREF _Toc23496 \h </w:instrText>
      </w:r>
      <w:r>
        <w:fldChar w:fldCharType="separate"/>
      </w:r>
      <w:r>
        <w:t>27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_Toc10378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三、投资人保护机制</w:t>
      </w:r>
      <w:r>
        <w:tab/>
      </w:r>
      <w:r>
        <w:fldChar w:fldCharType="begin"/>
      </w:r>
      <w:r>
        <w:instrText xml:space="preserve"> PAGEREF _Toc10378 \h </w:instrText>
      </w:r>
      <w:r>
        <w:fldChar w:fldCharType="separate"/>
      </w:r>
      <w:r>
        <w:t>27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_Toc7666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四、投资人保护条款（如有）</w:t>
      </w:r>
      <w:r>
        <w:tab/>
      </w:r>
      <w:r>
        <w:fldChar w:fldCharType="begin"/>
      </w:r>
      <w:r>
        <w:instrText xml:space="preserve"> PAGEREF _Toc7666 \h </w:instrText>
      </w:r>
      <w:r>
        <w:fldChar w:fldCharType="separate"/>
      </w:r>
      <w:r>
        <w:t>27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_Toc9244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五、定向资产支持商业票据持有人会议机制</w:t>
      </w:r>
      <w:r>
        <w:tab/>
      </w:r>
      <w:r>
        <w:fldChar w:fldCharType="begin"/>
      </w:r>
      <w:r>
        <w:instrText xml:space="preserve"> PAGEREF _Toc9244 \h </w:instrText>
      </w:r>
      <w:r>
        <w:fldChar w:fldCharType="separate"/>
      </w:r>
      <w:r>
        <w:t>27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_Toc12844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六、不可抗力</w:t>
      </w:r>
      <w:r>
        <w:tab/>
      </w:r>
      <w:r>
        <w:fldChar w:fldCharType="begin"/>
      </w:r>
      <w:r>
        <w:instrText xml:space="preserve"> PAGEREF _Toc12844 \h </w:instrText>
      </w:r>
      <w:r>
        <w:fldChar w:fldCharType="separate"/>
      </w:r>
      <w:r>
        <w:t>27</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_Toc27462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七、修改与弃权</w:t>
      </w:r>
      <w:r>
        <w:tab/>
      </w:r>
      <w:r>
        <w:fldChar w:fldCharType="begin"/>
      </w:r>
      <w:r>
        <w:instrText xml:space="preserve"> PAGEREF _Toc27462 \h </w:instrText>
      </w:r>
      <w:r>
        <w:fldChar w:fldCharType="separate"/>
      </w:r>
      <w:r>
        <w:t>27</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_Toc1865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第十三章 </w:t>
      </w:r>
      <w:r>
        <w:rPr>
          <w:rFonts w:hint="eastAsia" w:ascii="楷体_GB2312" w:hAnsi="楷体_GB2312" w:eastAsia="楷体_GB2312" w:cs="楷体_GB2312"/>
          <w:b/>
          <w:bCs/>
          <w:szCs w:val="30"/>
        </w:rPr>
        <w:t>法律适用及争议解决机制</w:t>
      </w:r>
      <w:r>
        <w:rPr>
          <w:b/>
          <w:bCs/>
        </w:rPr>
        <w:tab/>
      </w:r>
      <w:r>
        <w:rPr>
          <w:b/>
          <w:bCs/>
        </w:rPr>
        <w:fldChar w:fldCharType="begin"/>
      </w:r>
      <w:r>
        <w:rPr>
          <w:b/>
          <w:bCs/>
        </w:rPr>
        <w:instrText xml:space="preserve"> PAGEREF _Toc1865 \h </w:instrText>
      </w:r>
      <w:r>
        <w:rPr>
          <w:b/>
          <w:bCs/>
        </w:rPr>
        <w:fldChar w:fldCharType="separate"/>
      </w:r>
      <w:r>
        <w:rPr>
          <w:b/>
          <w:bCs/>
        </w:rPr>
        <w:t>28</w:t>
      </w:r>
      <w:r>
        <w:rPr>
          <w:b/>
          <w:bCs/>
        </w:rPr>
        <w:fldChar w:fldCharType="end"/>
      </w:r>
      <w:r>
        <w:rPr>
          <w:rFonts w:hint="eastAsia" w:ascii="楷体_GB2312" w:hAnsi="楷体_GB2312" w:eastAsia="楷体_GB2312" w:cs="楷体_GB2312"/>
          <w:b/>
          <w:bCs/>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_Toc18877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第十四章 </w:t>
      </w:r>
      <w:r>
        <w:rPr>
          <w:rFonts w:hint="eastAsia" w:ascii="楷体_GB2312" w:hAnsi="楷体_GB2312" w:eastAsia="楷体_GB2312" w:cs="楷体_GB2312"/>
          <w:b/>
          <w:bCs/>
          <w:szCs w:val="30"/>
        </w:rPr>
        <w:t>有关税费安排</w:t>
      </w:r>
      <w:r>
        <w:rPr>
          <w:b/>
          <w:bCs/>
        </w:rPr>
        <w:tab/>
      </w:r>
      <w:r>
        <w:rPr>
          <w:b/>
          <w:bCs/>
        </w:rPr>
        <w:fldChar w:fldCharType="begin"/>
      </w:r>
      <w:r>
        <w:rPr>
          <w:b/>
          <w:bCs/>
        </w:rPr>
        <w:instrText xml:space="preserve"> PAGEREF _Toc18877 \h </w:instrText>
      </w:r>
      <w:r>
        <w:rPr>
          <w:b/>
          <w:bCs/>
        </w:rPr>
        <w:fldChar w:fldCharType="separate"/>
      </w:r>
      <w:r>
        <w:rPr>
          <w:b/>
          <w:bCs/>
        </w:rPr>
        <w:t>29</w:t>
      </w:r>
      <w:r>
        <w:rPr>
          <w:b/>
          <w:bCs/>
        </w:rPr>
        <w:fldChar w:fldCharType="end"/>
      </w:r>
      <w:r>
        <w:rPr>
          <w:rFonts w:hint="eastAsia" w:ascii="楷体_GB2312" w:hAnsi="楷体_GB2312" w:eastAsia="楷体_GB2312" w:cs="楷体_GB2312"/>
          <w:b/>
          <w:bCs/>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_Toc14742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第十五章 </w:t>
      </w:r>
      <w:r>
        <w:rPr>
          <w:rFonts w:hint="eastAsia" w:ascii="楷体_GB2312" w:hAnsi="楷体_GB2312" w:eastAsia="楷体_GB2312" w:cs="楷体_GB2312"/>
          <w:b/>
          <w:bCs/>
          <w:szCs w:val="30"/>
        </w:rPr>
        <w:t>主要交易文件摘要</w:t>
      </w:r>
      <w:r>
        <w:rPr>
          <w:b/>
          <w:bCs/>
        </w:rPr>
        <w:tab/>
      </w:r>
      <w:r>
        <w:rPr>
          <w:b/>
          <w:bCs/>
        </w:rPr>
        <w:fldChar w:fldCharType="begin"/>
      </w:r>
      <w:r>
        <w:rPr>
          <w:b/>
          <w:bCs/>
        </w:rPr>
        <w:instrText xml:space="preserve"> PAGEREF _Toc14742 \h </w:instrText>
      </w:r>
      <w:r>
        <w:rPr>
          <w:b/>
          <w:bCs/>
        </w:rPr>
        <w:fldChar w:fldCharType="separate"/>
      </w:r>
      <w:r>
        <w:rPr>
          <w:b/>
          <w:bCs/>
        </w:rPr>
        <w:t>30</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_Toc5217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一、《信托合同》摘要</w:t>
      </w:r>
      <w:r>
        <w:tab/>
      </w:r>
      <w:r>
        <w:fldChar w:fldCharType="begin"/>
      </w:r>
      <w:r>
        <w:instrText xml:space="preserve"> PAGEREF _Toc5217 \h </w:instrText>
      </w:r>
      <w:r>
        <w:fldChar w:fldCharType="separate"/>
      </w:r>
      <w:r>
        <w:t>30</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_Toc28336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二、《服务合同》摘要（如有）</w:t>
      </w:r>
      <w:r>
        <w:tab/>
      </w:r>
      <w:r>
        <w:fldChar w:fldCharType="begin"/>
      </w:r>
      <w:r>
        <w:instrText xml:space="preserve"> PAGEREF _Toc28336 \h </w:instrText>
      </w:r>
      <w:r>
        <w:fldChar w:fldCharType="separate"/>
      </w:r>
      <w:r>
        <w:t>30</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_Toc24606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三、《资金保管合同》摘要</w:t>
      </w:r>
      <w:r>
        <w:tab/>
      </w:r>
      <w:r>
        <w:fldChar w:fldCharType="begin"/>
      </w:r>
      <w:r>
        <w:instrText xml:space="preserve"> PAGEREF _Toc24606 \h </w:instrText>
      </w:r>
      <w:r>
        <w:fldChar w:fldCharType="separate"/>
      </w:r>
      <w:r>
        <w:t>30</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_Toc7394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四、《资金监管合同》摘要（如有）</w:t>
      </w:r>
      <w:r>
        <w:tab/>
      </w:r>
      <w:r>
        <w:fldChar w:fldCharType="begin"/>
      </w:r>
      <w:r>
        <w:instrText xml:space="preserve"> PAGEREF _Toc7394 \h </w:instrText>
      </w:r>
      <w:r>
        <w:fldChar w:fldCharType="separate"/>
      </w:r>
      <w:r>
        <w:t>30</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_Toc4764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第十六章 </w:t>
      </w:r>
      <w:r>
        <w:rPr>
          <w:rFonts w:hint="eastAsia" w:ascii="楷体_GB2312" w:hAnsi="楷体_GB2312" w:eastAsia="楷体_GB2312" w:cs="楷体_GB2312"/>
          <w:b/>
          <w:bCs/>
          <w:szCs w:val="30"/>
        </w:rPr>
        <w:t>评级状况（如有）</w:t>
      </w:r>
      <w:r>
        <w:rPr>
          <w:b/>
          <w:bCs/>
        </w:rPr>
        <w:tab/>
      </w:r>
      <w:r>
        <w:rPr>
          <w:b/>
          <w:bCs/>
        </w:rPr>
        <w:fldChar w:fldCharType="begin"/>
      </w:r>
      <w:r>
        <w:rPr>
          <w:b/>
          <w:bCs/>
        </w:rPr>
        <w:instrText xml:space="preserve"> PAGEREF _Toc4764 \h </w:instrText>
      </w:r>
      <w:r>
        <w:rPr>
          <w:b/>
          <w:bCs/>
        </w:rPr>
        <w:fldChar w:fldCharType="separate"/>
      </w:r>
      <w:r>
        <w:rPr>
          <w:b/>
          <w:bCs/>
        </w:rPr>
        <w:t>31</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_Toc20430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一、定向资产支持商业票据评级（如有）</w:t>
      </w:r>
      <w:r>
        <w:tab/>
      </w:r>
      <w:r>
        <w:fldChar w:fldCharType="begin"/>
      </w:r>
      <w:r>
        <w:instrText xml:space="preserve"> PAGEREF _Toc20430 \h </w:instrText>
      </w:r>
      <w:r>
        <w:fldChar w:fldCharType="separate"/>
      </w:r>
      <w:r>
        <w:t>31</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_Toc5579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二、发起机构主体评级（如有）</w:t>
      </w:r>
      <w:r>
        <w:tab/>
      </w:r>
      <w:r>
        <w:fldChar w:fldCharType="begin"/>
      </w:r>
      <w:r>
        <w:instrText xml:space="preserve"> PAGEREF _Toc5579 \h </w:instrText>
      </w:r>
      <w:r>
        <w:fldChar w:fldCharType="separate"/>
      </w:r>
      <w:r>
        <w:t>31</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_Toc262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zCs w:val="24"/>
        </w:rPr>
        <w:t>三、信用增级机构主体评级（如有）</w:t>
      </w:r>
      <w:r>
        <w:tab/>
      </w:r>
      <w:r>
        <w:fldChar w:fldCharType="begin"/>
      </w:r>
      <w:r>
        <w:instrText xml:space="preserve"> PAGEREF _Toc262 \h </w:instrText>
      </w:r>
      <w:r>
        <w:fldChar w:fldCharType="separate"/>
      </w:r>
      <w:r>
        <w:t>31</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_Toc9713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第十七章 </w:t>
      </w:r>
      <w:r>
        <w:rPr>
          <w:rFonts w:hint="eastAsia" w:ascii="楷体_GB2312" w:hAnsi="楷体_GB2312" w:eastAsia="楷体_GB2312" w:cs="楷体_GB2312"/>
          <w:b/>
          <w:bCs/>
          <w:szCs w:val="30"/>
        </w:rPr>
        <w:t>备查文件</w:t>
      </w:r>
      <w:r>
        <w:rPr>
          <w:b/>
          <w:bCs/>
        </w:rPr>
        <w:tab/>
      </w:r>
      <w:r>
        <w:rPr>
          <w:b/>
          <w:bCs/>
        </w:rPr>
        <w:fldChar w:fldCharType="begin"/>
      </w:r>
      <w:r>
        <w:rPr>
          <w:b/>
          <w:bCs/>
        </w:rPr>
        <w:instrText xml:space="preserve"> PAGEREF _Toc9713 \h </w:instrText>
      </w:r>
      <w:r>
        <w:rPr>
          <w:b/>
          <w:bCs/>
        </w:rPr>
        <w:fldChar w:fldCharType="separate"/>
      </w:r>
      <w:r>
        <w:rPr>
          <w:b/>
          <w:bCs/>
        </w:rPr>
        <w:t>32</w:t>
      </w:r>
      <w:r>
        <w:rPr>
          <w:b/>
          <w:bCs/>
        </w:rPr>
        <w:fldChar w:fldCharType="end"/>
      </w:r>
      <w:r>
        <w:rPr>
          <w:rFonts w:hint="eastAsia" w:ascii="楷体_GB2312" w:hAnsi="楷体_GB2312" w:eastAsia="楷体_GB2312" w:cs="楷体_GB2312"/>
          <w:b/>
          <w:bCs/>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_Toc26830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napToGrid w:val="0"/>
          <w:szCs w:val="24"/>
        </w:rPr>
        <w:t>一、备查文件</w:t>
      </w:r>
      <w:r>
        <w:tab/>
      </w:r>
      <w:r>
        <w:fldChar w:fldCharType="begin"/>
      </w:r>
      <w:r>
        <w:instrText xml:space="preserve"> PAGEREF _Toc26830 \h </w:instrText>
      </w:r>
      <w:r>
        <w:fldChar w:fldCharType="separate"/>
      </w:r>
      <w:r>
        <w:t>32</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_Toc6919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napToGrid w:val="0"/>
          <w:szCs w:val="24"/>
        </w:rPr>
        <w:t>二、查询地址</w:t>
      </w:r>
      <w:r>
        <w:tab/>
      </w:r>
      <w:r>
        <w:fldChar w:fldCharType="begin"/>
      </w:r>
      <w:r>
        <w:instrText xml:space="preserve"> PAGEREF _Toc6919 \h </w:instrText>
      </w:r>
      <w:r>
        <w:fldChar w:fldCharType="separate"/>
      </w:r>
      <w:r>
        <w:t>32</w:t>
      </w:r>
      <w:r>
        <w:fldChar w:fldCharType="end"/>
      </w:r>
      <w:r>
        <w:rPr>
          <w:rFonts w:hint="eastAsia" w:ascii="楷体_GB2312" w:hAnsi="楷体_GB2312" w:eastAsia="楷体_GB2312" w:cs="楷体_GB2312"/>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pPr>
      <w:r>
        <w:rPr>
          <w:rFonts w:hint="eastAsia" w:ascii="楷体_GB2312" w:hAnsi="楷体_GB2312" w:eastAsia="楷体_GB2312" w:cs="楷体_GB2312"/>
        </w:rPr>
        <w:fldChar w:fldCharType="begin"/>
      </w:r>
      <w:r>
        <w:rPr>
          <w:rFonts w:hint="eastAsia" w:ascii="楷体_GB2312" w:hAnsi="楷体_GB2312" w:eastAsia="楷体_GB2312" w:cs="楷体_GB2312"/>
        </w:rPr>
        <w:instrText xml:space="preserve"> HYPERLINK \l _Toc9439 </w:instrText>
      </w:r>
      <w:r>
        <w:rPr>
          <w:rFonts w:hint="eastAsia" w:ascii="楷体_GB2312" w:hAnsi="楷体_GB2312" w:eastAsia="楷体_GB2312" w:cs="楷体_GB2312"/>
        </w:rPr>
        <w:fldChar w:fldCharType="separate"/>
      </w:r>
      <w:r>
        <w:rPr>
          <w:rFonts w:hint="eastAsia" w:ascii="楷体_GB2312" w:hAnsi="楷体_GB2312" w:eastAsia="楷体_GB2312" w:cs="楷体_GB2312"/>
          <w:bCs/>
          <w:snapToGrid w:val="0"/>
          <w:szCs w:val="24"/>
        </w:rPr>
        <w:t>三、网站</w:t>
      </w:r>
      <w:r>
        <w:tab/>
      </w:r>
      <w:r>
        <w:fldChar w:fldCharType="begin"/>
      </w:r>
      <w:r>
        <w:instrText xml:space="preserve"> PAGEREF _Toc9439 \h </w:instrText>
      </w:r>
      <w:r>
        <w:fldChar w:fldCharType="separate"/>
      </w:r>
      <w:r>
        <w:t>33</w:t>
      </w:r>
      <w:r>
        <w:fldChar w:fldCharType="end"/>
      </w:r>
      <w:r>
        <w:rPr>
          <w:rFonts w:hint="eastAsia" w:ascii="楷体_GB2312" w:hAnsi="楷体_GB2312" w:eastAsia="楷体_GB2312" w:cs="楷体_GB2312"/>
        </w:rPr>
        <w:fldChar w:fldCharType="end"/>
      </w:r>
    </w:p>
    <w:p>
      <w:pPr>
        <w:pStyle w:val="34"/>
        <w:keepNext w:val="0"/>
        <w:keepLines w:val="0"/>
        <w:pageBreakBefore w:val="0"/>
        <w:widowControl/>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rFonts w:hint="eastAsia" w:ascii="楷体_GB2312" w:hAnsi="楷体_GB2312" w:eastAsia="楷体_GB2312" w:cs="楷体_GB2312"/>
          <w:b/>
          <w:bCs/>
        </w:rPr>
        <w:fldChar w:fldCharType="begin"/>
      </w:r>
      <w:r>
        <w:rPr>
          <w:rFonts w:hint="eastAsia" w:ascii="楷体_GB2312" w:hAnsi="楷体_GB2312" w:eastAsia="楷体_GB2312" w:cs="楷体_GB2312"/>
          <w:b/>
          <w:bCs/>
        </w:rPr>
        <w:instrText xml:space="preserve"> HYPERLINK \l _Toc13056 </w:instrText>
      </w:r>
      <w:r>
        <w:rPr>
          <w:rFonts w:hint="eastAsia" w:ascii="楷体_GB2312" w:hAnsi="楷体_GB2312" w:eastAsia="楷体_GB2312" w:cs="楷体_GB2312"/>
          <w:b/>
          <w:bCs/>
        </w:rPr>
        <w:fldChar w:fldCharType="separate"/>
      </w:r>
      <w:r>
        <w:rPr>
          <w:rFonts w:ascii="楷体_GB2312" w:hAnsi="楷体_GB2312" w:eastAsia="楷体_GB2312" w:cs="楷体_GB2312"/>
          <w:b/>
          <w:bCs/>
          <w:szCs w:val="30"/>
        </w:rPr>
        <w:t xml:space="preserve">第十八章 </w:t>
      </w:r>
      <w:r>
        <w:rPr>
          <w:rFonts w:hint="eastAsia" w:ascii="楷体_GB2312" w:hAnsi="楷体_GB2312" w:eastAsia="楷体_GB2312" w:cs="楷体_GB2312"/>
          <w:b/>
          <w:bCs/>
          <w:szCs w:val="30"/>
        </w:rPr>
        <w:t>发行有关机构</w:t>
      </w:r>
      <w:r>
        <w:rPr>
          <w:b/>
          <w:bCs/>
        </w:rPr>
        <w:tab/>
      </w:r>
      <w:r>
        <w:rPr>
          <w:b/>
          <w:bCs/>
        </w:rPr>
        <w:fldChar w:fldCharType="begin"/>
      </w:r>
      <w:r>
        <w:rPr>
          <w:b/>
          <w:bCs/>
        </w:rPr>
        <w:instrText xml:space="preserve"> PAGEREF _Toc13056 \h </w:instrText>
      </w:r>
      <w:r>
        <w:rPr>
          <w:b/>
          <w:bCs/>
        </w:rPr>
        <w:fldChar w:fldCharType="separate"/>
      </w:r>
      <w:r>
        <w:rPr>
          <w:b/>
          <w:bCs/>
        </w:rPr>
        <w:t>34</w:t>
      </w:r>
      <w:r>
        <w:rPr>
          <w:b/>
          <w:bCs/>
        </w:rPr>
        <w:fldChar w:fldCharType="end"/>
      </w:r>
      <w:r>
        <w:rPr>
          <w:rFonts w:hint="eastAsia" w:ascii="楷体_GB2312" w:hAnsi="楷体_GB2312" w:eastAsia="楷体_GB2312" w:cs="楷体_GB2312"/>
          <w:b/>
          <w:bCs/>
        </w:rPr>
        <w:fldChar w:fldCharType="end"/>
      </w:r>
    </w:p>
    <w:p>
      <w:pPr>
        <w:pStyle w:val="34"/>
        <w:keepNext w:val="0"/>
        <w:keepLines w:val="0"/>
        <w:pageBreakBefore w:val="0"/>
        <w:widowControl/>
        <w:tabs>
          <w:tab w:val="right" w:leader="dot" w:pos="8402"/>
        </w:tabs>
        <w:kinsoku/>
        <w:wordWrap/>
        <w:overflowPunct/>
        <w:topLinePunct w:val="0"/>
        <w:autoSpaceDE/>
        <w:autoSpaceDN/>
        <w:bidi w:val="0"/>
        <w:adjustRightInd/>
        <w:snapToGrid/>
        <w:spacing w:after="0" w:afterLines="0" w:line="240" w:lineRule="atLeast"/>
        <w:textAlignment w:val="auto"/>
        <w:rPr>
          <w:rFonts w:hint="eastAsia" w:ascii="楷体_GB2312" w:hAnsi="楷体_GB2312" w:eastAsia="楷体_GB2312" w:cs="楷体_GB2312"/>
        </w:rPr>
        <w:sectPr>
          <w:footerReference r:id="rId14" w:type="default"/>
          <w:footnotePr>
            <w:numRestart w:val="eachPage"/>
          </w:footnotePr>
          <w:pgSz w:w="11906" w:h="16839"/>
          <w:pgMar w:top="1440" w:right="1800" w:bottom="1440" w:left="1800" w:header="0"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楷体_GB2312" w:hAnsi="楷体_GB2312" w:eastAsia="楷体_GB2312" w:cs="楷体_GB2312"/>
        </w:rPr>
        <w:fldChar w:fldCharType="end"/>
      </w:r>
    </w:p>
    <w:p>
      <w:pPr>
        <w:pStyle w:val="156"/>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0" w:firstLineChars="0"/>
        <w:jc w:val="center"/>
        <w:textAlignment w:val="auto"/>
        <w:outlineLvl w:val="1"/>
        <w:rPr>
          <w:rFonts w:ascii="楷体_GB2312" w:hAnsi="楷体_GB2312" w:eastAsia="楷体_GB2312" w:cs="楷体_GB2312"/>
          <w:b/>
          <w:bCs/>
          <w:kern w:val="0"/>
          <w:sz w:val="30"/>
          <w:szCs w:val="30"/>
        </w:rPr>
      </w:pPr>
      <w:r>
        <w:rPr>
          <w:rFonts w:hint="eastAsia" w:ascii="楷体_GB2312" w:hAnsi="楷体_GB2312" w:eastAsia="楷体_GB2312" w:cs="楷体_GB2312"/>
          <w:b/>
          <w:bCs/>
          <w:kern w:val="0"/>
          <w:sz w:val="30"/>
          <w:szCs w:val="30"/>
        </w:rPr>
        <w:t>重要提示</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一、基础资产</w:t>
      </w:r>
      <w:r>
        <w:rPr>
          <w:rStyle w:val="48"/>
          <w:rFonts w:hint="eastAsia" w:ascii="楷体_GB2312" w:hAnsi="楷体_GB2312" w:eastAsia="楷体_GB2312" w:cs="楷体_GB2312"/>
          <w:b/>
          <w:bCs/>
          <w:kern w:val="0"/>
          <w:sz w:val="24"/>
          <w:szCs w:val="24"/>
        </w:rPr>
        <w:footnoteReference w:id="37"/>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的基础资产类型为【应收账款债权/租赁债权/（其他）】。基础资产系【发起机构为设立信托委托给受托人，根据业务合同对债务人依法享有的应收账款债权及其附属担保权益(如有)，初始入池的基础资产总额为人民币XX亿元，涉及应收账款XX笔，债务人XX个/（其他）】，具体信息详见“第七章 基础资产情况及现金流预测分析 一、基础资产情况”。</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二、交易结构</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（一）滚动发行安排</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本期资产支持商业票据设置了滚动发行机制，委托人可根据</w:t>
      </w:r>
      <w:r>
        <w:rPr>
          <w:rFonts w:hint="eastAsia" w:ascii="楷体_GB2312" w:hAnsi="楷体_GB2312" w:eastAsia="楷体_GB2312" w:cs="楷体_GB2312"/>
          <w:kern w:val="0"/>
          <w:sz w:val="24"/>
          <w:szCs w:val="24"/>
          <w:lang w:eastAsia="zh-CN"/>
        </w:rPr>
        <w:t>应根据</w:t>
      </w:r>
      <w:r>
        <w:rPr>
          <w:rFonts w:hint="eastAsia" w:ascii="楷体_GB2312" w:hAnsi="楷体_GB2312" w:eastAsia="楷体_GB2312" w:cs="楷体_GB2312"/>
          <w:kern w:val="0"/>
          <w:sz w:val="24"/>
          <w:szCs w:val="24"/>
        </w:rPr>
        <w:t>交易文件的约定，选择由受托人发行后一期优先级资产支持商业票据用于兑付前一期优先级资产支持商业票据。具体安排详见“第四章 定向资产支持商业票据的交易结构 二、交易结构介绍 （三）滚动发行安排”。</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（二）循环购买安排（如有）</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本期资产支持商业票据设置了循环购买机制，受托人可根据</w:t>
      </w:r>
      <w:r>
        <w:rPr>
          <w:rFonts w:hint="eastAsia" w:ascii="楷体_GB2312" w:hAnsi="楷体_GB2312" w:eastAsia="楷体_GB2312" w:cs="楷体_GB2312"/>
          <w:kern w:val="0"/>
          <w:sz w:val="24"/>
          <w:szCs w:val="24"/>
          <w:lang w:eastAsia="zh-CN"/>
        </w:rPr>
        <w:t>应根据</w:t>
      </w:r>
      <w:r>
        <w:rPr>
          <w:rFonts w:hint="eastAsia" w:ascii="楷体_GB2312" w:hAnsi="楷体_GB2312" w:eastAsia="楷体_GB2312" w:cs="楷体_GB2312"/>
          <w:kern w:val="0"/>
          <w:sz w:val="24"/>
          <w:szCs w:val="24"/>
        </w:rPr>
        <w:t>交易文件的约定，以信托账户中的可用资金向委托人购买基础资产。具体安排详见“第四章 定向资产支持商业票据的交易结构 二、交易结构介绍 （五）循环购买安排”。</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（三）回购资产安排</w:t>
      </w:r>
      <w:r>
        <w:rPr>
          <w:rStyle w:val="48"/>
          <w:rFonts w:hint="eastAsia" w:ascii="楷体_GB2312" w:hAnsi="楷体_GB2312" w:eastAsia="楷体_GB2312" w:cs="楷体_GB2312"/>
          <w:b/>
          <w:bCs/>
          <w:kern w:val="0"/>
          <w:sz w:val="24"/>
          <w:szCs w:val="24"/>
        </w:rPr>
        <w:footnoteReference w:id="38"/>
      </w:r>
      <w:r>
        <w:rPr>
          <w:rFonts w:hint="eastAsia" w:ascii="楷体_GB2312" w:hAnsi="楷体_GB2312" w:eastAsia="楷体_GB2312" w:cs="楷体_GB2312"/>
          <w:b/>
          <w:bCs/>
          <w:kern w:val="0"/>
          <w:sz w:val="24"/>
          <w:szCs w:val="24"/>
        </w:rPr>
        <w:t>（如有）</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本期资产支持商业票据设置了回购资产机制，委托人可根据</w:t>
      </w:r>
      <w:r>
        <w:rPr>
          <w:rFonts w:hint="eastAsia" w:ascii="楷体_GB2312" w:hAnsi="楷体_GB2312" w:eastAsia="楷体_GB2312" w:cs="楷体_GB2312"/>
          <w:kern w:val="0"/>
          <w:sz w:val="24"/>
          <w:szCs w:val="24"/>
          <w:lang w:eastAsia="zh-CN"/>
        </w:rPr>
        <w:t>应根据</w:t>
      </w:r>
      <w:r>
        <w:rPr>
          <w:rFonts w:hint="eastAsia" w:ascii="楷体_GB2312" w:hAnsi="楷体_GB2312" w:eastAsia="楷体_GB2312" w:cs="楷体_GB2312"/>
          <w:kern w:val="0"/>
          <w:sz w:val="24"/>
          <w:szCs w:val="24"/>
        </w:rPr>
        <w:t>交易文件的约定行使权利回购基础资产。具体内容请详见“第四章 定向资产支持商业票据的交易结构 二、交易结构介绍 （七）回购资产安排”。</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（四）差额支付承诺（如有）</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本期资产支持商业票据设置了差额支付承诺的信用增级方式，在差额支付启动事件发生时，由【</w:t>
      </w:r>
      <w:r>
        <w:rPr>
          <w:rFonts w:hint="eastAsia" w:ascii="楷体_GB2312" w:hAnsi="楷体_GB2312" w:eastAsia="楷体_GB2312" w:cs="楷体_GB2312"/>
          <w:b/>
          <w:bCs/>
          <w:i/>
          <w:iCs/>
          <w:color w:val="FF0000"/>
          <w:kern w:val="0"/>
          <w:sz w:val="24"/>
          <w:szCs w:val="24"/>
          <w:u w:val="single"/>
        </w:rPr>
        <w:t>信用增级机构</w:t>
      </w:r>
      <w:r>
        <w:rPr>
          <w:rFonts w:hint="eastAsia" w:ascii="楷体_GB2312" w:hAnsi="楷体_GB2312" w:eastAsia="楷体_GB2312" w:cs="楷体_GB2312"/>
          <w:kern w:val="0"/>
          <w:sz w:val="24"/>
          <w:szCs w:val="24"/>
        </w:rPr>
        <w:t>】根据交易文件及《差额支付承诺函》的约定履行差额支付义务。具体内容请详见“第五章 定向资产支持商业票据的信用增级方式 二、外部增信安排 （一）差额支付承诺”。</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（五）回购资产池</w:t>
      </w:r>
      <w:r>
        <w:rPr>
          <w:rStyle w:val="48"/>
          <w:rFonts w:hint="eastAsia" w:ascii="楷体_GB2312" w:hAnsi="楷体_GB2312" w:eastAsia="楷体_GB2312" w:cs="楷体_GB2312"/>
          <w:b/>
          <w:bCs/>
          <w:kern w:val="0"/>
          <w:sz w:val="24"/>
          <w:szCs w:val="24"/>
        </w:rPr>
        <w:footnoteReference w:id="39"/>
      </w:r>
      <w:r>
        <w:rPr>
          <w:rFonts w:ascii="楷体_GB2312" w:hAnsi="楷体_GB2312" w:eastAsia="楷体_GB2312" w:cs="楷体_GB2312"/>
          <w:b/>
          <w:bCs/>
          <w:kern w:val="0"/>
          <w:sz w:val="24"/>
          <w:szCs w:val="24"/>
        </w:rPr>
        <w:t>（如有）</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本期资产支持商业票据设置了回购资产池的信用增级方式，在委托人中止滚动发行或滚动发行不成功时，由委托人根据交易文件的约定履行回购资产池的义务。具体内容请详见“第五章 定向资产支持商业票据的信用增级方式 二、外部增信安排 （二）回购资产池”。</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（六）受让信托受益权</w:t>
      </w:r>
      <w:r>
        <w:rPr>
          <w:rFonts w:ascii="楷体_GB2312" w:hAnsi="楷体_GB2312" w:eastAsia="楷体_GB2312" w:cs="楷体_GB2312"/>
          <w:b/>
          <w:bCs/>
          <w:kern w:val="0"/>
          <w:sz w:val="24"/>
          <w:szCs w:val="24"/>
        </w:rPr>
        <w:t>（如有）</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本期资产支持商业票据设置了受让信托受益权的信用增级方式，在委托人中止滚动发行或滚动发行不成功时，由委托人根据交易文件的约定履行受让信托受益权的义务。具体内容请详见“第五章 定向资产支持商业票据的信用增级方式 二、外部增信安排 （三）受让信托受益权”。</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三、风险提示</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（一）基础资产相关风险</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ascii="楷体_GB2312" w:hAnsi="楷体_GB2312" w:eastAsia="楷体_GB2312" w:cs="楷体_GB2312"/>
          <w:kern w:val="0"/>
          <w:sz w:val="24"/>
          <w:szCs w:val="24"/>
        </w:rPr>
      </w:pPr>
      <w:r>
        <w:rPr>
          <w:rFonts w:ascii="楷体_GB2312" w:hAnsi="楷体_GB2312" w:eastAsia="楷体_GB2312" w:cs="楷体_GB2312"/>
          <w:kern w:val="0"/>
          <w:sz w:val="24"/>
          <w:szCs w:val="24"/>
        </w:rPr>
        <w:t>本期资产支持商业票据</w:t>
      </w:r>
      <w:r>
        <w:rPr>
          <w:rFonts w:hint="eastAsia" w:ascii="楷体_GB2312" w:hAnsi="楷体_GB2312" w:eastAsia="楷体_GB2312" w:cs="楷体_GB2312"/>
          <w:kern w:val="0"/>
          <w:sz w:val="24"/>
          <w:szCs w:val="24"/>
        </w:rPr>
        <w:t>存在【</w:t>
      </w:r>
      <w:r>
        <w:rPr>
          <w:rFonts w:hint="eastAsia" w:ascii="楷体_GB2312" w:hAnsi="楷体_GB2312" w:eastAsia="楷体_GB2312" w:cs="楷体_GB2312"/>
          <w:b/>
          <w:bCs/>
          <w:i/>
          <w:iCs/>
          <w:color w:val="FF0000"/>
          <w:kern w:val="0"/>
          <w:sz w:val="24"/>
          <w:szCs w:val="24"/>
          <w:u w:val="single"/>
        </w:rPr>
        <w:t>基础资产相关风险，建议不超过3条</w:t>
      </w:r>
      <w:r>
        <w:rPr>
          <w:rFonts w:hint="eastAsia" w:ascii="楷体_GB2312" w:hAnsi="楷体_GB2312" w:eastAsia="楷体_GB2312" w:cs="楷体_GB2312"/>
          <w:kern w:val="0"/>
          <w:sz w:val="24"/>
          <w:szCs w:val="24"/>
        </w:rPr>
        <w:t>】等风险，</w:t>
      </w:r>
      <w:r>
        <w:rPr>
          <w:rFonts w:ascii="楷体_GB2312" w:hAnsi="楷体_GB2312" w:eastAsia="楷体_GB2312" w:cs="楷体_GB2312"/>
          <w:kern w:val="0"/>
          <w:sz w:val="24"/>
          <w:szCs w:val="24"/>
        </w:rPr>
        <w:t>具体内容详见“第</w:t>
      </w:r>
      <w:r>
        <w:rPr>
          <w:rFonts w:hint="eastAsia" w:ascii="楷体_GB2312" w:hAnsi="楷体_GB2312" w:eastAsia="楷体_GB2312" w:cs="楷体_GB2312"/>
          <w:kern w:val="0"/>
          <w:sz w:val="24"/>
          <w:szCs w:val="24"/>
        </w:rPr>
        <w:t>三</w:t>
      </w:r>
      <w:r>
        <w:rPr>
          <w:rFonts w:ascii="楷体_GB2312" w:hAnsi="楷体_GB2312" w:eastAsia="楷体_GB2312" w:cs="楷体_GB2312"/>
          <w:kern w:val="0"/>
          <w:sz w:val="24"/>
          <w:szCs w:val="24"/>
        </w:rPr>
        <w:t xml:space="preserve">章 </w:t>
      </w:r>
      <w:r>
        <w:rPr>
          <w:rFonts w:hint="eastAsia" w:ascii="楷体_GB2312" w:hAnsi="楷体_GB2312" w:eastAsia="楷体_GB2312" w:cs="楷体_GB2312"/>
          <w:kern w:val="0"/>
          <w:sz w:val="24"/>
          <w:szCs w:val="24"/>
        </w:rPr>
        <w:t>风险提示及说明</w:t>
      </w:r>
      <w:r>
        <w:rPr>
          <w:rFonts w:ascii="楷体_GB2312" w:hAnsi="楷体_GB2312" w:eastAsia="楷体_GB2312" w:cs="楷体_GB2312"/>
          <w:kern w:val="0"/>
          <w:sz w:val="24"/>
          <w:szCs w:val="24"/>
        </w:rPr>
        <w:t xml:space="preserve"> 二、</w:t>
      </w:r>
      <w:r>
        <w:rPr>
          <w:rFonts w:hint="eastAsia" w:ascii="楷体_GB2312" w:hAnsi="楷体_GB2312" w:eastAsia="楷体_GB2312" w:cs="楷体_GB2312"/>
          <w:kern w:val="0"/>
          <w:sz w:val="24"/>
          <w:szCs w:val="24"/>
        </w:rPr>
        <w:t>基础资产相关风险</w:t>
      </w:r>
      <w:r>
        <w:rPr>
          <w:rFonts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（二）发行相关主体</w:t>
      </w:r>
      <w:r>
        <w:rPr>
          <w:rStyle w:val="48"/>
          <w:rFonts w:hint="eastAsia" w:ascii="楷体_GB2312" w:hAnsi="楷体_GB2312" w:eastAsia="楷体_GB2312" w:cs="楷体_GB2312"/>
          <w:b/>
          <w:bCs/>
          <w:kern w:val="0"/>
          <w:sz w:val="24"/>
          <w:szCs w:val="24"/>
        </w:rPr>
        <w:footnoteReference w:id="40"/>
      </w:r>
      <w:r>
        <w:rPr>
          <w:rFonts w:hint="eastAsia" w:ascii="楷体_GB2312" w:hAnsi="楷体_GB2312" w:eastAsia="楷体_GB2312" w:cs="楷体_GB2312"/>
          <w:b/>
          <w:bCs/>
          <w:kern w:val="0"/>
          <w:sz w:val="24"/>
          <w:szCs w:val="24"/>
        </w:rPr>
        <w:t>风险</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ascii="楷体_GB2312" w:hAnsi="楷体_GB2312" w:eastAsia="楷体_GB2312" w:cs="楷体_GB2312"/>
          <w:kern w:val="0"/>
          <w:sz w:val="24"/>
          <w:szCs w:val="24"/>
        </w:rPr>
      </w:pPr>
      <w:r>
        <w:rPr>
          <w:rFonts w:ascii="楷体_GB2312" w:hAnsi="楷体_GB2312" w:eastAsia="楷体_GB2312" w:cs="楷体_GB2312"/>
          <w:kern w:val="0"/>
          <w:sz w:val="24"/>
          <w:szCs w:val="24"/>
        </w:rPr>
        <w:t>本期资产支持商业票据</w:t>
      </w:r>
      <w:r>
        <w:rPr>
          <w:rFonts w:hint="eastAsia" w:ascii="楷体_GB2312" w:hAnsi="楷体_GB2312" w:eastAsia="楷体_GB2312" w:cs="楷体_GB2312"/>
          <w:kern w:val="0"/>
          <w:sz w:val="24"/>
          <w:szCs w:val="24"/>
        </w:rPr>
        <w:t>存在【</w:t>
      </w:r>
      <w:r>
        <w:rPr>
          <w:rFonts w:hint="eastAsia" w:ascii="楷体_GB2312" w:hAnsi="楷体_GB2312" w:eastAsia="楷体_GB2312" w:cs="楷体_GB2312"/>
          <w:b/>
          <w:bCs/>
          <w:i/>
          <w:iCs/>
          <w:color w:val="FF0000"/>
          <w:kern w:val="0"/>
          <w:sz w:val="24"/>
          <w:szCs w:val="24"/>
          <w:u w:val="single"/>
        </w:rPr>
        <w:t>发起机构或信用增级机构相关风险，建议不超过3条</w:t>
      </w:r>
      <w:r>
        <w:rPr>
          <w:rFonts w:hint="eastAsia" w:ascii="楷体_GB2312" w:hAnsi="楷体_GB2312" w:eastAsia="楷体_GB2312" w:cs="楷体_GB2312"/>
          <w:kern w:val="0"/>
          <w:sz w:val="24"/>
          <w:szCs w:val="24"/>
        </w:rPr>
        <w:t>】等风险，</w:t>
      </w:r>
      <w:r>
        <w:rPr>
          <w:rFonts w:ascii="楷体_GB2312" w:hAnsi="楷体_GB2312" w:eastAsia="楷体_GB2312" w:cs="楷体_GB2312"/>
          <w:kern w:val="0"/>
          <w:sz w:val="24"/>
          <w:szCs w:val="24"/>
        </w:rPr>
        <w:t>具体内容详见“</w:t>
      </w:r>
      <w:r>
        <w:rPr>
          <w:rFonts w:hint="eastAsia" w:ascii="楷体_GB2312" w:hAnsi="楷体_GB2312" w:eastAsia="楷体_GB2312" w:cs="楷体_GB2312"/>
          <w:kern w:val="0"/>
          <w:sz w:val="24"/>
          <w:szCs w:val="24"/>
        </w:rPr>
        <w:t>【</w:t>
      </w:r>
      <w:r>
        <w:rPr>
          <w:rFonts w:ascii="楷体_GB2312" w:hAnsi="楷体_GB2312" w:eastAsia="楷体_GB2312" w:cs="楷体_GB2312"/>
          <w:kern w:val="0"/>
          <w:sz w:val="24"/>
          <w:szCs w:val="24"/>
        </w:rPr>
        <w:t>第</w:t>
      </w:r>
      <w:r>
        <w:rPr>
          <w:rFonts w:hint="eastAsia" w:ascii="楷体_GB2312" w:hAnsi="楷体_GB2312" w:eastAsia="楷体_GB2312" w:cs="楷体_GB2312"/>
          <w:kern w:val="0"/>
          <w:sz w:val="24"/>
          <w:szCs w:val="24"/>
        </w:rPr>
        <w:t>三</w:t>
      </w:r>
      <w:r>
        <w:rPr>
          <w:rFonts w:ascii="楷体_GB2312" w:hAnsi="楷体_GB2312" w:eastAsia="楷体_GB2312" w:cs="楷体_GB2312"/>
          <w:kern w:val="0"/>
          <w:sz w:val="24"/>
          <w:szCs w:val="24"/>
        </w:rPr>
        <w:t xml:space="preserve">章 </w:t>
      </w:r>
      <w:r>
        <w:rPr>
          <w:rFonts w:hint="eastAsia" w:ascii="楷体_GB2312" w:hAnsi="楷体_GB2312" w:eastAsia="楷体_GB2312" w:cs="楷体_GB2312"/>
          <w:kern w:val="0"/>
          <w:sz w:val="24"/>
          <w:szCs w:val="24"/>
        </w:rPr>
        <w:t>风险提示及说明</w:t>
      </w:r>
      <w:r>
        <w:rPr>
          <w:rFonts w:ascii="楷体_GB2312" w:hAnsi="楷体_GB2312" w:eastAsia="楷体_GB2312" w:cs="楷体_GB2312"/>
          <w:kern w:val="0"/>
          <w:sz w:val="24"/>
          <w:szCs w:val="24"/>
        </w:rPr>
        <w:t xml:space="preserve"> </w:t>
      </w:r>
      <w:r>
        <w:rPr>
          <w:rFonts w:hint="eastAsia" w:ascii="楷体_GB2312" w:hAnsi="楷体_GB2312" w:eastAsia="楷体_GB2312" w:cs="楷体_GB2312"/>
          <w:kern w:val="0"/>
          <w:sz w:val="24"/>
          <w:szCs w:val="24"/>
        </w:rPr>
        <w:t>四</w:t>
      </w:r>
      <w:r>
        <w:rPr>
          <w:rFonts w:ascii="楷体_GB2312" w:hAnsi="楷体_GB2312" w:eastAsia="楷体_GB2312" w:cs="楷体_GB2312"/>
          <w:kern w:val="0"/>
          <w:sz w:val="24"/>
          <w:szCs w:val="24"/>
        </w:rPr>
        <w:t>、</w:t>
      </w:r>
      <w:r>
        <w:rPr>
          <w:rFonts w:hint="eastAsia" w:ascii="楷体_GB2312" w:hAnsi="楷体_GB2312" w:eastAsia="楷体_GB2312" w:cs="楷体_GB2312"/>
          <w:kern w:val="0"/>
          <w:sz w:val="24"/>
          <w:szCs w:val="24"/>
        </w:rPr>
        <w:t>发起机构相关风险/</w:t>
      </w:r>
      <w:r>
        <w:rPr>
          <w:rFonts w:ascii="楷体_GB2312" w:hAnsi="楷体_GB2312" w:eastAsia="楷体_GB2312" w:cs="楷体_GB2312"/>
          <w:kern w:val="0"/>
          <w:sz w:val="24"/>
          <w:szCs w:val="24"/>
        </w:rPr>
        <w:t>第</w:t>
      </w:r>
      <w:r>
        <w:rPr>
          <w:rFonts w:hint="eastAsia" w:ascii="楷体_GB2312" w:hAnsi="楷体_GB2312" w:eastAsia="楷体_GB2312" w:cs="楷体_GB2312"/>
          <w:kern w:val="0"/>
          <w:sz w:val="24"/>
          <w:szCs w:val="24"/>
        </w:rPr>
        <w:t>三</w:t>
      </w:r>
      <w:r>
        <w:rPr>
          <w:rFonts w:ascii="楷体_GB2312" w:hAnsi="楷体_GB2312" w:eastAsia="楷体_GB2312" w:cs="楷体_GB2312"/>
          <w:kern w:val="0"/>
          <w:sz w:val="24"/>
          <w:szCs w:val="24"/>
        </w:rPr>
        <w:t xml:space="preserve">章 </w:t>
      </w:r>
      <w:r>
        <w:rPr>
          <w:rFonts w:hint="eastAsia" w:ascii="楷体_GB2312" w:hAnsi="楷体_GB2312" w:eastAsia="楷体_GB2312" w:cs="楷体_GB2312"/>
          <w:kern w:val="0"/>
          <w:sz w:val="24"/>
          <w:szCs w:val="24"/>
        </w:rPr>
        <w:t>风险提示及说明</w:t>
      </w:r>
      <w:r>
        <w:rPr>
          <w:rFonts w:ascii="楷体_GB2312" w:hAnsi="楷体_GB2312" w:eastAsia="楷体_GB2312" w:cs="楷体_GB2312"/>
          <w:kern w:val="0"/>
          <w:sz w:val="24"/>
          <w:szCs w:val="24"/>
        </w:rPr>
        <w:t xml:space="preserve"> </w:t>
      </w:r>
      <w:r>
        <w:rPr>
          <w:rFonts w:hint="eastAsia" w:ascii="楷体_GB2312" w:hAnsi="楷体_GB2312" w:eastAsia="楷体_GB2312" w:cs="楷体_GB2312"/>
          <w:kern w:val="0"/>
          <w:sz w:val="24"/>
          <w:szCs w:val="24"/>
        </w:rPr>
        <w:t>五</w:t>
      </w:r>
      <w:r>
        <w:rPr>
          <w:rFonts w:ascii="楷体_GB2312" w:hAnsi="楷体_GB2312" w:eastAsia="楷体_GB2312" w:cs="楷体_GB2312"/>
          <w:kern w:val="0"/>
          <w:sz w:val="24"/>
          <w:szCs w:val="24"/>
        </w:rPr>
        <w:t>、</w:t>
      </w:r>
      <w:r>
        <w:rPr>
          <w:rFonts w:hint="eastAsia" w:ascii="楷体_GB2312" w:hAnsi="楷体_GB2312" w:eastAsia="楷体_GB2312" w:cs="楷体_GB2312"/>
          <w:kern w:val="0"/>
          <w:sz w:val="24"/>
          <w:szCs w:val="24"/>
        </w:rPr>
        <w:t>信用增级机构相关风险/（其他）】</w:t>
      </w:r>
      <w:r>
        <w:rPr>
          <w:rFonts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（三）资产支持商业票据相关风险</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ascii="楷体_GB2312" w:hAnsi="楷体_GB2312" w:eastAsia="楷体_GB2312" w:cs="楷体_GB2312"/>
          <w:kern w:val="0"/>
          <w:sz w:val="24"/>
          <w:szCs w:val="24"/>
        </w:rPr>
      </w:pPr>
      <w:r>
        <w:rPr>
          <w:rFonts w:ascii="楷体_GB2312" w:hAnsi="楷体_GB2312" w:eastAsia="楷体_GB2312" w:cs="楷体_GB2312"/>
          <w:kern w:val="0"/>
          <w:sz w:val="24"/>
          <w:szCs w:val="24"/>
        </w:rPr>
        <w:t>本期资产支持商业票据</w:t>
      </w:r>
      <w:r>
        <w:rPr>
          <w:rFonts w:hint="eastAsia" w:ascii="楷体_GB2312" w:hAnsi="楷体_GB2312" w:eastAsia="楷体_GB2312" w:cs="楷体_GB2312"/>
          <w:kern w:val="0"/>
          <w:sz w:val="24"/>
          <w:szCs w:val="24"/>
        </w:rPr>
        <w:t>存在【</w:t>
      </w:r>
      <w:r>
        <w:rPr>
          <w:rFonts w:hint="eastAsia" w:ascii="楷体_GB2312" w:hAnsi="楷体_GB2312" w:eastAsia="楷体_GB2312" w:cs="楷体_GB2312"/>
          <w:b/>
          <w:bCs/>
          <w:i/>
          <w:iCs/>
          <w:color w:val="FF0000"/>
          <w:kern w:val="0"/>
          <w:sz w:val="24"/>
          <w:szCs w:val="24"/>
          <w:u w:val="single"/>
        </w:rPr>
        <w:t>资产支持商业票据相关风险，建议不超过3条</w:t>
      </w:r>
      <w:r>
        <w:rPr>
          <w:rFonts w:hint="eastAsia" w:ascii="楷体_GB2312" w:hAnsi="楷体_GB2312" w:eastAsia="楷体_GB2312" w:cs="楷体_GB2312"/>
          <w:kern w:val="0"/>
          <w:sz w:val="24"/>
          <w:szCs w:val="24"/>
        </w:rPr>
        <w:t>】等风险，</w:t>
      </w:r>
      <w:r>
        <w:rPr>
          <w:rFonts w:ascii="楷体_GB2312" w:hAnsi="楷体_GB2312" w:eastAsia="楷体_GB2312" w:cs="楷体_GB2312"/>
          <w:kern w:val="0"/>
          <w:sz w:val="24"/>
          <w:szCs w:val="24"/>
        </w:rPr>
        <w:t>具体内容详见“第</w:t>
      </w:r>
      <w:r>
        <w:rPr>
          <w:rFonts w:hint="eastAsia" w:ascii="楷体_GB2312" w:hAnsi="楷体_GB2312" w:eastAsia="楷体_GB2312" w:cs="楷体_GB2312"/>
          <w:kern w:val="0"/>
          <w:sz w:val="24"/>
          <w:szCs w:val="24"/>
        </w:rPr>
        <w:t>三</w:t>
      </w:r>
      <w:r>
        <w:rPr>
          <w:rFonts w:ascii="楷体_GB2312" w:hAnsi="楷体_GB2312" w:eastAsia="楷体_GB2312" w:cs="楷体_GB2312"/>
          <w:kern w:val="0"/>
          <w:sz w:val="24"/>
          <w:szCs w:val="24"/>
        </w:rPr>
        <w:t xml:space="preserve">章 </w:t>
      </w:r>
      <w:r>
        <w:rPr>
          <w:rFonts w:hint="eastAsia" w:ascii="楷体_GB2312" w:hAnsi="楷体_GB2312" w:eastAsia="楷体_GB2312" w:cs="楷体_GB2312"/>
          <w:kern w:val="0"/>
          <w:sz w:val="24"/>
          <w:szCs w:val="24"/>
        </w:rPr>
        <w:t>风险提示及说明</w:t>
      </w:r>
      <w:r>
        <w:rPr>
          <w:rFonts w:ascii="楷体_GB2312" w:hAnsi="楷体_GB2312" w:eastAsia="楷体_GB2312" w:cs="楷体_GB2312"/>
          <w:kern w:val="0"/>
          <w:sz w:val="24"/>
          <w:szCs w:val="24"/>
        </w:rPr>
        <w:t xml:space="preserve"> </w:t>
      </w:r>
      <w:r>
        <w:rPr>
          <w:rFonts w:hint="eastAsia" w:ascii="楷体_GB2312" w:hAnsi="楷体_GB2312" w:eastAsia="楷体_GB2312" w:cs="楷体_GB2312"/>
          <w:kern w:val="0"/>
          <w:sz w:val="24"/>
          <w:szCs w:val="24"/>
        </w:rPr>
        <w:t>七</w:t>
      </w:r>
      <w:r>
        <w:rPr>
          <w:rFonts w:ascii="楷体_GB2312" w:hAnsi="楷体_GB2312" w:eastAsia="楷体_GB2312" w:cs="楷体_GB2312"/>
          <w:kern w:val="0"/>
          <w:sz w:val="24"/>
          <w:szCs w:val="24"/>
        </w:rPr>
        <w:t>、</w:t>
      </w:r>
      <w:r>
        <w:rPr>
          <w:rFonts w:hint="eastAsia" w:ascii="楷体_GB2312" w:hAnsi="楷体_GB2312" w:eastAsia="楷体_GB2312" w:cs="楷体_GB2312"/>
          <w:kern w:val="0"/>
          <w:sz w:val="24"/>
          <w:szCs w:val="24"/>
        </w:rPr>
        <w:t>定向资产支持商业票据相关风险</w:t>
      </w:r>
      <w:r>
        <w:rPr>
          <w:rFonts w:ascii="楷体_GB2312" w:hAnsi="楷体_GB2312" w:eastAsia="楷体_GB2312" w:cs="楷体_GB2312"/>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四、偿付来源</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优先级资产支持商业票据的偿付来源为【基础资产的回收款和后一期优先级资产支持商业票据的募集资金/基础资产的回收款和委托人回购资产的资金/基础资产的回收款和委托人回购资产池的资金/基础资产的回收款和委托人受让信托受益权的资金/基础资产的回收款/（其他）】，详见“第十章 募集资金用途及合法合规性声明 三、偿付来源”。</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五、其他</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default"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rPr>
        <w:t>（一）滚动发行事项授权</w:t>
      </w:r>
      <w:r>
        <w:rPr>
          <w:rFonts w:hint="eastAsia" w:ascii="楷体_GB2312" w:hAnsi="楷体_GB2312" w:eastAsia="楷体_GB2312" w:cs="楷体_GB2312"/>
          <w:b/>
          <w:bCs/>
          <w:kern w:val="0"/>
          <w:sz w:val="24"/>
          <w:szCs w:val="24"/>
          <w:lang w:val="en-US" w:eastAsia="zh-CN"/>
        </w:rPr>
        <w:t>和确认</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ascii="楷体_GB2312" w:hAnsi="楷体_GB2312" w:eastAsia="楷体_GB2312" w:cs="楷体_GB2312"/>
          <w:kern w:val="0"/>
          <w:sz w:val="24"/>
          <w:szCs w:val="24"/>
        </w:rPr>
      </w:pPr>
      <w:r>
        <w:rPr>
          <w:rFonts w:ascii="楷体_GB2312" w:hAnsi="楷体_GB2312" w:eastAsia="楷体_GB2312" w:cs="楷体_GB2312"/>
          <w:b/>
          <w:bCs/>
          <w:color w:val="FF0000"/>
          <w:kern w:val="0"/>
          <w:sz w:val="24"/>
          <w:szCs w:val="24"/>
        </w:rPr>
        <w:t>【信托项下首次发行</w:t>
      </w:r>
      <w:r>
        <w:rPr>
          <w:rFonts w:hint="eastAsia" w:ascii="楷体_GB2312" w:hAnsi="楷体_GB2312" w:eastAsia="楷体_GB2312" w:cs="楷体_GB2312"/>
          <w:b/>
          <w:bCs/>
          <w:color w:val="FF0000"/>
          <w:kern w:val="0"/>
          <w:sz w:val="24"/>
          <w:szCs w:val="24"/>
        </w:rPr>
        <w:t>情形或受让信托受益权后再次发行的情形</w:t>
      </w:r>
      <w:r>
        <w:rPr>
          <w:rFonts w:ascii="楷体_GB2312" w:hAnsi="楷体_GB2312" w:eastAsia="楷体_GB2312" w:cs="楷体_GB2312"/>
          <w:b/>
          <w:bCs/>
          <w:color w:val="FF0000"/>
          <w:kern w:val="0"/>
          <w:sz w:val="24"/>
          <w:szCs w:val="24"/>
        </w:rPr>
        <w:t>】</w:t>
      </w:r>
      <w:r>
        <w:rPr>
          <w:rFonts w:ascii="楷体_GB2312" w:hAnsi="楷体_GB2312" w:eastAsia="楷体_GB2312" w:cs="楷体_GB2312"/>
          <w:kern w:val="0"/>
          <w:sz w:val="24"/>
          <w:szCs w:val="24"/>
        </w:rPr>
        <w:t>凡通过认购、受让等合法手段自愿取得并持有本期资产支持商业票据的定向投资人，</w:t>
      </w:r>
      <w:r>
        <w:rPr>
          <w:rFonts w:hint="eastAsia" w:ascii="楷体_GB2312" w:hAnsi="楷体_GB2312" w:eastAsia="楷体_GB2312" w:cs="楷体_GB2312"/>
          <w:kern w:val="0"/>
          <w:sz w:val="24"/>
          <w:szCs w:val="24"/>
        </w:rPr>
        <w:t>均视为同意并授权可由受托人通过滚动发行方式代为向后一期资产支持商业票据的定向投资人转让其所持有的信托受益权。</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textAlignment w:val="auto"/>
        <w:rPr>
          <w:rFonts w:hint="eastAsia" w:ascii="楷体_GB2312" w:hAnsi="楷体_GB2312" w:eastAsia="楷体_GB2312" w:cs="楷体_GB2312"/>
          <w:sz w:val="24"/>
          <w:szCs w:val="24"/>
        </w:rPr>
      </w:pPr>
      <w:r>
        <w:rPr>
          <w:rFonts w:ascii="楷体_GB2312" w:hAnsi="楷体_GB2312" w:eastAsia="楷体_GB2312" w:cs="楷体_GB2312"/>
          <w:b/>
          <w:bCs/>
          <w:color w:val="FF0000"/>
          <w:sz w:val="24"/>
          <w:szCs w:val="24"/>
        </w:rPr>
        <w:t>【滚动发行</w:t>
      </w:r>
      <w:r>
        <w:rPr>
          <w:rFonts w:hint="eastAsia" w:ascii="楷体_GB2312" w:hAnsi="楷体_GB2312" w:eastAsia="楷体_GB2312" w:cs="楷体_GB2312"/>
          <w:b/>
          <w:bCs/>
          <w:color w:val="FF0000"/>
          <w:sz w:val="24"/>
          <w:szCs w:val="24"/>
        </w:rPr>
        <w:t>的情形</w:t>
      </w:r>
      <w:r>
        <w:rPr>
          <w:rFonts w:ascii="楷体_GB2312" w:hAnsi="楷体_GB2312" w:eastAsia="楷体_GB2312" w:cs="楷体_GB2312"/>
          <w:b/>
          <w:bCs/>
          <w:color w:val="FF0000"/>
          <w:sz w:val="24"/>
          <w:szCs w:val="24"/>
        </w:rPr>
        <w:t>】</w:t>
      </w:r>
      <w:r>
        <w:rPr>
          <w:rFonts w:ascii="楷体_GB2312" w:hAnsi="楷体_GB2312" w:eastAsia="楷体_GB2312" w:cs="楷体_GB2312"/>
          <w:sz w:val="24"/>
          <w:szCs w:val="24"/>
        </w:rPr>
        <w:t>凡认购</w:t>
      </w:r>
      <w:r>
        <w:rPr>
          <w:rFonts w:hint="eastAsia" w:ascii="楷体_GB2312" w:hAnsi="楷体_GB2312" w:eastAsia="楷体_GB2312" w:cs="楷体_GB2312"/>
          <w:sz w:val="24"/>
          <w:szCs w:val="24"/>
        </w:rPr>
        <w:t>本期资产支持商业票据的定向投资人，均视为同意</w:t>
      </w:r>
      <w:r>
        <w:rPr>
          <w:rFonts w:ascii="楷体_GB2312" w:hAnsi="楷体_GB2312" w:eastAsia="楷体_GB2312" w:cs="楷体_GB2312"/>
          <w:sz w:val="24"/>
          <w:szCs w:val="24"/>
        </w:rPr>
        <w:t>受让前一期资产支持商业票据持有人持有的信托受益权</w:t>
      </w:r>
      <w:r>
        <w:rPr>
          <w:rFonts w:hint="eastAsia" w:ascii="楷体_GB2312" w:hAnsi="楷体_GB2312" w:eastAsia="楷体_GB2312" w:cs="楷体_GB2312"/>
          <w:sz w:val="24"/>
          <w:szCs w:val="24"/>
        </w:rPr>
        <w:t>。在完成转让对价支付且前一期资产支持商业票据注销之后，本期资产支持商业票据的定向投资人取得相应的信托受益权。</w:t>
      </w:r>
      <w:r>
        <w:rPr>
          <w:rFonts w:ascii="楷体_GB2312" w:hAnsi="楷体_GB2312" w:eastAsia="楷体_GB2312" w:cs="楷体_GB2312"/>
          <w:sz w:val="24"/>
          <w:szCs w:val="24"/>
        </w:rPr>
        <w:t>凡通过认购、受让等合法手段自愿取得并持有本期资产支持商业票据的定向投资人，</w:t>
      </w:r>
      <w:r>
        <w:rPr>
          <w:rFonts w:hint="eastAsia" w:ascii="楷体_GB2312" w:hAnsi="楷体_GB2312" w:eastAsia="楷体_GB2312" w:cs="楷体_GB2312"/>
          <w:sz w:val="24"/>
          <w:szCs w:val="24"/>
        </w:rPr>
        <w:t>均视为同意并授权可由受托人通过滚动发行方式代为向后一期资产支持商业票据的定向投资人转让其所持有的信托受益权。</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rPr>
        <w:t>投资人进一步确认，其受让对应前一期资产支持商业票据持有人持有的信托受益权之前，应根据发起机构及发行载体管理机构披露的包括本</w:t>
      </w:r>
      <w:r>
        <w:rPr>
          <w:rFonts w:hint="eastAsia" w:ascii="楷体_GB2312" w:hAnsi="楷体_GB2312" w:eastAsia="楷体_GB2312" w:cs="楷体_GB2312"/>
          <w:sz w:val="24"/>
          <w:szCs w:val="24"/>
          <w:lang w:val="en-US" w:eastAsia="zh-CN"/>
        </w:rPr>
        <w:t>定向募集说明</w:t>
      </w:r>
      <w:r>
        <w:rPr>
          <w:rFonts w:hint="eastAsia" w:ascii="楷体_GB2312" w:hAnsi="楷体_GB2312" w:eastAsia="楷体_GB2312" w:cs="楷体_GB2312"/>
          <w:sz w:val="24"/>
          <w:szCs w:val="24"/>
        </w:rPr>
        <w:t>书在内的相关发行文件、资料和信息自行作出投资决策，该等文件、资料及信息不构成前一期资产支持商业票据持有人对其作出的任何陈述、保证或承诺，其不得以信托的效力、信托财产、交易文件、交易结构设计、信息披露等方面存在任何瑕疵、缺陷为由向前一期资产支持商业票据持有人进行追索。为免疑义，本条款不排除或限制</w:t>
      </w: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rPr>
        <w:t>投资人依据中国法律、交易文件或发行文件对委托人或受托人享有的权利。</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（二）持有人会议</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除法律法规另有规定外，持有人会议所审议通过的决议对本期资产支持商业票据全部持有人具有同等效力和约束力。持有人会议设置的表决机制、特别议案及表决比例等内容，详见“第十二章 投资人保护机制 五、定向资产支持商业票据持有人会议机制”。</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（三）投资人保护条款（如有）</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本期资产支持商业票据设置了【</w:t>
      </w:r>
      <w:r>
        <w:rPr>
          <w:rFonts w:hint="eastAsia" w:ascii="楷体_GB2312" w:hAnsi="楷体_GB2312" w:eastAsia="楷体_GB2312" w:cs="楷体_GB2312"/>
          <w:b/>
          <w:bCs/>
          <w:i/>
          <w:iCs/>
          <w:color w:val="FF0000"/>
          <w:kern w:val="0"/>
          <w:sz w:val="24"/>
          <w:szCs w:val="24"/>
          <w:u w:val="single"/>
        </w:rPr>
        <w:t>添加投保条款的类型</w:t>
      </w:r>
      <w:r>
        <w:rPr>
          <w:rFonts w:hint="eastAsia" w:ascii="楷体_GB2312" w:hAnsi="楷体_GB2312" w:eastAsia="楷体_GB2312" w:cs="楷体_GB2312"/>
          <w:kern w:val="0"/>
          <w:sz w:val="24"/>
          <w:szCs w:val="24"/>
        </w:rPr>
        <w:t>】，详见“第十二章 投资人保护机制 四、投资人保护条款”。</w:t>
      </w:r>
    </w:p>
    <w:p>
      <w:pPr>
        <w:pStyle w:val="2"/>
        <w:keepNext w:val="0"/>
        <w:keepLines w:val="0"/>
        <w:pageBreakBefore w:val="0"/>
        <w:widowControl w:val="0"/>
        <w:kinsoku/>
        <w:wordWrap/>
        <w:overflowPunct/>
        <w:topLinePunct w:val="0"/>
        <w:bidi w:val="0"/>
        <w:snapToGrid/>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项目实际情况调整重要提示内容。</w:t>
      </w:r>
    </w:p>
    <w:p>
      <w:pPr>
        <w:pStyle w:val="156"/>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br w:type="page"/>
      </w:r>
    </w:p>
    <w:p>
      <w:pPr>
        <w:pStyle w:val="156"/>
        <w:keepNext w:val="0"/>
        <w:keepLines w:val="0"/>
        <w:pageBreakBefore w:val="0"/>
        <w:widowControl w:val="0"/>
        <w:numPr>
          <w:ilvl w:val="0"/>
          <w:numId w:val="2"/>
        </w:numPr>
        <w:kinsoku/>
        <w:wordWrap/>
        <w:overflowPunct/>
        <w:topLinePunct w:val="0"/>
        <w:autoSpaceDE w:val="0"/>
        <w:autoSpaceDN w:val="0"/>
        <w:bidi w:val="0"/>
        <w:adjustRightInd w:val="0"/>
        <w:snapToGrid/>
        <w:spacing w:before="157" w:beforeLines="50" w:after="156"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123" w:name="_Toc12781"/>
      <w:bookmarkStart w:id="3124" w:name="_Toc15932"/>
      <w:bookmarkStart w:id="3125" w:name="_Toc15982"/>
      <w:bookmarkStart w:id="3126" w:name="_Toc15947"/>
      <w:bookmarkStart w:id="3127" w:name="_Toc14905"/>
      <w:bookmarkStart w:id="3128" w:name="_Toc20076"/>
      <w:bookmarkStart w:id="3129" w:name="_Toc26206"/>
      <w:bookmarkStart w:id="3130" w:name="_Toc16342"/>
      <w:bookmarkStart w:id="3131" w:name="_Toc935"/>
      <w:bookmarkStart w:id="3132" w:name="_Toc19605"/>
      <w:r>
        <w:rPr>
          <w:rFonts w:hint="eastAsia" w:ascii="楷体_GB2312" w:hAnsi="楷体_GB2312" w:eastAsia="楷体_GB2312" w:cs="楷体_GB2312"/>
          <w:b/>
          <w:bCs/>
          <w:kern w:val="0"/>
          <w:sz w:val="30"/>
          <w:szCs w:val="30"/>
        </w:rPr>
        <w:t>释义</w:t>
      </w:r>
      <w:bookmarkEnd w:id="3123"/>
      <w:bookmarkEnd w:id="3124"/>
      <w:bookmarkEnd w:id="3125"/>
      <w:bookmarkEnd w:id="3126"/>
      <w:bookmarkEnd w:id="3127"/>
      <w:bookmarkEnd w:id="3128"/>
      <w:bookmarkEnd w:id="3129"/>
      <w:bookmarkEnd w:id="3130"/>
      <w:bookmarkEnd w:id="3131"/>
      <w:bookmarkEnd w:id="3132"/>
    </w:p>
    <w:p>
      <w:pPr>
        <w:keepNext w:val="0"/>
        <w:keepLines w:val="0"/>
        <w:pageBreakBefore w:val="0"/>
        <w:widowControl w:val="0"/>
        <w:kinsoku/>
        <w:wordWrap/>
        <w:overflowPunct/>
        <w:topLinePunct w:val="0"/>
        <w:autoSpaceDE w:val="0"/>
        <w:autoSpaceDN w:val="0"/>
        <w:bidi w:val="0"/>
        <w:adjustRightInd w:val="0"/>
        <w:snapToGrid/>
        <w:spacing w:before="157" w:beforeLines="50" w:after="156" w:afterLines="50" w:line="240" w:lineRule="atLeast"/>
        <w:ind w:firstLine="480" w:firstLineChars="200"/>
        <w:jc w:val="both"/>
        <w:textAlignment w:val="auto"/>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本募集说明书中，除非文中另有所指，下列词语具有如下含义：</w:t>
      </w:r>
    </w:p>
    <w:p>
      <w:pPr>
        <w:pStyle w:val="2"/>
        <w:keepNext w:val="0"/>
        <w:keepLines w:val="0"/>
        <w:pageBreakBefore w:val="0"/>
        <w:widowControl w:val="0"/>
        <w:kinsoku/>
        <w:wordWrap/>
        <w:overflowPunct/>
        <w:topLinePunct w:val="0"/>
        <w:bidi w:val="0"/>
        <w:snapToGrid/>
        <w:spacing w:before="157" w:beforeLines="50" w:after="156"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《主定义表》“一、定义”的内容。</w:t>
      </w:r>
    </w:p>
    <w:p>
      <w:pPr>
        <w:spacing w:after="156" w:afterLines="50" w:line="300" w:lineRule="auto"/>
        <w:rPr>
          <w:rFonts w:hint="eastAsia" w:ascii="楷体_GB2312" w:hAnsi="楷体_GB2312" w:eastAsia="楷体_GB2312" w:cs="楷体_GB2312"/>
          <w:kern w:val="0"/>
          <w:szCs w:val="21"/>
        </w:rPr>
      </w:pPr>
      <w:r>
        <w:rPr>
          <w:rFonts w:hint="eastAsia" w:ascii="楷体_GB2312" w:hAnsi="楷体_GB2312" w:eastAsia="楷体_GB2312" w:cs="楷体_GB2312"/>
          <w:kern w:val="0"/>
          <w:sz w:val="32"/>
          <w:szCs w:val="32"/>
        </w:rPr>
        <w:br w:type="page"/>
      </w:r>
    </w:p>
    <w:p>
      <w:pPr>
        <w:pStyle w:val="156"/>
        <w:keepNext w:val="0"/>
        <w:keepLines w:val="0"/>
        <w:pageBreakBefore w:val="0"/>
        <w:widowControl w:val="0"/>
        <w:numPr>
          <w:ilvl w:val="0"/>
          <w:numId w:val="2"/>
        </w:numPr>
        <w:kinsoku/>
        <w:wordWrap/>
        <w:overflowPunct/>
        <w:topLinePunct w:val="0"/>
        <w:autoSpaceDE w:val="0"/>
        <w:autoSpaceDN w:val="0"/>
        <w:bidi w:val="0"/>
        <w:adjustRightInd w:val="0"/>
        <w:spacing w:before="157" w:beforeLines="50" w:after="156"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133" w:name="_Toc19723"/>
      <w:bookmarkStart w:id="3134" w:name="_Toc22754"/>
      <w:bookmarkStart w:id="3135" w:name="_Toc16714"/>
      <w:bookmarkStart w:id="3136" w:name="_Toc2123"/>
      <w:bookmarkStart w:id="3137" w:name="_Toc20017"/>
      <w:bookmarkStart w:id="3138" w:name="_Toc1256"/>
      <w:bookmarkStart w:id="3139" w:name="_Toc8264"/>
      <w:bookmarkStart w:id="3140" w:name="_Toc2157"/>
      <w:bookmarkStart w:id="3141" w:name="_Toc28613"/>
      <w:bookmarkStart w:id="3142" w:name="_Toc28656"/>
      <w:bookmarkStart w:id="3143" w:name="_Toc29843"/>
      <w:r>
        <w:rPr>
          <w:rFonts w:hint="eastAsia" w:ascii="楷体_GB2312" w:hAnsi="楷体_GB2312" w:eastAsia="楷体_GB2312" w:cs="楷体_GB2312"/>
          <w:b/>
          <w:bCs/>
          <w:kern w:val="0"/>
          <w:sz w:val="30"/>
          <w:szCs w:val="30"/>
        </w:rPr>
        <w:t>定向资产支持商业票据的基本情况</w:t>
      </w:r>
      <w:r>
        <w:rPr>
          <w:rStyle w:val="48"/>
          <w:rFonts w:hint="eastAsia" w:ascii="楷体_GB2312" w:hAnsi="楷体_GB2312" w:eastAsia="楷体_GB2312" w:cs="楷体_GB2312"/>
          <w:b/>
          <w:bCs/>
          <w:kern w:val="0"/>
          <w:sz w:val="30"/>
          <w:szCs w:val="30"/>
        </w:rPr>
        <w:footnoteReference w:id="41"/>
      </w:r>
      <w:bookmarkEnd w:id="3133"/>
      <w:bookmarkEnd w:id="3134"/>
      <w:bookmarkEnd w:id="3135"/>
      <w:bookmarkEnd w:id="3136"/>
      <w:bookmarkEnd w:id="3137"/>
      <w:bookmarkEnd w:id="3138"/>
      <w:bookmarkEnd w:id="3139"/>
      <w:bookmarkEnd w:id="3140"/>
      <w:bookmarkEnd w:id="3141"/>
      <w:bookmarkEnd w:id="3142"/>
      <w:bookmarkEnd w:id="3143"/>
    </w:p>
    <w:p>
      <w:pPr>
        <w:pStyle w:val="156"/>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本期资产支持商业票据为实名记账式债券，其托管、兑付与交易须按照交易商协会有关自律规则及银行间市场清算所股份有限公司、中国外汇交易中心暨全国银行间同业拆借中心的有关规定执行。</w:t>
      </w:r>
    </w:p>
    <w:p>
      <w:pPr>
        <w:pStyle w:val="156"/>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本期资产支持商业票据应在定向募集说明书约定的合格机构投资人之间流通转让。转让后，持有同期定向资产支持商业票据的定向投资人数量应符合国家法律规定。</w:t>
      </w:r>
    </w:p>
    <w:p>
      <w:pPr>
        <w:pStyle w:val="156"/>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本期资产支持商业票据的发行由主承销商负责组织协调。</w:t>
      </w:r>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144" w:name="_Toc12773"/>
      <w:bookmarkStart w:id="3145" w:name="_Toc17808"/>
      <w:bookmarkStart w:id="3146" w:name="_Toc16775"/>
      <w:bookmarkStart w:id="3147" w:name="_Toc12437"/>
      <w:bookmarkStart w:id="3148" w:name="_Toc13891"/>
      <w:bookmarkStart w:id="3149" w:name="_Toc5597"/>
      <w:bookmarkStart w:id="3150" w:name="_Toc11222"/>
      <w:bookmarkStart w:id="3151" w:name="_Toc32225"/>
      <w:r>
        <w:rPr>
          <w:rFonts w:hint="eastAsia" w:ascii="楷体_GB2312" w:hAnsi="楷体_GB2312" w:eastAsia="楷体_GB2312" w:cs="楷体_GB2312"/>
          <w:b/>
          <w:kern w:val="0"/>
          <w:sz w:val="24"/>
          <w:szCs w:val="24"/>
        </w:rPr>
        <w:t>一、主要发行条款</w:t>
      </w:r>
      <w:bookmarkEnd w:id="3144"/>
      <w:bookmarkEnd w:id="3145"/>
      <w:bookmarkEnd w:id="3146"/>
      <w:bookmarkEnd w:id="3147"/>
      <w:bookmarkEnd w:id="3148"/>
      <w:bookmarkEnd w:id="3149"/>
      <w:bookmarkEnd w:id="3150"/>
      <w:bookmarkEnd w:id="3151"/>
    </w:p>
    <w:p>
      <w:pPr>
        <w:pStyle w:val="176"/>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jc w:val="center"/>
        <w:textAlignment w:val="auto"/>
        <w:rPr>
          <w:rFonts w:hint="eastAsia" w:ascii="楷体_GB2312" w:hAnsi="楷体_GB2312" w:eastAsia="楷体_GB2312" w:cs="楷体_GB2312"/>
          <w:b/>
          <w:snapToGrid w:val="0"/>
        </w:rPr>
      </w:pPr>
      <w:r>
        <w:rPr>
          <w:rFonts w:hint="eastAsia" w:ascii="楷体_GB2312" w:hAnsi="楷体_GB2312" w:eastAsia="楷体_GB2312" w:cs="楷体_GB2312"/>
          <w:b/>
          <w:snapToGrid w:val="0"/>
        </w:rPr>
        <w:t>表2-1：主要发行条款</w:t>
      </w:r>
      <w:r>
        <w:rPr>
          <w:rStyle w:val="48"/>
          <w:rFonts w:hint="eastAsia" w:ascii="楷体_GB2312" w:hAnsi="楷体_GB2312" w:eastAsia="楷体_GB2312" w:cs="楷体_GB2312"/>
          <w:b/>
          <w:snapToGrid w:val="0"/>
        </w:rPr>
        <w:footnoteReference w:id="42"/>
      </w:r>
    </w:p>
    <w:tbl>
      <w:tblPr>
        <w:tblStyle w:val="41"/>
        <w:tblW w:w="8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97"/>
        <w:gridCol w:w="5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定向资产支持商业票据名称</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b/>
                <w:bCs/>
                <w:i/>
                <w:iCs/>
                <w:color w:val="FF0000"/>
                <w:kern w:val="0"/>
                <w:szCs w:val="21"/>
                <w:u w:val="single"/>
              </w:rPr>
              <w:t>发起机构</w:t>
            </w:r>
            <w:r>
              <w:rPr>
                <w:rFonts w:hint="eastAsia" w:ascii="楷体_GB2312" w:hAnsi="楷体_GB2312" w:eastAsia="楷体_GB2312" w:cs="楷体_GB2312"/>
                <w:color w:val="000000"/>
                <w:kern w:val="0"/>
                <w:szCs w:val="21"/>
              </w:rPr>
              <w:t>】公司【  】年度【</w:t>
            </w:r>
            <w:r>
              <w:rPr>
                <w:rFonts w:hint="eastAsia" w:ascii="楷体_GB2312" w:hAnsi="楷体_GB2312" w:eastAsia="楷体_GB2312" w:cs="楷体_GB2312"/>
                <w:b/>
                <w:bCs/>
                <w:i/>
                <w:iCs/>
                <w:color w:val="FF0000"/>
                <w:kern w:val="0"/>
                <w:szCs w:val="21"/>
                <w:u w:val="single"/>
              </w:rPr>
              <w:t>项目标识</w:t>
            </w:r>
            <w:r>
              <w:rPr>
                <w:rFonts w:hint="eastAsia" w:ascii="楷体_GB2312" w:hAnsi="楷体_GB2312" w:eastAsia="楷体_GB2312" w:cs="楷体_GB2312"/>
                <w:color w:val="000000"/>
                <w:kern w:val="0"/>
                <w:szCs w:val="21"/>
              </w:rPr>
              <w:t>】第【</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】期定向资产支持商业票据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信托项下发行期数</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b/>
                <w:bCs/>
                <w:i/>
                <w:iCs/>
                <w:color w:val="FF0000"/>
                <w:kern w:val="0"/>
                <w:szCs w:val="21"/>
                <w:u w:val="single"/>
              </w:rPr>
              <w:t>信托名称</w:t>
            </w:r>
            <w:r>
              <w:rPr>
                <w:rStyle w:val="48"/>
                <w:rFonts w:hint="eastAsia" w:ascii="楷体_GB2312" w:hAnsi="楷体_GB2312" w:eastAsia="楷体_GB2312" w:cs="楷体_GB2312"/>
                <w:b/>
                <w:bCs/>
                <w:i/>
                <w:iCs/>
                <w:color w:val="FF0000"/>
                <w:kern w:val="0"/>
                <w:szCs w:val="21"/>
                <w:u w:val="single"/>
              </w:rPr>
              <w:footnoteReference w:id="43"/>
            </w:r>
            <w:r>
              <w:rPr>
                <w:rFonts w:hint="eastAsia" w:ascii="楷体_GB2312" w:hAnsi="楷体_GB2312" w:eastAsia="楷体_GB2312" w:cs="楷体_GB2312"/>
                <w:color w:val="000000"/>
                <w:kern w:val="0"/>
                <w:szCs w:val="21"/>
              </w:rPr>
              <w:t>】项下第【</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】期发行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发起机构全称</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cs="楷体_GB2312"/>
                <w:color w:val="000000"/>
                <w:kern w:val="0"/>
                <w:szCs w:val="21"/>
              </w:rPr>
            </w:pPr>
            <w:r>
              <w:rPr>
                <w:rFonts w:hint="eastAsia" w:ascii="楷体_GB2312" w:hAnsi="楷体_GB2312" w:eastAsia="楷体_GB2312" w:cs="楷体_GB2312"/>
                <w:color w:val="000000"/>
                <w:kern w:val="0"/>
                <w:szCs w:val="21"/>
              </w:rPr>
              <w:t>待偿还债务融资余额</w:t>
            </w:r>
            <w:r>
              <w:rPr>
                <w:rStyle w:val="48"/>
                <w:szCs w:val="21"/>
              </w:rPr>
              <w:footnoteReference w:id="44"/>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债务融资工具【  】亿元，公司债【  】亿元，企业债【  】亿元，ABN【  】亿元，ABS【  】亿元。（如有）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注册通知书文号</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中市协注〔  〕ABN【  】号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基础资产类型</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应收账款债权/租赁债权/（其他）</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注册金额</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】亿元人民币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本期定向发行金额</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】亿元人民币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面值</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牵头主承销商</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联席主承销商（如有）</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簿记管理人</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发行对象</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专项机构投资人和经遴选的特定机构投资人（如有）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发行方式</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优先级资产支持商业票据由主承销商组织承销团，通过集中簿记建档、集中配售的方式在银行间市场定向发行。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承销方式</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优先级资产支持商业票据余额包销/（其他）</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缴款日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起息日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债权登记日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信托法定到期日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年度计息天数</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发行载体管理机构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资产服务机构（如有）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资金监管机构（如有）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资金保管机构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信用评级机构（如有）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信用增级主体及增信措施（如有）</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XX</w:t>
            </w:r>
            <w:r>
              <w:rPr>
                <w:rFonts w:hint="eastAsia" w:ascii="楷体_GB2312" w:hAnsi="楷体_GB2312" w:eastAsia="楷体_GB2312" w:cs="楷体_GB2312"/>
                <w:kern w:val="0"/>
                <w:szCs w:val="21"/>
                <w:u w:val="single"/>
              </w:rPr>
              <w:t>公司作为差额支付承诺人/（其他）</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现金流预测机构（如有）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资产评估机构（如有）</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律师事务所</w:t>
            </w:r>
          </w:p>
        </w:tc>
        <w:tc>
          <w:tcPr>
            <w:tcW w:w="5582"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会计师事务所</w:t>
            </w:r>
            <w:r>
              <w:rPr>
                <w:rStyle w:val="48"/>
                <w:rFonts w:hint="eastAsia" w:ascii="楷体_GB2312" w:hAnsi="楷体_GB2312" w:eastAsia="楷体_GB2312" w:cs="楷体_GB2312"/>
                <w:color w:val="000000"/>
                <w:kern w:val="0"/>
                <w:szCs w:val="21"/>
              </w:rPr>
              <w:footnoteReference w:id="45"/>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登记托管机构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银行间市场清算所股份有限公司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存续期管理机构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bl>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152" w:name="_Toc22022"/>
      <w:bookmarkStart w:id="3153" w:name="_Toc21772"/>
      <w:bookmarkStart w:id="3154" w:name="_Toc19130"/>
      <w:bookmarkStart w:id="3155" w:name="_Toc30537"/>
      <w:bookmarkStart w:id="3156" w:name="_Toc8828"/>
      <w:bookmarkStart w:id="3157" w:name="_Toc26627"/>
      <w:bookmarkStart w:id="3158" w:name="_Toc20262"/>
      <w:bookmarkStart w:id="3159" w:name="_Toc5471"/>
      <w:bookmarkStart w:id="3160" w:name="_Toc6647"/>
      <w:r>
        <w:rPr>
          <w:rFonts w:hint="eastAsia" w:ascii="楷体_GB2312" w:hAnsi="楷体_GB2312" w:eastAsia="楷体_GB2312" w:cs="楷体_GB2312"/>
          <w:b/>
          <w:kern w:val="0"/>
          <w:sz w:val="24"/>
          <w:szCs w:val="24"/>
        </w:rPr>
        <w:t>二、定向资产支持商业票据分层情况</w:t>
      </w:r>
      <w:bookmarkEnd w:id="3152"/>
      <w:bookmarkEnd w:id="3153"/>
      <w:bookmarkEnd w:id="3154"/>
      <w:bookmarkEnd w:id="3155"/>
      <w:bookmarkEnd w:id="3156"/>
      <w:bookmarkEnd w:id="3157"/>
      <w:bookmarkEnd w:id="3158"/>
      <w:bookmarkEnd w:id="3159"/>
      <w:bookmarkEnd w:id="3160"/>
    </w:p>
    <w:p>
      <w:pPr>
        <w:pStyle w:val="176"/>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jc w:val="center"/>
        <w:textAlignment w:val="auto"/>
        <w:rPr>
          <w:rFonts w:hint="eastAsia" w:ascii="楷体_GB2312" w:hAnsi="楷体_GB2312" w:eastAsia="楷体_GB2312" w:cs="楷体_GB2312"/>
          <w:b/>
          <w:snapToGrid w:val="0"/>
        </w:rPr>
      </w:pPr>
      <w:r>
        <w:rPr>
          <w:rFonts w:hint="eastAsia" w:ascii="楷体_GB2312" w:hAnsi="楷体_GB2312" w:eastAsia="楷体_GB2312" w:cs="楷体_GB2312"/>
          <w:b/>
          <w:snapToGrid w:val="0"/>
        </w:rPr>
        <w:t>表2-2：定向资产支持商业票据分层情况</w:t>
      </w:r>
    </w:p>
    <w:tbl>
      <w:tblPr>
        <w:tblStyle w:val="41"/>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2948"/>
        <w:gridCol w:w="29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各档名称</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优先级资产支持商业票据</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次级资产支持商业票据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24"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是否本期发行</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本期发行/存续</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本期发行/存续</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金额（亿元）</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占比（%）</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期限</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支付日</w:t>
            </w:r>
            <w:r>
              <w:rPr>
                <w:rStyle w:val="48"/>
                <w:rFonts w:hint="eastAsia" w:ascii="楷体_GB2312" w:hAnsi="楷体_GB2312" w:eastAsia="楷体_GB2312" w:cs="楷体_GB2312"/>
                <w:color w:val="000000"/>
                <w:kern w:val="0"/>
                <w:szCs w:val="21"/>
              </w:rPr>
              <w:footnoteReference w:id="46"/>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bCs/>
                <w:color w:val="000000"/>
                <w:kern w:val="0"/>
                <w:szCs w:val="21"/>
              </w:rPr>
              <w:t>【</w:t>
            </w:r>
            <w:r>
              <w:rPr>
                <w:rFonts w:hint="eastAsia" w:ascii="楷体_GB2312" w:hAnsi="楷体_GB2312" w:eastAsia="楷体_GB2312" w:cs="楷体_GB2312"/>
                <w:bCs/>
                <w:color w:val="000000"/>
                <w:kern w:val="0"/>
                <w:szCs w:val="21"/>
                <w:u w:val="single"/>
              </w:rPr>
              <w:t>预期到期日/到期日</w:t>
            </w:r>
            <w:r>
              <w:rPr>
                <w:rFonts w:hint="eastAsia" w:ascii="楷体_GB2312" w:hAnsi="楷体_GB2312" w:eastAsia="楷体_GB2312" w:cs="楷体_GB2312"/>
                <w:bCs/>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还本付息方式</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评级（如有）</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rPr>
              <w:t xml:space="preserve">  </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利率类型</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固定利率</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定价方式</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优先级资产支持商业票据票面利率由集中簿记建档结果确定</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次级资产支持商业票据无票面利率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发行对象</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专项机构投资人和经遴选的特定机构投资人（如有）</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发起机构拟自持次级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流通范围：</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专项机构投资人和经遴选的特定机构投资人（如有）</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除非根据生效判决或裁定，或发行载体管理机构事先的书面同意，发起机构以风险自留为目的认购的次级资产支持商业票据不得交易转让。</w:t>
            </w:r>
          </w:p>
        </w:tc>
      </w:tr>
    </w:tbl>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ascii="楷体_GB2312" w:hAnsi="楷体_GB2312" w:eastAsia="楷体_GB2312" w:cs="楷体_GB2312"/>
          <w:b/>
          <w:kern w:val="0"/>
          <w:sz w:val="24"/>
          <w:szCs w:val="24"/>
        </w:rPr>
      </w:pPr>
      <w:bookmarkStart w:id="3161" w:name="_Toc15492"/>
      <w:bookmarkStart w:id="3162" w:name="_Toc22241"/>
      <w:bookmarkStart w:id="3163" w:name="_Toc337"/>
      <w:bookmarkStart w:id="3164" w:name="_Toc15237"/>
      <w:bookmarkStart w:id="3165" w:name="_Toc32511"/>
      <w:bookmarkStart w:id="3166" w:name="_Toc23616"/>
      <w:bookmarkStart w:id="3167" w:name="_Toc5870"/>
      <w:bookmarkStart w:id="3168" w:name="_Toc28364"/>
      <w:bookmarkStart w:id="3169" w:name="_Toc9289"/>
      <w:r>
        <w:rPr>
          <w:rFonts w:hint="eastAsia" w:ascii="楷体_GB2312" w:hAnsi="楷体_GB2312" w:eastAsia="楷体_GB2312" w:cs="楷体_GB2312"/>
          <w:b/>
          <w:kern w:val="0"/>
          <w:sz w:val="24"/>
          <w:szCs w:val="24"/>
        </w:rPr>
        <w:t>三、发行安排</w:t>
      </w:r>
      <w:bookmarkEnd w:id="3161"/>
      <w:bookmarkEnd w:id="3162"/>
      <w:bookmarkEnd w:id="3163"/>
      <w:bookmarkEnd w:id="3164"/>
      <w:bookmarkEnd w:id="3165"/>
      <w:bookmarkEnd w:id="3166"/>
      <w:bookmarkEnd w:id="3167"/>
      <w:bookmarkEnd w:id="3168"/>
      <w:bookmarkEnd w:id="3169"/>
    </w:p>
    <w:p>
      <w:pPr>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（一）集中簿记建档安排</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1、本期资产支持商业票据簿记管理人为【</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】，本期资产支持商业票据承销商须在【  】年【  】月【  】日【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】至【  】年【  】月【  】日【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】，通过集中簿记建档系统向簿记管理人提交《【</w:t>
      </w:r>
      <w:r>
        <w:rPr>
          <w:rFonts w:hint="eastAsia" w:ascii="楷体_GB2312" w:hAnsi="楷体_GB2312" w:eastAsia="楷体_GB2312" w:cs="楷体_GB2312"/>
          <w:b/>
          <w:bCs/>
          <w:i/>
          <w:iCs/>
          <w:color w:val="FF0000"/>
          <w:kern w:val="0"/>
          <w:sz w:val="24"/>
          <w:szCs w:val="24"/>
          <w:u w:val="single"/>
        </w:rPr>
        <w:t>定向资产支持商业票据名称</w:t>
      </w:r>
      <w:r>
        <w:rPr>
          <w:rFonts w:hint="eastAsia" w:ascii="楷体_GB2312" w:hAnsi="楷体_GB2312" w:eastAsia="楷体_GB2312" w:cs="楷体_GB2312"/>
          <w:kern w:val="0"/>
          <w:sz w:val="24"/>
          <w:szCs w:val="24"/>
        </w:rPr>
        <w:t>】申购要约》（以下简称《申购要约》），申购时间以在集中簿记建档系统中将《申购要约》提交至簿记管理人的时间为准。</w:t>
      </w:r>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2、承销商申购金额的下限为【  】万元（含【  】万元），申购金额超过【  】万元的必须是【  】万元的整数倍。</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3、本期资产支持商业票据发行过程中存在延长簿记建档时间的可能。簿记管理人承诺延长前会预先进行充分披露，每次延长时间不低于1小时，且延长后的簿记截止时间不晚于簿记截止日【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】。特殊情况下，延长后的簿记截止时间不晚于簿记截止日次一工作日【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】。（如有）</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（二）分销安排</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snapToGrid w:val="0"/>
          <w:kern w:val="0"/>
          <w:sz w:val="24"/>
          <w:szCs w:val="24"/>
        </w:rPr>
        <w:t>1、分销期：</w:t>
      </w:r>
      <w:r>
        <w:rPr>
          <w:rFonts w:hint="eastAsia" w:ascii="楷体_GB2312" w:hAnsi="楷体_GB2312" w:eastAsia="楷体_GB2312" w:cs="楷体_GB2312"/>
          <w:kern w:val="0"/>
          <w:sz w:val="24"/>
          <w:szCs w:val="24"/>
        </w:rPr>
        <w:t>【  】年【  】月【  】日-【  】年【  】月【  】日。</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kern w:val="0"/>
          <w:sz w:val="24"/>
          <w:szCs w:val="24"/>
        </w:rPr>
        <w:t>2、认购本期优先级资产支持商业票据的投资人为专项机构投资人和经遴选的特定机构投资人（如有），且应已在上海清算所开立持有人账户。</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（三）缴款和结算安排</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1、缴款时间：【  】年【  】月【  】日【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2、簿记管理人将在【  】年【  】月【  】日通过集中簿记建档系统发送《【</w:t>
      </w:r>
      <w:r>
        <w:rPr>
          <w:rFonts w:hint="eastAsia" w:ascii="楷体_GB2312" w:hAnsi="楷体_GB2312" w:eastAsia="楷体_GB2312" w:cs="楷体_GB2312"/>
          <w:b/>
          <w:bCs/>
          <w:i/>
          <w:iCs/>
          <w:color w:val="FF0000"/>
          <w:kern w:val="0"/>
          <w:sz w:val="24"/>
          <w:szCs w:val="24"/>
          <w:u w:val="single"/>
        </w:rPr>
        <w:t>定向资产支持商业票据名称</w:t>
      </w:r>
      <w:r>
        <w:rPr>
          <w:rFonts w:hint="eastAsia" w:ascii="楷体_GB2312" w:hAnsi="楷体_GB2312" w:eastAsia="楷体_GB2312" w:cs="楷体_GB2312"/>
          <w:kern w:val="0"/>
          <w:sz w:val="24"/>
          <w:szCs w:val="24"/>
        </w:rPr>
        <w:t>】配售确认及缴款通知书》（以下简称《缴款通知书》），通知每个承销团成员获配的定向资产支持商业票据面额和需缴纳的认购款金额、付款日期、划款账户等。</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3、合格的承销商应于缴款日【</w:t>
      </w:r>
      <w:r>
        <w:rPr>
          <w:rFonts w:hint="eastAsia" w:ascii="楷体_GB2312" w:hAnsi="楷体_GB2312" w:eastAsia="楷体_GB2312" w:cs="楷体_GB2312"/>
          <w:b/>
          <w:bCs/>
          <w:i/>
          <w:iCs/>
          <w:color w:val="FF0000"/>
          <w:kern w:val="0"/>
          <w:sz w:val="24"/>
          <w:szCs w:val="24"/>
          <w:u w:val="single"/>
        </w:rPr>
        <w:t>时间截点</w:t>
      </w:r>
      <w:r>
        <w:rPr>
          <w:rFonts w:hint="eastAsia" w:ascii="楷体_GB2312" w:hAnsi="楷体_GB2312" w:eastAsia="楷体_GB2312" w:cs="楷体_GB2312"/>
          <w:kern w:val="0"/>
          <w:sz w:val="24"/>
          <w:szCs w:val="24"/>
        </w:rPr>
        <w:t>】，将按簿记管理人的《缴款通知书》中明确的承销额对应的募集款项划至以下指定账户：</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户名：【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开户行：【</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账号：【  】</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中国人民银行支付系统行号：【  】</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附言：（如有）</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如合格的承销商不能按期足额缴款，则按照中国银行间市场交易商协会的相关规定和《承销协议》《承销团协议》（如有）的有关条款办理。</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（四）登记托管安排</w:t>
      </w:r>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以实名记账方式发行，在上海清算所进行登记托管。上海清算所为本期资产支持商业票据的法定债权登记人，在发行结束后负责对本期资产支持商业票据进行债权管理，权益监护和代理付息兑付，并负责向投资人提供有关信息服务。</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（五）上市流通安排</w:t>
      </w:r>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本期优先级资产支持商业票据在【  】年【  】月【  】日，即可以在全国银行间债券市场流通转让。按照全国银行间同业拆借中心颁布的相关规定进行。</w:t>
      </w:r>
      <w:r>
        <w:rPr>
          <w:rFonts w:hint="eastAsia" w:ascii="楷体_GB2312" w:hAnsi="楷体_GB2312" w:eastAsia="楷体_GB2312" w:cs="楷体_GB2312"/>
          <w:kern w:val="0"/>
          <w:sz w:val="24"/>
          <w:szCs w:val="24"/>
        </w:rPr>
        <w:br w:type="page"/>
      </w:r>
    </w:p>
    <w:p>
      <w:pPr>
        <w:pStyle w:val="156"/>
        <w:keepNext w:val="0"/>
        <w:keepLines w:val="0"/>
        <w:pageBreakBefore w:val="0"/>
        <w:widowControl w:val="0"/>
        <w:numPr>
          <w:ilvl w:val="0"/>
          <w:numId w:val="2"/>
        </w:numPr>
        <w:kinsoku/>
        <w:wordWrap/>
        <w:overflowPunct/>
        <w:topLinePunct w:val="0"/>
        <w:autoSpaceDE w:val="0"/>
        <w:autoSpaceDN w:val="0"/>
        <w:bidi w:val="0"/>
        <w:adjustRightInd w:val="0"/>
        <w:spacing w:before="157" w:beforeLines="50" w:after="156"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170" w:name="_Toc9462"/>
      <w:bookmarkStart w:id="3171" w:name="_Toc31668"/>
      <w:bookmarkStart w:id="3172" w:name="_Toc10652"/>
      <w:bookmarkStart w:id="3173" w:name="_Toc14264"/>
      <w:bookmarkStart w:id="3174" w:name="_Toc22972"/>
      <w:bookmarkStart w:id="3175" w:name="_Toc24805"/>
      <w:bookmarkStart w:id="3176" w:name="_Toc18494"/>
      <w:bookmarkStart w:id="3177" w:name="_Toc23090"/>
      <w:bookmarkStart w:id="3178" w:name="_Toc32679"/>
      <w:bookmarkStart w:id="3179" w:name="_Toc29484"/>
      <w:r>
        <w:rPr>
          <w:rFonts w:hint="eastAsia" w:ascii="楷体_GB2312" w:hAnsi="楷体_GB2312" w:eastAsia="楷体_GB2312" w:cs="楷体_GB2312"/>
          <w:b/>
          <w:bCs/>
          <w:kern w:val="0"/>
          <w:sz w:val="30"/>
          <w:szCs w:val="30"/>
        </w:rPr>
        <w:t>风险提示及说明</w:t>
      </w:r>
      <w:bookmarkEnd w:id="3170"/>
      <w:bookmarkEnd w:id="3171"/>
      <w:bookmarkEnd w:id="3172"/>
      <w:bookmarkEnd w:id="3173"/>
      <w:bookmarkEnd w:id="3174"/>
      <w:bookmarkEnd w:id="3175"/>
      <w:bookmarkEnd w:id="3176"/>
      <w:bookmarkEnd w:id="3177"/>
      <w:bookmarkEnd w:id="3178"/>
      <w:bookmarkEnd w:id="3179"/>
    </w:p>
    <w:p>
      <w:pPr>
        <w:keepNext w:val="0"/>
        <w:keepLines w:val="0"/>
        <w:pageBreakBefore w:val="0"/>
        <w:widowControl w:val="0"/>
        <w:kinsoku/>
        <w:wordWrap/>
        <w:overflowPunct/>
        <w:topLinePunct w:val="0"/>
        <w:bidi w:val="0"/>
        <w:spacing w:before="157" w:beforeLines="50" w:after="156"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投资人在评价和认购本期资产支持商业票据时，应特别认真地考虑下列各种风险因素：</w:t>
      </w:r>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180" w:name="_Toc3319"/>
      <w:bookmarkStart w:id="3181" w:name="_Toc18177"/>
      <w:bookmarkStart w:id="3182" w:name="_Toc4625"/>
      <w:bookmarkStart w:id="3183" w:name="_Toc1306"/>
      <w:bookmarkStart w:id="3184" w:name="_Toc8483"/>
      <w:bookmarkStart w:id="3185" w:name="_Toc4651"/>
      <w:bookmarkStart w:id="3186" w:name="_Toc23856"/>
      <w:bookmarkStart w:id="3187" w:name="_Toc32452"/>
      <w:bookmarkStart w:id="3188" w:name="_Toc30381"/>
      <w:r>
        <w:rPr>
          <w:rFonts w:hint="eastAsia" w:ascii="楷体_GB2312" w:hAnsi="楷体_GB2312" w:eastAsia="楷体_GB2312" w:cs="楷体_GB2312"/>
          <w:b/>
          <w:kern w:val="0"/>
          <w:sz w:val="24"/>
          <w:szCs w:val="24"/>
        </w:rPr>
        <w:t>一、投资风险</w:t>
      </w:r>
      <w:bookmarkEnd w:id="3180"/>
      <w:bookmarkEnd w:id="3181"/>
      <w:bookmarkEnd w:id="3182"/>
      <w:bookmarkEnd w:id="3183"/>
      <w:bookmarkEnd w:id="3184"/>
      <w:bookmarkEnd w:id="3185"/>
      <w:bookmarkEnd w:id="3186"/>
      <w:bookmarkEnd w:id="3187"/>
      <w:bookmarkEnd w:id="3188"/>
    </w:p>
    <w:p>
      <w:pPr>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（一）利率风险</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（二）流动性风险</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6"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（三）偿付风险</w:t>
      </w:r>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189" w:name="_Toc417"/>
      <w:bookmarkStart w:id="3190" w:name="_Toc14121"/>
      <w:bookmarkStart w:id="3191" w:name="_Toc7510"/>
      <w:bookmarkStart w:id="3192" w:name="_Toc4126"/>
      <w:bookmarkStart w:id="3193" w:name="_Toc14942"/>
      <w:bookmarkStart w:id="3194" w:name="_Toc24327"/>
      <w:bookmarkStart w:id="3195" w:name="_Toc27605"/>
      <w:bookmarkStart w:id="3196" w:name="_Toc21485"/>
      <w:bookmarkStart w:id="3197" w:name="_Toc5719"/>
      <w:r>
        <w:rPr>
          <w:rFonts w:hint="eastAsia" w:ascii="楷体_GB2312" w:hAnsi="楷体_GB2312" w:eastAsia="楷体_GB2312" w:cs="楷体_GB2312"/>
          <w:b/>
          <w:kern w:val="0"/>
          <w:sz w:val="24"/>
          <w:szCs w:val="24"/>
        </w:rPr>
        <w:t>二、基础资产相关风险</w:t>
      </w:r>
      <w:bookmarkEnd w:id="3189"/>
      <w:bookmarkEnd w:id="3190"/>
      <w:bookmarkEnd w:id="3191"/>
      <w:bookmarkEnd w:id="3192"/>
      <w:bookmarkEnd w:id="3193"/>
      <w:bookmarkEnd w:id="3194"/>
      <w:bookmarkEnd w:id="3195"/>
      <w:bookmarkEnd w:id="3196"/>
      <w:bookmarkEnd w:id="3197"/>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198" w:name="_Toc16301"/>
      <w:bookmarkStart w:id="3199" w:name="_Toc31739"/>
      <w:bookmarkStart w:id="3200" w:name="_Toc9085"/>
      <w:bookmarkStart w:id="3201" w:name="_Toc25277"/>
      <w:bookmarkStart w:id="3202" w:name="_Toc1476"/>
      <w:bookmarkStart w:id="3203" w:name="_Toc13010"/>
      <w:bookmarkStart w:id="3204" w:name="_Toc28168"/>
      <w:bookmarkStart w:id="3205" w:name="_Toc22582"/>
      <w:r>
        <w:rPr>
          <w:rFonts w:hint="eastAsia" w:ascii="楷体_GB2312" w:hAnsi="楷体_GB2312" w:eastAsia="楷体_GB2312" w:cs="楷体_GB2312"/>
          <w:b/>
          <w:kern w:val="0"/>
          <w:sz w:val="24"/>
          <w:szCs w:val="24"/>
        </w:rPr>
        <w:t>三、交易结构相关风险</w:t>
      </w:r>
      <w:bookmarkEnd w:id="3198"/>
      <w:bookmarkEnd w:id="3199"/>
      <w:bookmarkEnd w:id="3200"/>
      <w:bookmarkEnd w:id="3201"/>
      <w:bookmarkEnd w:id="3202"/>
      <w:bookmarkEnd w:id="3203"/>
      <w:bookmarkEnd w:id="3204"/>
      <w:bookmarkEnd w:id="3205"/>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206" w:name="_Toc3775"/>
      <w:bookmarkStart w:id="3207" w:name="_Toc25967"/>
      <w:bookmarkStart w:id="3208" w:name="_Toc15877"/>
      <w:bookmarkStart w:id="3209" w:name="_Toc15970"/>
      <w:bookmarkStart w:id="3210" w:name="_Toc24940"/>
      <w:bookmarkStart w:id="3211" w:name="_Toc2051"/>
      <w:bookmarkStart w:id="3212" w:name="_Toc14251"/>
      <w:bookmarkStart w:id="3213" w:name="_Toc19832"/>
      <w:r>
        <w:rPr>
          <w:rFonts w:hint="eastAsia" w:ascii="楷体_GB2312" w:hAnsi="楷体_GB2312" w:eastAsia="楷体_GB2312" w:cs="楷体_GB2312"/>
          <w:b/>
          <w:kern w:val="0"/>
          <w:sz w:val="24"/>
          <w:szCs w:val="24"/>
        </w:rPr>
        <w:t>四、发起机构相关风险</w:t>
      </w:r>
      <w:bookmarkEnd w:id="3206"/>
      <w:bookmarkEnd w:id="3207"/>
      <w:bookmarkEnd w:id="3208"/>
      <w:bookmarkEnd w:id="3209"/>
      <w:bookmarkEnd w:id="3210"/>
      <w:bookmarkEnd w:id="3211"/>
      <w:bookmarkEnd w:id="3212"/>
      <w:bookmarkEnd w:id="3213"/>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214" w:name="_Toc4176"/>
      <w:bookmarkStart w:id="3215" w:name="_Toc27643"/>
      <w:bookmarkStart w:id="3216" w:name="_Toc32188"/>
      <w:bookmarkStart w:id="3217" w:name="_Toc26866"/>
      <w:bookmarkStart w:id="3218" w:name="_Toc31245"/>
      <w:bookmarkStart w:id="3219" w:name="_Toc17946"/>
      <w:bookmarkStart w:id="3220" w:name="_Toc22513"/>
      <w:bookmarkStart w:id="3221" w:name="_Toc19132"/>
      <w:bookmarkStart w:id="3222" w:name="_Toc25194"/>
      <w:r>
        <w:rPr>
          <w:rFonts w:hint="eastAsia" w:ascii="楷体_GB2312" w:hAnsi="楷体_GB2312" w:eastAsia="楷体_GB2312" w:cs="楷体_GB2312"/>
          <w:b/>
          <w:kern w:val="0"/>
          <w:sz w:val="24"/>
          <w:szCs w:val="24"/>
        </w:rPr>
        <w:t>五、信用增级机构相关风险（如有）</w:t>
      </w:r>
      <w:bookmarkEnd w:id="3214"/>
      <w:bookmarkEnd w:id="3215"/>
      <w:bookmarkEnd w:id="3216"/>
      <w:bookmarkEnd w:id="3217"/>
      <w:bookmarkEnd w:id="3218"/>
      <w:bookmarkEnd w:id="3219"/>
      <w:bookmarkEnd w:id="3220"/>
      <w:bookmarkEnd w:id="3221"/>
      <w:bookmarkEnd w:id="3222"/>
    </w:p>
    <w:p>
      <w:pPr>
        <w:keepNext w:val="0"/>
        <w:keepLines w:val="0"/>
        <w:pageBreakBefore w:val="0"/>
        <w:widowControl w:val="0"/>
        <w:tabs>
          <w:tab w:val="left" w:pos="6811"/>
        </w:tabs>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ascii="楷体_GB2312" w:hAnsi="楷体_GB2312" w:eastAsia="楷体_GB2312" w:cs="楷体_GB2312"/>
          <w:b/>
          <w:kern w:val="0"/>
          <w:sz w:val="24"/>
          <w:szCs w:val="24"/>
        </w:rPr>
      </w:pPr>
      <w:bookmarkStart w:id="3223" w:name="_Toc29087"/>
      <w:bookmarkStart w:id="3224" w:name="_Toc9894"/>
      <w:bookmarkStart w:id="3225" w:name="_Toc15723"/>
      <w:bookmarkStart w:id="3226" w:name="_Toc8325"/>
      <w:bookmarkStart w:id="3227" w:name="_Toc12465"/>
      <w:bookmarkStart w:id="3228" w:name="_Toc23418"/>
      <w:bookmarkStart w:id="3229" w:name="_Toc21822"/>
      <w:bookmarkStart w:id="3230" w:name="_Toc16896"/>
      <w:r>
        <w:rPr>
          <w:rFonts w:hint="eastAsia" w:ascii="楷体_GB2312" w:hAnsi="楷体_GB2312" w:eastAsia="楷体_GB2312" w:cs="楷体_GB2312"/>
          <w:b/>
          <w:kern w:val="0"/>
          <w:sz w:val="24"/>
          <w:szCs w:val="24"/>
        </w:rPr>
        <w:t>六、中介机构相关风险</w:t>
      </w:r>
      <w:bookmarkEnd w:id="3223"/>
      <w:bookmarkEnd w:id="3224"/>
      <w:bookmarkEnd w:id="3225"/>
      <w:bookmarkEnd w:id="3226"/>
      <w:bookmarkEnd w:id="3227"/>
      <w:bookmarkEnd w:id="3228"/>
      <w:bookmarkEnd w:id="3229"/>
      <w:bookmarkEnd w:id="3230"/>
      <w:r>
        <w:rPr>
          <w:rFonts w:hint="eastAsia" w:ascii="楷体_GB2312" w:hAnsi="楷体_GB2312" w:eastAsia="楷体_GB2312" w:cs="楷体_GB2312"/>
          <w:b/>
          <w:kern w:val="0"/>
          <w:sz w:val="24"/>
          <w:szCs w:val="24"/>
        </w:rPr>
        <w:tab/>
      </w:r>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231" w:name="_Toc11924"/>
      <w:bookmarkStart w:id="3232" w:name="_Toc22964"/>
      <w:bookmarkStart w:id="3233" w:name="_Toc16962"/>
      <w:bookmarkStart w:id="3234" w:name="_Toc4323"/>
      <w:bookmarkStart w:id="3235" w:name="_Toc12268"/>
      <w:bookmarkStart w:id="3236" w:name="_Toc10796"/>
      <w:bookmarkStart w:id="3237" w:name="_Toc20310"/>
      <w:r>
        <w:rPr>
          <w:rFonts w:hint="eastAsia" w:ascii="楷体_GB2312" w:hAnsi="楷体_GB2312" w:eastAsia="楷体_GB2312" w:cs="楷体_GB2312"/>
          <w:b/>
          <w:kern w:val="0"/>
          <w:sz w:val="24"/>
          <w:szCs w:val="24"/>
        </w:rPr>
        <w:t>七、定向资产支持商业票据相关风险</w:t>
      </w:r>
      <w:bookmarkEnd w:id="3231"/>
      <w:bookmarkEnd w:id="3232"/>
      <w:bookmarkEnd w:id="3233"/>
      <w:bookmarkEnd w:id="3234"/>
      <w:bookmarkEnd w:id="3235"/>
      <w:bookmarkEnd w:id="3236"/>
      <w:bookmarkEnd w:id="3237"/>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（一）滚动发行失败风险</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（二）滚动</w:t>
      </w:r>
      <w:r>
        <w:rPr>
          <w:rFonts w:ascii="楷体_GB2312" w:hAnsi="楷体_GB2312" w:eastAsia="楷体_GB2312" w:cs="楷体_GB2312"/>
          <w:b/>
          <w:bCs/>
          <w:snapToGrid w:val="0"/>
          <w:sz w:val="24"/>
          <w:szCs w:val="24"/>
        </w:rPr>
        <w:t>发行利率上升导致基础资产现金流覆盖倍数不及预测值的风险</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（三）滚动发行的定向资产支持商业票据缴款后无法立即起息风险（如有）</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（四）追加交付资产质量下降风险（如有）</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（五）委托人未按约定支付信托受益权转让对价的风险（如有）</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（六）委托人未按约定支付回购资产对价的风险（如有）</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rPr>
        <w:t>指委托人选择进行回购的情形。</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（七）委托人未按约定支付回购资产池对价的风险（如有）</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rPr>
        <w:t>指委托人因中止滚动发行而产生回购义务的情形。</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hint="eastAsia" w:ascii="楷体_GB2312" w:hAnsi="楷体_GB2312" w:eastAsia="楷体_GB2312" w:cs="楷体_GB2312"/>
          <w:b/>
          <w:bCs/>
          <w:snapToGrid w:val="0"/>
          <w:sz w:val="24"/>
          <w:szCs w:val="24"/>
        </w:rPr>
      </w:pPr>
      <w:r>
        <w:rPr>
          <w:rFonts w:hint="eastAsia" w:ascii="楷体_GB2312" w:hAnsi="楷体_GB2312" w:eastAsia="楷体_GB2312" w:cs="楷体_GB2312"/>
          <w:b/>
          <w:bCs/>
          <w:snapToGrid w:val="0"/>
          <w:sz w:val="24"/>
          <w:szCs w:val="24"/>
        </w:rPr>
        <w:t>（八）差额支付承诺人未按约定履行滚动发行差额</w:t>
      </w:r>
      <w:r>
        <w:rPr>
          <w:rFonts w:hint="eastAsia" w:ascii="楷体_GB2312" w:hAnsi="楷体_GB2312" w:eastAsia="楷体_GB2312" w:cs="楷体_GB2312"/>
          <w:b/>
          <w:bCs/>
          <w:snapToGrid w:val="0"/>
          <w:sz w:val="24"/>
          <w:szCs w:val="24"/>
          <w:lang w:val="en-US" w:eastAsia="zh-CN"/>
        </w:rPr>
        <w:t>支付</w:t>
      </w:r>
      <w:r>
        <w:rPr>
          <w:rFonts w:hint="eastAsia" w:ascii="楷体_GB2312" w:hAnsi="楷体_GB2312" w:eastAsia="楷体_GB2312" w:cs="楷体_GB2312"/>
          <w:b/>
          <w:bCs/>
          <w:snapToGrid w:val="0"/>
          <w:sz w:val="24"/>
          <w:szCs w:val="24"/>
        </w:rPr>
        <w:t>义务的风险（如有）</w:t>
      </w:r>
    </w:p>
    <w:p>
      <w:pPr>
        <w:pStyle w:val="2"/>
        <w:keepNext w:val="0"/>
        <w:keepLines w:val="0"/>
        <w:pageBreakBefore w:val="0"/>
        <w:widowControl w:val="0"/>
        <w:kinsoku/>
        <w:wordWrap/>
        <w:overflowPunct/>
        <w:topLinePunct w:val="0"/>
        <w:bidi w:val="0"/>
        <w:spacing w:before="157" w:beforeLines="50" w:after="156" w:afterLines="50" w:line="240" w:lineRule="atLeast"/>
        <w:ind w:firstLine="482"/>
        <w:jc w:val="both"/>
        <w:textAlignment w:val="auto"/>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项目实际情况阐述可能存在的风险。</w:t>
      </w:r>
    </w:p>
    <w:p>
      <w:pPr>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238" w:name="_Toc4038"/>
      <w:bookmarkStart w:id="3239" w:name="_Toc22514"/>
      <w:bookmarkStart w:id="3240" w:name="_Toc12260"/>
      <w:bookmarkStart w:id="3241" w:name="_Toc28084"/>
      <w:bookmarkStart w:id="3242" w:name="_Toc28093"/>
      <w:bookmarkStart w:id="3243" w:name="_Toc17678"/>
      <w:bookmarkStart w:id="3244" w:name="_Toc25578"/>
      <w:bookmarkStart w:id="3245" w:name="_Toc32400"/>
      <w:bookmarkStart w:id="3246" w:name="_Toc16995"/>
      <w:r>
        <w:rPr>
          <w:rFonts w:hint="eastAsia" w:ascii="楷体_GB2312" w:hAnsi="楷体_GB2312" w:eastAsia="楷体_GB2312" w:cs="楷体_GB2312"/>
          <w:b/>
          <w:kern w:val="0"/>
          <w:sz w:val="24"/>
          <w:szCs w:val="24"/>
        </w:rPr>
        <w:t>八、其他特有风险</w:t>
      </w:r>
      <w:bookmarkEnd w:id="3238"/>
      <w:bookmarkEnd w:id="3239"/>
      <w:bookmarkEnd w:id="3240"/>
      <w:bookmarkEnd w:id="3241"/>
      <w:bookmarkEnd w:id="3242"/>
      <w:bookmarkEnd w:id="3243"/>
      <w:bookmarkEnd w:id="3244"/>
      <w:bookmarkEnd w:id="3245"/>
      <w:bookmarkEnd w:id="3246"/>
    </w:p>
    <w:p>
      <w:pPr>
        <w:pStyle w:val="156"/>
        <w:keepNext w:val="0"/>
        <w:keepLines w:val="0"/>
        <w:pageBreakBefore w:val="0"/>
        <w:widowControl w:val="0"/>
        <w:kinsoku/>
        <w:wordWrap/>
        <w:overflowPunct/>
        <w:topLinePunct w:val="0"/>
        <w:autoSpaceDE w:val="0"/>
        <w:autoSpaceDN w:val="0"/>
        <w:bidi w:val="0"/>
        <w:adjustRightInd w:val="0"/>
        <w:spacing w:before="157" w:beforeLines="50" w:after="156" w:afterLines="50" w:line="240" w:lineRule="atLeast"/>
        <w:ind w:firstLine="0" w:firstLineChars="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2"/>
        </w:numPr>
        <w:kinsoku/>
        <w:wordWrap/>
        <w:overflowPunct/>
        <w:topLinePunct w:val="0"/>
        <w:autoSpaceDE w:val="0"/>
        <w:autoSpaceDN w:val="0"/>
        <w:bidi w:val="0"/>
        <w:adjustRightInd w:val="0"/>
        <w:snapToGrid/>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247" w:name="_Toc28187"/>
      <w:bookmarkStart w:id="3248" w:name="_Toc17287"/>
      <w:bookmarkStart w:id="3249" w:name="_Toc20712"/>
      <w:bookmarkStart w:id="3250" w:name="_Toc32251"/>
      <w:bookmarkStart w:id="3251" w:name="_Toc81"/>
      <w:bookmarkStart w:id="3252" w:name="_Toc13673"/>
      <w:bookmarkStart w:id="3253" w:name="_Toc16305"/>
      <w:bookmarkStart w:id="3254" w:name="_Toc24480"/>
      <w:bookmarkStart w:id="3255" w:name="_Toc28276"/>
      <w:bookmarkStart w:id="3256" w:name="_Toc27397"/>
      <w:r>
        <w:rPr>
          <w:rFonts w:hint="eastAsia" w:ascii="楷体_GB2312" w:hAnsi="楷体_GB2312" w:eastAsia="楷体_GB2312" w:cs="楷体_GB2312"/>
          <w:b/>
          <w:bCs/>
          <w:kern w:val="0"/>
          <w:sz w:val="30"/>
          <w:szCs w:val="30"/>
        </w:rPr>
        <w:t>定向资产支持商业票据的交易结构</w:t>
      </w:r>
      <w:bookmarkEnd w:id="3247"/>
      <w:bookmarkEnd w:id="3248"/>
      <w:bookmarkEnd w:id="3249"/>
      <w:bookmarkEnd w:id="3250"/>
      <w:bookmarkEnd w:id="3251"/>
      <w:bookmarkEnd w:id="3252"/>
      <w:bookmarkEnd w:id="3253"/>
      <w:bookmarkEnd w:id="3254"/>
      <w:bookmarkEnd w:id="3255"/>
      <w:bookmarkEnd w:id="3256"/>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257" w:name="_Toc27563"/>
      <w:bookmarkStart w:id="3258" w:name="_Toc23013"/>
      <w:bookmarkStart w:id="3259" w:name="_Toc9412"/>
      <w:bookmarkStart w:id="3260" w:name="_Toc23666"/>
      <w:bookmarkStart w:id="3261" w:name="_Toc32052"/>
      <w:bookmarkStart w:id="3262" w:name="_Toc9870"/>
      <w:bookmarkStart w:id="3263" w:name="_Toc8911"/>
      <w:bookmarkStart w:id="3264" w:name="_Toc28517"/>
      <w:bookmarkStart w:id="3265" w:name="_Toc3615"/>
      <w:r>
        <w:rPr>
          <w:rFonts w:hint="eastAsia" w:ascii="楷体_GB2312" w:hAnsi="楷体_GB2312" w:eastAsia="楷体_GB2312" w:cs="楷体_GB2312"/>
          <w:b/>
          <w:kern w:val="0"/>
          <w:sz w:val="24"/>
          <w:szCs w:val="24"/>
        </w:rPr>
        <w:t>一、交易结构图</w:t>
      </w:r>
      <w:r>
        <w:rPr>
          <w:rStyle w:val="48"/>
          <w:rFonts w:hint="eastAsia" w:ascii="楷体_GB2312" w:hAnsi="楷体_GB2312" w:eastAsia="楷体_GB2312" w:cs="楷体_GB2312"/>
          <w:b/>
          <w:kern w:val="0"/>
          <w:sz w:val="24"/>
          <w:szCs w:val="24"/>
        </w:rPr>
        <w:footnoteReference w:id="47"/>
      </w:r>
      <w:bookmarkEnd w:id="3257"/>
      <w:bookmarkEnd w:id="3258"/>
      <w:bookmarkEnd w:id="3259"/>
      <w:bookmarkEnd w:id="3260"/>
      <w:bookmarkEnd w:id="3261"/>
      <w:bookmarkEnd w:id="3262"/>
      <w:bookmarkEnd w:id="3263"/>
      <w:bookmarkEnd w:id="3264"/>
      <w:bookmarkEnd w:id="3265"/>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outlineLvl w:val="2"/>
        <w:rPr>
          <w:rFonts w:ascii="楷体_GB2312" w:hAnsi="楷体_GB2312" w:eastAsia="楷体_GB2312" w:cs="楷体_GB2312"/>
          <w:b/>
          <w:kern w:val="0"/>
          <w:sz w:val="24"/>
          <w:szCs w:val="24"/>
        </w:rPr>
      </w:pPr>
      <w:bookmarkStart w:id="3266" w:name="_Toc30295"/>
      <w:bookmarkStart w:id="3267" w:name="_Toc971"/>
      <w:bookmarkStart w:id="3268" w:name="_Toc23795"/>
      <w:bookmarkStart w:id="3269" w:name="_Toc27962"/>
      <w:bookmarkStart w:id="3270" w:name="_Toc12552"/>
      <w:bookmarkStart w:id="3271" w:name="_Toc27081"/>
      <w:bookmarkStart w:id="3272" w:name="_Toc253"/>
      <w:bookmarkStart w:id="3273" w:name="_Toc28355"/>
      <w:bookmarkStart w:id="3274" w:name="_Toc27767"/>
      <w:r>
        <w:rPr>
          <w:rFonts w:hint="eastAsia" w:ascii="楷体_GB2312" w:hAnsi="楷体_GB2312" w:eastAsia="楷体_GB2312" w:cs="楷体_GB2312"/>
          <w:b/>
          <w:kern w:val="0"/>
          <w:sz w:val="24"/>
          <w:szCs w:val="24"/>
        </w:rPr>
        <w:t>二、交易结构介绍</w:t>
      </w:r>
      <w:r>
        <w:rPr>
          <w:rStyle w:val="48"/>
          <w:rFonts w:hint="eastAsia" w:ascii="楷体_GB2312" w:hAnsi="楷体_GB2312" w:eastAsia="楷体_GB2312" w:cs="楷体_GB2312"/>
          <w:b/>
          <w:kern w:val="0"/>
          <w:sz w:val="24"/>
          <w:szCs w:val="24"/>
        </w:rPr>
        <w:footnoteReference w:id="48"/>
      </w:r>
      <w:bookmarkEnd w:id="3266"/>
      <w:bookmarkEnd w:id="3267"/>
      <w:bookmarkEnd w:id="3268"/>
      <w:bookmarkEnd w:id="3269"/>
      <w:bookmarkEnd w:id="3270"/>
      <w:bookmarkEnd w:id="3271"/>
      <w:bookmarkEnd w:id="3272"/>
      <w:bookmarkEnd w:id="3273"/>
      <w:bookmarkEnd w:id="3274"/>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rPr>
      </w:pPr>
      <w:bookmarkStart w:id="3275" w:name="_Toc2885"/>
      <w:bookmarkStart w:id="3276" w:name="_Toc25892"/>
      <w:bookmarkStart w:id="3277" w:name="_Toc27154"/>
      <w:bookmarkStart w:id="3278" w:name="_Toc13402"/>
      <w:bookmarkStart w:id="3279" w:name="_Toc3457"/>
      <w:bookmarkStart w:id="3280" w:name="_Toc5886"/>
      <w:bookmarkStart w:id="3281" w:name="_Toc9960"/>
      <w:bookmarkStart w:id="3282" w:name="_Toc15398"/>
      <w:r>
        <w:rPr>
          <w:rFonts w:hint="eastAsia" w:ascii="楷体_GB2312" w:hAnsi="楷体_GB2312" w:eastAsia="楷体_GB2312" w:cs="楷体_GB2312"/>
          <w:b/>
          <w:kern w:val="0"/>
          <w:sz w:val="24"/>
          <w:szCs w:val="24"/>
        </w:rPr>
        <w:t>（一）交易结构基本情况</w:t>
      </w:r>
      <w:bookmarkEnd w:id="3275"/>
      <w:bookmarkEnd w:id="3276"/>
      <w:bookmarkEnd w:id="3277"/>
      <w:bookmarkEnd w:id="3278"/>
      <w:bookmarkEnd w:id="3279"/>
      <w:bookmarkEnd w:id="3280"/>
      <w:bookmarkEnd w:id="3281"/>
      <w:bookmarkEnd w:id="3282"/>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2" w:firstLineChars="200"/>
        <w:jc w:val="both"/>
        <w:textAlignment w:val="auto"/>
        <w:outlineLvl w:val="3"/>
        <w:rPr>
          <w:rFonts w:ascii="楷体_GB2312" w:hAnsi="楷体_GB2312" w:eastAsia="楷体_GB2312" w:cs="楷体_GB2312"/>
          <w:b/>
          <w:kern w:val="0"/>
          <w:sz w:val="24"/>
          <w:szCs w:val="24"/>
        </w:rPr>
      </w:pPr>
      <w:bookmarkStart w:id="3283" w:name="_Toc32462"/>
      <w:bookmarkStart w:id="3284" w:name="_Toc23604"/>
      <w:bookmarkStart w:id="3285" w:name="_Toc2205"/>
      <w:bookmarkStart w:id="3286" w:name="_Toc15302"/>
      <w:bookmarkStart w:id="3287" w:name="_Toc28718"/>
      <w:r>
        <w:rPr>
          <w:rFonts w:hint="eastAsia" w:ascii="楷体_GB2312" w:hAnsi="楷体_GB2312" w:eastAsia="楷体_GB2312" w:cs="楷体_GB2312"/>
          <w:b/>
          <w:kern w:val="0"/>
          <w:sz w:val="24"/>
          <w:szCs w:val="24"/>
        </w:rPr>
        <w:t>（二）本期主要机制流程</w:t>
      </w:r>
      <w:bookmarkEnd w:id="3283"/>
      <w:bookmarkEnd w:id="3284"/>
      <w:bookmarkEnd w:id="3285"/>
      <w:bookmarkEnd w:id="3286"/>
      <w:bookmarkEnd w:id="3287"/>
    </w:p>
    <w:p>
      <w:pPr>
        <w:keepNext w:val="0"/>
        <w:keepLines w:val="0"/>
        <w:pageBreakBefore w:val="0"/>
        <w:widowControl w:val="0"/>
        <w:kinsoku/>
        <w:wordWrap/>
        <w:overflowPunct/>
        <w:topLinePunct w:val="0"/>
        <w:bidi w:val="0"/>
        <w:snapToGrid/>
        <w:spacing w:before="157" w:beforeLines="50" w:after="157" w:afterLines="50" w:line="240" w:lineRule="atLeast"/>
        <w:jc w:val="center"/>
        <w:textAlignment w:val="auto"/>
        <w:rPr>
          <w:rFonts w:ascii="楷体_GB2312" w:hAnsi="楷体_GB2312" w:eastAsia="楷体_GB2312" w:cs="楷体_GB2312"/>
          <w:b/>
          <w:bCs/>
          <w:sz w:val="24"/>
          <w:szCs w:val="24"/>
          <w:lang w:bidi="zh-TW"/>
        </w:rPr>
      </w:pPr>
      <w:r>
        <w:rPr>
          <w:rFonts w:hint="eastAsia" w:ascii="楷体_GB2312" w:hAnsi="楷体_GB2312" w:eastAsia="楷体_GB2312" w:cs="楷体_GB2312"/>
          <w:b/>
          <w:bCs/>
          <w:sz w:val="24"/>
          <w:szCs w:val="24"/>
          <w:lang w:bidi="zh-TW"/>
        </w:rPr>
        <w:t>图4-1</w:t>
      </w:r>
      <w:r>
        <w:rPr>
          <w:rFonts w:hint="eastAsia" w:ascii="楷体_GB2312" w:hAnsi="楷体_GB2312" w:eastAsia="楷体_GB2312" w:cs="楷体_GB2312"/>
          <w:b/>
          <w:kern w:val="0"/>
          <w:sz w:val="24"/>
          <w:szCs w:val="24"/>
        </w:rPr>
        <w:t>本期主要机制流程</w:t>
      </w:r>
      <w:r>
        <w:rPr>
          <w:rStyle w:val="48"/>
          <w:rFonts w:hint="eastAsia" w:ascii="楷体_GB2312" w:hAnsi="楷体_GB2312" w:eastAsia="楷体_GB2312" w:cs="楷体_GB2312"/>
          <w:b/>
          <w:kern w:val="0"/>
          <w:sz w:val="24"/>
          <w:szCs w:val="24"/>
        </w:rPr>
        <w:footnoteReference w:id="49"/>
      </w:r>
    </w:p>
    <w:tbl>
      <w:tblPr>
        <w:tblStyle w:val="41"/>
        <w:tblW w:w="8560" w:type="dxa"/>
        <w:jc w:val="center"/>
        <w:tblLayout w:type="fixed"/>
        <w:tblCellMar>
          <w:top w:w="0" w:type="dxa"/>
          <w:left w:w="10" w:type="dxa"/>
          <w:bottom w:w="0" w:type="dxa"/>
          <w:right w:w="10" w:type="dxa"/>
        </w:tblCellMar>
      </w:tblPr>
      <w:tblGrid>
        <w:gridCol w:w="1531"/>
        <w:gridCol w:w="2796"/>
        <w:gridCol w:w="4233"/>
      </w:tblGrid>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滚动发行相关流程（选择滚动发行）</w:t>
            </w:r>
          </w:p>
        </w:tc>
      </w:tr>
      <w:tr>
        <w:tblPrEx>
          <w:tblCellMar>
            <w:top w:w="0" w:type="dxa"/>
            <w:left w:w="10" w:type="dxa"/>
            <w:bottom w:w="0" w:type="dxa"/>
            <w:right w:w="10" w:type="dxa"/>
          </w:tblCellMar>
        </w:tblPrEx>
        <w:trPr>
          <w:trHeight w:val="90"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eastAsia="楷体_GB2312" w:cs="楷体_GB2312"/>
                <w:b/>
                <w:bCs/>
                <w:sz w:val="24"/>
                <w:szCs w:val="24"/>
              </w:rPr>
            </w:pPr>
            <w:r>
              <w:rPr>
                <w:rFonts w:hint="eastAsia" w:ascii="楷体_GB2312" w:hAnsi="楷体_GB2312" w:eastAsia="楷体_GB2312" w:cs="楷体_GB2312"/>
                <w:b/>
                <w:bCs/>
                <w:sz w:val="24"/>
                <w:szCs w:val="24"/>
                <w:lang w:val="en-US" w:eastAsia="zh-CN"/>
              </w:rPr>
              <w:t>日期</w:t>
            </w:r>
          </w:p>
        </w:tc>
        <w:tc>
          <w:tcPr>
            <w:tcW w:w="2796" w:type="dxa"/>
            <w:tcBorders>
              <w:top w:val="single" w:color="auto" w:sz="4" w:space="0"/>
              <w:left w:val="single" w:color="auto" w:sz="4" w:space="0"/>
              <w:right w:val="single" w:color="auto" w:sz="4" w:space="0"/>
            </w:tcBorders>
            <w:shd w:val="clear" w:color="auto" w:fill="FFFFFF"/>
            <w:noWrap w:val="0"/>
            <w:vAlign w:val="top"/>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90"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计算日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【预期到期日/到期日】所对应的计算日，即【T所在自然月前【  】个月的最后一日】</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回收款转付日</w:t>
            </w:r>
          </w:p>
          <w:p>
            <w:pPr>
              <w:pStyle w:val="183"/>
              <w:spacing w:after="0" w:line="240" w:lineRule="auto"/>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回收款转付期间未改变</w:t>
            </w:r>
            <w:r>
              <w:rPr>
                <w:rFonts w:hint="eastAsia" w:ascii="楷体_GB2312" w:hAnsi="楷体_GB2312" w:eastAsia="楷体_GB2312" w:cs="楷体_GB2312"/>
                <w:sz w:val="24"/>
                <w:szCs w:val="24"/>
                <w:lang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【预期到期日/到期日】所对应的回收款转付日，</w:t>
            </w:r>
            <w:r>
              <w:rPr>
                <w:rFonts w:hint="eastAsia" w:ascii="楷体_GB2312" w:hAnsi="楷体_GB2312" w:eastAsia="楷体_GB2312" w:cs="楷体_GB2312"/>
                <w:sz w:val="24"/>
                <w:szCs w:val="24"/>
              </w:rPr>
              <w:t>资产服务机构将</w:t>
            </w:r>
            <w:r>
              <w:rPr>
                <w:rFonts w:hint="eastAsia" w:ascii="楷体_GB2312" w:hAnsi="楷体_GB2312" w:eastAsia="楷体_GB2312" w:cs="楷体_GB2312"/>
                <w:sz w:val="24"/>
                <w:szCs w:val="24"/>
                <w:lang w:val="en-US" w:eastAsia="zh-CN"/>
              </w:rPr>
              <w:t>对应收款期间的</w:t>
            </w:r>
            <w:r>
              <w:rPr>
                <w:rFonts w:hint="eastAsia" w:ascii="楷体_GB2312" w:hAnsi="楷体_GB2312" w:eastAsia="楷体_GB2312" w:cs="楷体_GB2312"/>
                <w:sz w:val="24"/>
                <w:szCs w:val="24"/>
              </w:rPr>
              <w:t>回收款转付到信托账户</w:t>
            </w:r>
            <w:r>
              <w:rPr>
                <w:rFonts w:hint="eastAsia" w:ascii="楷体_GB2312" w:hAnsi="楷体_GB2312" w:eastAsia="楷体_GB2312" w:cs="楷体_GB2312"/>
                <w:sz w:val="24"/>
                <w:szCs w:val="24"/>
                <w:lang w:eastAsia="zh-CN"/>
              </w:rPr>
              <w:t>。</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截至该日期，委托人未书面通知受托人中止滚动发行后一期资产支持商业票据。</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信托核算日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受托人核算</w:t>
            </w:r>
            <w:r>
              <w:rPr>
                <w:rFonts w:hint="eastAsia" w:ascii="楷体_GB2312" w:hAnsi="楷体_GB2312" w:eastAsia="楷体_GB2312" w:cs="楷体_GB2312"/>
                <w:sz w:val="24"/>
                <w:szCs w:val="24"/>
              </w:rPr>
              <w:t>信托</w:t>
            </w:r>
            <w:r>
              <w:rPr>
                <w:rFonts w:hint="eastAsia" w:ascii="楷体_GB2312" w:hAnsi="楷体_GB2312" w:eastAsia="楷体_GB2312" w:cs="楷体_GB2312"/>
                <w:sz w:val="24"/>
                <w:szCs w:val="24"/>
                <w:lang w:val="en-US" w:eastAsia="zh-CN"/>
              </w:rPr>
              <w:t>账户内的资金。</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如信托账户内可供分配的资金不足以支付应由信托财产承担的全部税费、报酬和前一期资产支持商业票据的利息，受托人需通知差额支付承诺人履行相关付款义务。（如有）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差额支付承诺人支付回收款差额补足款项。（如有）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缴款日（后一期）</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后一期</w:t>
            </w:r>
            <w:r>
              <w:rPr>
                <w:rFonts w:hint="eastAsia" w:ascii="楷体_GB2312" w:hAnsi="楷体_GB2312" w:eastAsia="楷体_GB2312" w:cs="楷体_GB2312"/>
                <w:sz w:val="24"/>
                <w:szCs w:val="24"/>
              </w:rPr>
              <w:t>资产支持商业票据发行</w:t>
            </w:r>
            <w:r>
              <w:rPr>
                <w:rFonts w:hint="eastAsia" w:ascii="楷体_GB2312" w:hAnsi="楷体_GB2312" w:eastAsia="楷体_GB2312" w:cs="楷体_GB2312"/>
                <w:sz w:val="24"/>
                <w:szCs w:val="24"/>
                <w:lang w:val="en-US" w:eastAsia="zh-CN"/>
              </w:rPr>
              <w:t>缴款。</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募集资金划付日</w:t>
            </w:r>
          </w:p>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（后一期）</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簿记管理人将后一期资产支持商业票据的募集资金划至发行收入缴款账户。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受益权价款支付日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如后一期资产支持商业票据未发行成功，委托人需履行受让信托受益权的义务，将对应的信托受益权转让对价支付至发行收入缴款账户。（如有）</w:t>
            </w:r>
            <w:r>
              <w:rPr>
                <w:rStyle w:val="48"/>
                <w:rFonts w:hint="eastAsia" w:ascii="楷体_GB2312" w:hAnsi="楷体_GB2312" w:eastAsia="楷体_GB2312" w:cs="楷体_GB2312"/>
                <w:sz w:val="24"/>
                <w:szCs w:val="24"/>
                <w:lang w:val="en-US" w:eastAsia="zh-CN"/>
              </w:rPr>
              <w:footnoteReference w:id="50"/>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】/T-【 】</w:t>
            </w:r>
            <w:r>
              <w:rPr>
                <w:rStyle w:val="48"/>
                <w:rFonts w:hint="eastAsia" w:ascii="楷体_GB2312" w:hAnsi="楷体_GB2312" w:eastAsia="楷体_GB2312" w:cs="楷体_GB2312"/>
                <w:color w:val="000000"/>
                <w:sz w:val="24"/>
                <w:szCs w:val="24"/>
                <w:lang w:val="en-US" w:eastAsia="zh-CN"/>
              </w:rPr>
              <w:footnoteReference w:id="51"/>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如后一期资产支持商业票据未发行成功，委托人需履行回购资产池的义务，受托人计算本次回购对应的回购价格，并向委托人发出《回购义务通知》。（如有）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回购价款支付日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委托人将相当于回购价格的款项支付至信托账户。（如有）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滚动发行</w:t>
            </w:r>
            <w:r>
              <w:rPr>
                <w:rFonts w:ascii="楷体_GB2312" w:hAnsi="楷体_GB2312" w:eastAsia="楷体_GB2312" w:cs="楷体_GB2312"/>
                <w:sz w:val="24"/>
                <w:szCs w:val="24"/>
                <w:lang w:val="en-US" w:eastAsia="zh-CN"/>
              </w:rPr>
              <w:t>差额支付启动日</w:t>
            </w:r>
            <w:r>
              <w:rPr>
                <w:rFonts w:hint="eastAsia" w:ascii="楷体_GB2312" w:hAnsi="楷体_GB2312" w:eastAsia="楷体_GB2312" w:cs="楷体_GB2312"/>
                <w:sz w:val="24"/>
                <w:szCs w:val="24"/>
                <w:lang w:val="en-US" w:eastAsia="zh-CN"/>
              </w:rPr>
              <w:t>/</w:t>
            </w:r>
            <w:r>
              <w:rPr>
                <w:rFonts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如委托人未足额支付信托受益权转让对价/回购资产池的对应款项，受托人需通知差额支付承诺人履行相关付款义务。（如有）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差额支付承诺人支付差额补足款项。（如有）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信托</w:t>
            </w:r>
            <w:r>
              <w:rPr>
                <w:rFonts w:hint="eastAsia" w:ascii="楷体_GB2312" w:hAnsi="楷体_GB2312" w:eastAsia="楷体_GB2312" w:cs="楷体_GB2312"/>
                <w:sz w:val="24"/>
                <w:szCs w:val="24"/>
                <w:lang w:val="en-US" w:eastAsia="zh-CN"/>
              </w:rPr>
              <w:t>分配</w:t>
            </w:r>
            <w:r>
              <w:rPr>
                <w:rFonts w:ascii="楷体_GB2312" w:hAnsi="楷体_GB2312" w:eastAsia="楷体_GB2312" w:cs="楷体_GB2312"/>
                <w:sz w:val="24"/>
                <w:szCs w:val="24"/>
                <w:lang w:val="en-US" w:eastAsia="zh-CN"/>
              </w:rPr>
              <w:t>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受托人按照信托合同的约定分配</w:t>
            </w:r>
            <w:r>
              <w:rPr>
                <w:rFonts w:hint="eastAsia" w:ascii="楷体_GB2312" w:hAnsi="楷体_GB2312" w:eastAsia="楷体_GB2312" w:cs="楷体_GB2312"/>
                <w:sz w:val="24"/>
                <w:szCs w:val="24"/>
              </w:rPr>
              <w:t>信托</w:t>
            </w:r>
            <w:r>
              <w:rPr>
                <w:rFonts w:hint="eastAsia" w:ascii="楷体_GB2312" w:hAnsi="楷体_GB2312" w:eastAsia="楷体_GB2312" w:cs="楷体_GB2312"/>
                <w:sz w:val="24"/>
                <w:szCs w:val="24"/>
                <w:lang w:val="en-US" w:eastAsia="zh-CN"/>
              </w:rPr>
              <w:t>账户内的资金。</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不迟于该日，受托人向支付代理机构划付信托受益权转让对价。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u w:val="single"/>
                <w:lang w:val="en-US" w:eastAsia="zh-CN"/>
              </w:rPr>
              <w:t>预期到期日/到期日</w:t>
            </w: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spacing w:after="0" w:line="240" w:lineRule="auto"/>
              <w:jc w:val="both"/>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支付代理机构将收到的应付资金划付给前一期</w:t>
            </w:r>
            <w:r>
              <w:rPr>
                <w:rFonts w:hint="eastAsia" w:ascii="楷体_GB2312" w:hAnsi="楷体_GB2312" w:eastAsia="楷体_GB2312" w:cs="楷体_GB2312"/>
                <w:sz w:val="24"/>
                <w:szCs w:val="24"/>
              </w:rPr>
              <w:t>资产支持商业票据</w:t>
            </w:r>
            <w:r>
              <w:rPr>
                <w:rFonts w:hint="eastAsia" w:ascii="楷体_GB2312" w:hAnsi="楷体_GB2312" w:eastAsia="楷体_GB2312" w:cs="楷体_GB2312"/>
                <w:sz w:val="24"/>
                <w:szCs w:val="24"/>
                <w:lang w:val="en-US" w:eastAsia="zh-CN"/>
              </w:rPr>
              <w:t>持有人。</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滚动发行相关</w:t>
            </w:r>
            <w:r>
              <w:rPr>
                <w:rFonts w:hint="eastAsia" w:ascii="楷体_GB2312" w:hAnsi="楷体_GB2312" w:eastAsia="楷体_GB2312" w:cs="楷体_GB2312"/>
                <w:b/>
                <w:bCs/>
                <w:color w:val="000000"/>
                <w:sz w:val="24"/>
                <w:szCs w:val="24"/>
                <w:lang w:val="en-US" w:eastAsia="zh-CN"/>
              </w:rPr>
              <w:t>流程</w:t>
            </w:r>
            <w:r>
              <w:rPr>
                <w:rFonts w:hint="eastAsia" w:ascii="楷体_GB2312" w:hAnsi="楷体_GB2312" w:eastAsia="楷体_GB2312" w:cs="楷体_GB2312"/>
                <w:b/>
                <w:bCs/>
                <w:sz w:val="24"/>
                <w:szCs w:val="24"/>
                <w:lang w:val="en-US" w:eastAsia="zh-CN"/>
              </w:rPr>
              <w:t>（中止滚动发行）</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b/>
                <w:bCs/>
                <w:color w:val="00000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不迟于该日，委托人书面通知受托人中止滚动发行后一期资产支持商业票据。</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受益权价款支付日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委托人履行受让信托受益权的义务，将对应的信托受益权转让对价支付至发行收入缴款账户。（如有）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受托人计算本次回购对应的回购价格，并向委托人发出《回购义务通知》。（如有）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回购价款支付日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委托人履行回购资产池的义务，将相当于回购价格的款项支付至信托账户。（如有）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滚动发行</w:t>
            </w:r>
            <w:r>
              <w:rPr>
                <w:rFonts w:ascii="楷体_GB2312" w:hAnsi="楷体_GB2312" w:eastAsia="楷体_GB2312" w:cs="楷体_GB2312"/>
                <w:sz w:val="24"/>
                <w:szCs w:val="24"/>
                <w:lang w:val="en-US" w:eastAsia="zh-CN"/>
              </w:rPr>
              <w:t>差额支付启动日</w:t>
            </w:r>
            <w:r>
              <w:rPr>
                <w:rFonts w:hint="eastAsia" w:ascii="楷体_GB2312" w:hAnsi="楷体_GB2312" w:eastAsia="楷体_GB2312" w:cs="楷体_GB2312"/>
                <w:sz w:val="24"/>
                <w:szCs w:val="24"/>
                <w:lang w:val="en-US" w:eastAsia="zh-CN"/>
              </w:rPr>
              <w:t>/</w:t>
            </w:r>
            <w:r>
              <w:rPr>
                <w:rFonts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如委托人未足额支付信托受益权转让对价/回购资产池的对应款项，受托人需通知差额支付承诺人履行相关付款义务。（如有）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差额支付承诺人支付差额补足款项。（如有）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信托</w:t>
            </w:r>
            <w:r>
              <w:rPr>
                <w:rFonts w:hint="eastAsia" w:ascii="楷体_GB2312" w:hAnsi="楷体_GB2312" w:eastAsia="楷体_GB2312" w:cs="楷体_GB2312"/>
                <w:sz w:val="24"/>
                <w:szCs w:val="24"/>
                <w:lang w:val="en-US" w:eastAsia="zh-CN"/>
              </w:rPr>
              <w:t>分配</w:t>
            </w:r>
            <w:r>
              <w:rPr>
                <w:rFonts w:ascii="楷体_GB2312" w:hAnsi="楷体_GB2312" w:eastAsia="楷体_GB2312" w:cs="楷体_GB2312"/>
                <w:sz w:val="24"/>
                <w:szCs w:val="24"/>
                <w:lang w:val="en-US" w:eastAsia="zh-CN"/>
              </w:rPr>
              <w:t>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受托人按照信托合同的约定分配</w:t>
            </w:r>
            <w:r>
              <w:rPr>
                <w:rFonts w:hint="eastAsia" w:ascii="楷体_GB2312" w:hAnsi="楷体_GB2312" w:eastAsia="楷体_GB2312" w:cs="楷体_GB2312"/>
                <w:sz w:val="24"/>
                <w:szCs w:val="24"/>
              </w:rPr>
              <w:t>信托</w:t>
            </w:r>
            <w:r>
              <w:rPr>
                <w:rFonts w:hint="eastAsia" w:ascii="楷体_GB2312" w:hAnsi="楷体_GB2312" w:eastAsia="楷体_GB2312" w:cs="楷体_GB2312"/>
                <w:sz w:val="24"/>
                <w:szCs w:val="24"/>
                <w:lang w:val="en-US" w:eastAsia="zh-CN"/>
              </w:rPr>
              <w:t>账户内的资金。</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不迟于该日，受托人向支付代理机构划付信托受益权转让对价。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u w:val="single"/>
                <w:lang w:val="en-US" w:eastAsia="zh-CN"/>
              </w:rPr>
              <w:t>预期到期日/到期日</w:t>
            </w: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支付代理机构将收到的应付资金划付给前一期</w:t>
            </w:r>
            <w:r>
              <w:rPr>
                <w:rFonts w:hint="eastAsia" w:ascii="楷体_GB2312" w:hAnsi="楷体_GB2312" w:eastAsia="楷体_GB2312" w:cs="楷体_GB2312"/>
                <w:sz w:val="24"/>
                <w:szCs w:val="24"/>
              </w:rPr>
              <w:t>资产支持商业票据</w:t>
            </w:r>
            <w:r>
              <w:rPr>
                <w:rFonts w:hint="eastAsia" w:ascii="楷体_GB2312" w:hAnsi="楷体_GB2312" w:eastAsia="楷体_GB2312" w:cs="楷体_GB2312"/>
                <w:sz w:val="24"/>
                <w:szCs w:val="24"/>
                <w:lang w:val="en-US" w:eastAsia="zh-CN"/>
              </w:rPr>
              <w:t>持有人。</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color w:val="000000"/>
                <w:sz w:val="24"/>
                <w:szCs w:val="24"/>
                <w:lang w:val="en-US" w:eastAsia="zh-CN"/>
              </w:rPr>
              <w:t>循环购买流程（如有）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b/>
                <w:bCs/>
                <w:color w:val="00000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S-【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不迟于该日，委托人</w:t>
            </w:r>
            <w:r>
              <w:rPr>
                <w:rFonts w:hint="eastAsia" w:ascii="楷体_GB2312" w:hAnsi="楷体_GB2312" w:eastAsia="楷体_GB2312" w:cs="楷体_GB2312"/>
                <w:sz w:val="24"/>
                <w:szCs w:val="24"/>
                <w:lang w:eastAsia="zh-CN"/>
              </w:rPr>
              <w:t>以书面形式通知受托人启动</w:t>
            </w:r>
            <w:r>
              <w:rPr>
                <w:rFonts w:hint="eastAsia" w:ascii="楷体_GB2312" w:hAnsi="楷体_GB2312" w:eastAsia="楷体_GB2312" w:cs="楷体_GB2312"/>
                <w:sz w:val="24"/>
                <w:szCs w:val="24"/>
                <w:lang w:val="en-US" w:eastAsia="zh-CN"/>
              </w:rPr>
              <w:t>循环购买</w:t>
            </w:r>
            <w:r>
              <w:rPr>
                <w:rFonts w:hint="eastAsia" w:ascii="楷体_GB2312" w:hAnsi="楷体_GB2312" w:eastAsia="楷体_GB2312" w:cs="楷体_GB2312"/>
                <w:sz w:val="24"/>
                <w:szCs w:val="24"/>
                <w:lang w:eastAsia="zh-CN"/>
              </w:rPr>
              <w:t>流程。</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S-【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不迟于该日，委托人向受托人提供可供入池基础资产相关资料。</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S-【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不迟于该日，受托人根据可支配资金、尽职调查情况确定拟循环购买的资产。</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S</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循环购买日/支付日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委托人与受托人进行循环购买，完成价款支付和资产交付。</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追加交付</w:t>
            </w:r>
            <w:r>
              <w:rPr>
                <w:rFonts w:hint="eastAsia" w:ascii="楷体_GB2312" w:hAnsi="楷体_GB2312" w:eastAsia="楷体_GB2312" w:cs="楷体_GB2312"/>
                <w:b/>
                <w:bCs/>
                <w:color w:val="000000"/>
                <w:sz w:val="24"/>
                <w:szCs w:val="24"/>
                <w:lang w:val="en-US" w:eastAsia="zh-CN"/>
              </w:rPr>
              <w:t>流程</w:t>
            </w:r>
            <w:r>
              <w:rPr>
                <w:rFonts w:hint="eastAsia" w:ascii="楷体_GB2312" w:hAnsi="楷体_GB2312" w:eastAsia="楷体_GB2312" w:cs="楷体_GB2312"/>
                <w:b/>
                <w:bCs/>
                <w:sz w:val="24"/>
                <w:szCs w:val="24"/>
                <w:lang w:val="en-US" w:eastAsia="zh-CN"/>
              </w:rPr>
              <w:t>（如有）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b/>
                <w:bCs/>
                <w:color w:val="00000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90"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不迟于该日，委托人</w:t>
            </w:r>
            <w:r>
              <w:rPr>
                <w:rFonts w:hint="eastAsia" w:ascii="楷体_GB2312" w:hAnsi="楷体_GB2312" w:eastAsia="楷体_GB2312" w:cs="楷体_GB2312"/>
                <w:sz w:val="24"/>
                <w:szCs w:val="24"/>
                <w:lang w:eastAsia="zh-CN"/>
              </w:rPr>
              <w:t>以书面形式通知受托人启动追加交付流程。</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w:t>
            </w:r>
            <w:r>
              <w:rPr>
                <w:rFonts w:hint="eastAsia" w:ascii="楷体_GB2312" w:hAnsi="楷体_GB2312" w:eastAsia="楷体_GB2312" w:cs="楷体_GB2312"/>
                <w:sz w:val="24"/>
                <w:szCs w:val="24"/>
                <w:lang w:eastAsia="zh-CN"/>
              </w:rPr>
              <w:t>委托人向受托人提供拟追加资产相关资料。</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w:t>
            </w:r>
            <w:r>
              <w:rPr>
                <w:rFonts w:hint="eastAsia" w:ascii="楷体_GB2312" w:hAnsi="楷体_GB2312" w:eastAsia="楷体_GB2312" w:cs="楷体_GB2312"/>
                <w:sz w:val="24"/>
                <w:szCs w:val="24"/>
                <w:lang w:eastAsia="zh-CN"/>
              </w:rPr>
              <w:t>委托人与受托人根据尽职调查情况确定拟追加交付的资产。</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T</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追加信托财产交付日（</w:t>
            </w:r>
            <w:r>
              <w:rPr>
                <w:rFonts w:hint="eastAsia" w:ascii="楷体_GB2312" w:hAnsi="楷体_GB2312" w:eastAsia="楷体_GB2312" w:cs="楷体_GB2312"/>
                <w:sz w:val="24"/>
                <w:szCs w:val="24"/>
                <w:lang w:val="en-US" w:eastAsia="zh-CN"/>
              </w:rPr>
              <w:t>后一期</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u w:val="single"/>
                <w:lang w:val="en-US" w:eastAsia="zh-CN"/>
              </w:rPr>
              <w:t>预期到期日/到期日</w:t>
            </w: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委托人与受托人完成追加资产的价款支付和资产交付。</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回购资产</w:t>
            </w:r>
            <w:r>
              <w:rPr>
                <w:rFonts w:hint="eastAsia" w:ascii="楷体_GB2312" w:hAnsi="楷体_GB2312" w:eastAsia="楷体_GB2312" w:cs="楷体_GB2312"/>
                <w:b/>
                <w:bCs/>
                <w:color w:val="000000"/>
                <w:sz w:val="24"/>
                <w:szCs w:val="24"/>
                <w:lang w:val="en-US" w:eastAsia="zh-CN"/>
              </w:rPr>
              <w:t>流程</w:t>
            </w:r>
            <w:r>
              <w:rPr>
                <w:rFonts w:hint="eastAsia" w:ascii="楷体_GB2312" w:hAnsi="楷体_GB2312" w:eastAsia="楷体_GB2312" w:cs="楷体_GB2312"/>
                <w:b/>
                <w:bCs/>
                <w:sz w:val="24"/>
                <w:szCs w:val="24"/>
                <w:lang w:val="en-US" w:eastAsia="zh-CN"/>
              </w:rPr>
              <w:t>（如有）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b/>
                <w:bCs/>
                <w:color w:val="000000"/>
                <w:sz w:val="24"/>
                <w:szCs w:val="24"/>
                <w:lang w:val="en-US" w:eastAsia="zh-CN"/>
              </w:rPr>
            </w:pPr>
            <w:r>
              <w:rPr>
                <w:rFonts w:hint="eastAsia" w:ascii="楷体_GB2312" w:hAnsi="楷体_GB2312" w:eastAsia="楷体_GB2312" w:cs="楷体_GB2312"/>
                <w:b/>
                <w:bCs/>
                <w:color w:val="00000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委托人选择进行回购，向受托人发出《回购通知书》。</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w:t>
            </w:r>
            <w:r>
              <w:rPr>
                <w:rFonts w:hint="eastAsia" w:ascii="楷体_GB2312" w:hAnsi="楷体_GB2312" w:eastAsia="楷体_GB2312" w:cs="楷体_GB2312"/>
                <w:sz w:val="24"/>
                <w:szCs w:val="24"/>
                <w:lang w:eastAsia="zh-CN"/>
              </w:rPr>
              <w:t>受托人向委托人发出《回购确认函》。</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color w:val="000000"/>
                <w:sz w:val="24"/>
                <w:szCs w:val="24"/>
                <w:lang w:val="en-US" w:eastAsia="zh-CN"/>
              </w:rPr>
              <w:t>P</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计算日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即各收款期间届满之日</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color w:val="000000"/>
                <w:sz w:val="24"/>
                <w:szCs w:val="24"/>
                <w:lang w:val="en-US" w:eastAsia="zh-CN"/>
              </w:rPr>
            </w:pPr>
            <w:r>
              <w:rPr>
                <w:rFonts w:hint="eastAsia" w:ascii="楷体_GB2312" w:hAnsi="楷体_GB2312" w:eastAsia="楷体_GB2312" w:cs="楷体_GB2312"/>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回购价款支付日</w:t>
            </w:r>
          </w:p>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/回收款转付日</w:t>
            </w:r>
          </w:p>
          <w:p>
            <w:pPr>
              <w:pStyle w:val="183"/>
              <w:spacing w:after="0" w:line="240" w:lineRule="auto"/>
              <w:jc w:val="center"/>
              <w:rPr>
                <w:rFonts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（回收款转付期间未改变）</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委托人将相当于回购价格的款项支付至信托账户。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bookmarkStart w:id="3288" w:name="_Toc21386"/>
            <w:r>
              <w:rPr>
                <w:rFonts w:hint="eastAsia" w:ascii="楷体_GB2312" w:hAnsi="楷体_GB2312" w:eastAsia="楷体_GB2312" w:cs="楷体_GB2312"/>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如委托人未能足额支付回购资产的对应款项，受托人需通知差额支付承诺人履行相关付款义务。（如有）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center"/>
              <w:rPr>
                <w:rFonts w:hint="eastAsia" w:ascii="楷体_GB2312" w:hAnsi="楷体_GB2312" w:eastAsia="楷体_GB2312" w:cs="楷体_GB2312"/>
                <w:sz w:val="24"/>
                <w:szCs w:val="24"/>
                <w:lang w:val="en-US" w:eastAsia="zh-CN"/>
              </w:rPr>
            </w:pPr>
            <w:r>
              <w:rPr>
                <w:rFonts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spacing w:after="0" w:line="240" w:lineRule="auto"/>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差额支付承诺人支付回收款差额补足款项。（如有）</w:t>
            </w:r>
          </w:p>
        </w:tc>
      </w:tr>
    </w:tbl>
    <w:p>
      <w:pPr>
        <w:pStyle w:val="2"/>
        <w:keepNext w:val="0"/>
        <w:keepLines w:val="0"/>
        <w:pageBreakBefore w:val="0"/>
        <w:widowControl w:val="0"/>
        <w:kinsoku/>
        <w:wordWrap/>
        <w:topLinePunct w:val="0"/>
        <w:bidi w:val="0"/>
        <w:spacing w:before="157" w:beforeLines="50" w:after="157" w:afterLines="50" w:line="240" w:lineRule="atLeast"/>
        <w:ind w:firstLine="482"/>
        <w:rPr>
          <w:rFonts w:hint="eastAsia" w:ascii="楷体_GB2312" w:hAnsi="楷体_GB2312" w:eastAsia="楷体_GB2312" w:cs="楷体_GB2312"/>
          <w:b/>
          <w:bCs/>
          <w:i/>
          <w:iCs/>
          <w:color w:val="FF0000"/>
          <w:kern w:val="2"/>
          <w:sz w:val="24"/>
          <w:szCs w:val="24"/>
          <w:u w:val="single"/>
        </w:rPr>
      </w:pPr>
      <w:r>
        <w:rPr>
          <w:rFonts w:hint="eastAsia" w:ascii="楷体_GB2312" w:hAnsi="楷体_GB2312" w:eastAsia="楷体_GB2312" w:cs="楷体_GB2312"/>
          <w:b/>
          <w:bCs/>
          <w:i/>
          <w:iCs/>
          <w:color w:val="FF0000"/>
          <w:kern w:val="2"/>
          <w:sz w:val="24"/>
          <w:szCs w:val="24"/>
          <w:u w:val="single"/>
          <w:lang w:eastAsia="zh-CN"/>
        </w:rPr>
        <w:t>应根据</w:t>
      </w:r>
      <w:r>
        <w:rPr>
          <w:rFonts w:hint="eastAsia" w:ascii="楷体_GB2312" w:hAnsi="楷体_GB2312" w:eastAsia="楷体_GB2312" w:cs="楷体_GB2312"/>
          <w:b/>
          <w:bCs/>
          <w:i/>
          <w:iCs/>
          <w:color w:val="FF0000"/>
          <w:kern w:val="2"/>
          <w:sz w:val="24"/>
          <w:szCs w:val="24"/>
          <w:u w:val="single"/>
        </w:rPr>
        <w:t>项目实际情况调整主要机制流程。</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289" w:name="_Toc128"/>
      <w:bookmarkStart w:id="3290" w:name="_Toc20420"/>
      <w:bookmarkStart w:id="3291" w:name="_Toc13093"/>
      <w:bookmarkStart w:id="3292" w:name="_Toc6812"/>
      <w:bookmarkStart w:id="3293" w:name="_Toc25011"/>
      <w:bookmarkStart w:id="3294" w:name="_Toc1938"/>
      <w:r>
        <w:rPr>
          <w:rFonts w:hint="eastAsia" w:ascii="楷体_GB2312" w:hAnsi="楷体_GB2312" w:eastAsia="楷体_GB2312" w:cs="楷体_GB2312"/>
          <w:b/>
          <w:kern w:val="0"/>
          <w:sz w:val="24"/>
          <w:szCs w:val="24"/>
        </w:rPr>
        <w:t>（三）滚动发行安排</w:t>
      </w:r>
      <w:bookmarkEnd w:id="3288"/>
      <w:bookmarkEnd w:id="3289"/>
      <w:bookmarkEnd w:id="3290"/>
      <w:bookmarkEnd w:id="3291"/>
      <w:bookmarkEnd w:id="3292"/>
      <w:bookmarkEnd w:id="3293"/>
      <w:bookmarkEnd w:id="3294"/>
    </w:p>
    <w:p>
      <w:pPr>
        <w:pStyle w:val="2"/>
        <w:keepNext w:val="0"/>
        <w:keepLines w:val="0"/>
        <w:pageBreakBefore w:val="0"/>
        <w:widowControl w:val="0"/>
        <w:kinsoku/>
        <w:wordWrap/>
        <w:topLinePunct w:val="0"/>
        <w:bidi w:val="0"/>
        <w:spacing w:before="157" w:beforeLines="50" w:after="157" w:afterLines="50" w:line="240" w:lineRule="atLeast"/>
        <w:ind w:firstLine="482"/>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《信托合同》“7.7.2资产支持商业票据的滚动发行”的内容。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295" w:name="_Toc30571"/>
      <w:bookmarkStart w:id="3296" w:name="_Toc2557"/>
      <w:bookmarkStart w:id="3297" w:name="_Toc15452"/>
      <w:bookmarkStart w:id="3298" w:name="_Toc18346"/>
      <w:r>
        <w:rPr>
          <w:rFonts w:hint="eastAsia" w:ascii="楷体_GB2312" w:hAnsi="楷体_GB2312" w:eastAsia="楷体_GB2312" w:cs="楷体_GB2312"/>
          <w:b/>
          <w:kern w:val="0"/>
          <w:sz w:val="24"/>
          <w:szCs w:val="24"/>
        </w:rPr>
        <w:t>（四）受让信托受益权后的后续发行（如有）</w:t>
      </w:r>
      <w:bookmarkEnd w:id="3295"/>
      <w:bookmarkEnd w:id="3296"/>
      <w:bookmarkEnd w:id="3297"/>
      <w:bookmarkEnd w:id="3298"/>
    </w:p>
    <w:p>
      <w:pPr>
        <w:pStyle w:val="2"/>
        <w:keepNext w:val="0"/>
        <w:keepLines w:val="0"/>
        <w:pageBreakBefore w:val="0"/>
        <w:widowControl w:val="0"/>
        <w:kinsoku/>
        <w:wordWrap/>
        <w:topLinePunct w:val="0"/>
        <w:bidi w:val="0"/>
        <w:spacing w:before="157" w:beforeLines="50" w:after="157" w:afterLines="50" w:line="240" w:lineRule="atLeast"/>
        <w:ind w:firstLine="482"/>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《信托合同》“7.7.3委托人成为信托项下唯一受益人情形下的后续发行”的内容。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299" w:name="_Toc20701"/>
      <w:bookmarkStart w:id="3300" w:name="_Toc21866"/>
      <w:bookmarkStart w:id="3301" w:name="_Toc22731"/>
      <w:bookmarkStart w:id="3302" w:name="_Toc16754"/>
      <w:bookmarkStart w:id="3303" w:name="_Toc27336"/>
      <w:bookmarkStart w:id="3304" w:name="_Toc3272"/>
      <w:bookmarkStart w:id="3305" w:name="_Toc1993"/>
      <w:bookmarkStart w:id="3306" w:name="_Toc22811"/>
      <w:r>
        <w:rPr>
          <w:rFonts w:hint="eastAsia" w:ascii="楷体_GB2312" w:hAnsi="楷体_GB2312" w:eastAsia="楷体_GB2312" w:cs="楷体_GB2312"/>
          <w:b/>
          <w:kern w:val="0"/>
          <w:sz w:val="24"/>
          <w:szCs w:val="24"/>
        </w:rPr>
        <w:t>（五）循环购买安排（如有）</w:t>
      </w:r>
      <w:bookmarkEnd w:id="3299"/>
      <w:bookmarkEnd w:id="3300"/>
      <w:bookmarkEnd w:id="3301"/>
      <w:bookmarkEnd w:id="3302"/>
      <w:bookmarkEnd w:id="3303"/>
      <w:bookmarkEnd w:id="3304"/>
      <w:bookmarkEnd w:id="3305"/>
      <w:bookmarkEnd w:id="3306"/>
    </w:p>
    <w:p>
      <w:pPr>
        <w:pStyle w:val="2"/>
        <w:keepNext w:val="0"/>
        <w:keepLines w:val="0"/>
        <w:pageBreakBefore w:val="0"/>
        <w:widowControl w:val="0"/>
        <w:kinsoku/>
        <w:wordWrap/>
        <w:topLinePunct w:val="0"/>
        <w:bidi w:val="0"/>
        <w:spacing w:before="157" w:beforeLines="50" w:after="157" w:afterLines="50" w:line="240" w:lineRule="atLeast"/>
        <w:ind w:firstLine="482"/>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《信托合同》“13资产的循环购买”的内容。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307" w:name="_Toc23866"/>
      <w:bookmarkStart w:id="3308" w:name="_Toc10346"/>
      <w:bookmarkStart w:id="3309" w:name="_Toc11675"/>
      <w:bookmarkStart w:id="3310" w:name="_Toc4110"/>
      <w:bookmarkStart w:id="3311" w:name="_Toc7400"/>
      <w:bookmarkStart w:id="3312" w:name="_Toc31019"/>
      <w:bookmarkStart w:id="3313" w:name="_Toc4951"/>
      <w:r>
        <w:rPr>
          <w:rFonts w:hint="eastAsia" w:ascii="楷体_GB2312" w:hAnsi="楷体_GB2312" w:eastAsia="楷体_GB2312" w:cs="楷体_GB2312"/>
          <w:b/>
          <w:kern w:val="0"/>
          <w:sz w:val="24"/>
          <w:szCs w:val="24"/>
        </w:rPr>
        <w:t>（六）追加交付安排（如有）</w:t>
      </w:r>
      <w:bookmarkEnd w:id="3307"/>
      <w:bookmarkEnd w:id="3308"/>
      <w:bookmarkEnd w:id="3309"/>
      <w:bookmarkEnd w:id="3310"/>
      <w:bookmarkEnd w:id="3311"/>
      <w:bookmarkEnd w:id="3312"/>
      <w:bookmarkEnd w:id="3313"/>
    </w:p>
    <w:p>
      <w:pPr>
        <w:pStyle w:val="2"/>
        <w:keepNext w:val="0"/>
        <w:keepLines w:val="0"/>
        <w:pageBreakBefore w:val="0"/>
        <w:widowControl w:val="0"/>
        <w:kinsoku/>
        <w:wordWrap/>
        <w:topLinePunct w:val="0"/>
        <w:bidi w:val="0"/>
        <w:spacing w:before="157" w:beforeLines="50" w:after="157" w:afterLines="50" w:line="240" w:lineRule="atLeast"/>
        <w:ind w:firstLine="482"/>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《信托合同》“14资产的追加交付”的内容。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314" w:name="_Toc11256"/>
      <w:bookmarkStart w:id="3315" w:name="_Toc6917"/>
      <w:bookmarkStart w:id="3316" w:name="_Toc14132"/>
      <w:bookmarkStart w:id="3317" w:name="_Toc11445"/>
      <w:bookmarkStart w:id="3318" w:name="_Toc4386"/>
      <w:bookmarkStart w:id="3319" w:name="_Toc17148"/>
      <w:bookmarkStart w:id="3320" w:name="_Toc3165"/>
      <w:bookmarkStart w:id="3321" w:name="_Toc29762"/>
      <w:r>
        <w:rPr>
          <w:rFonts w:hint="eastAsia" w:ascii="楷体_GB2312" w:hAnsi="楷体_GB2312" w:eastAsia="楷体_GB2312" w:cs="楷体_GB2312"/>
          <w:b/>
          <w:kern w:val="0"/>
          <w:sz w:val="24"/>
          <w:szCs w:val="24"/>
        </w:rPr>
        <w:t>（七）回购资产安排（如有）</w:t>
      </w:r>
      <w:bookmarkEnd w:id="3314"/>
      <w:bookmarkEnd w:id="3315"/>
      <w:bookmarkEnd w:id="3316"/>
      <w:bookmarkEnd w:id="3317"/>
      <w:bookmarkEnd w:id="3318"/>
      <w:bookmarkEnd w:id="3319"/>
      <w:bookmarkEnd w:id="3320"/>
      <w:bookmarkEnd w:id="3321"/>
    </w:p>
    <w:p>
      <w:pPr>
        <w:pStyle w:val="2"/>
        <w:keepNext w:val="0"/>
        <w:keepLines w:val="0"/>
        <w:pageBreakBefore w:val="0"/>
        <w:widowControl w:val="0"/>
        <w:kinsoku/>
        <w:wordWrap/>
        <w:topLinePunct w:val="0"/>
        <w:bidi w:val="0"/>
        <w:spacing w:before="157" w:beforeLines="50" w:after="157" w:afterLines="50" w:line="240" w:lineRule="atLeast"/>
        <w:ind w:firstLine="482"/>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《信托合同》“15.1委托人选择进行回购”的内容。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2"/>
        <w:rPr>
          <w:rFonts w:hint="eastAsia" w:ascii="楷体_GB2312" w:hAnsi="楷体_GB2312" w:eastAsia="楷体_GB2312" w:cs="楷体_GB2312"/>
          <w:b/>
          <w:kern w:val="0"/>
          <w:sz w:val="24"/>
          <w:szCs w:val="24"/>
        </w:rPr>
      </w:pPr>
      <w:bookmarkStart w:id="3322" w:name="_Toc27287"/>
      <w:bookmarkStart w:id="3323" w:name="_Toc14617"/>
      <w:bookmarkStart w:id="3324" w:name="_Toc8609"/>
      <w:bookmarkStart w:id="3325" w:name="_Toc30590"/>
      <w:bookmarkStart w:id="3326" w:name="_Toc12997"/>
      <w:bookmarkStart w:id="3327" w:name="_Toc1864"/>
      <w:bookmarkStart w:id="3328" w:name="_Toc11429"/>
      <w:bookmarkStart w:id="3329" w:name="_Toc10398"/>
      <w:bookmarkStart w:id="3330" w:name="_Toc205"/>
      <w:r>
        <w:rPr>
          <w:rFonts w:hint="eastAsia" w:ascii="楷体_GB2312" w:hAnsi="楷体_GB2312" w:eastAsia="楷体_GB2312" w:cs="楷体_GB2312"/>
          <w:b/>
          <w:kern w:val="0"/>
          <w:sz w:val="24"/>
          <w:szCs w:val="24"/>
        </w:rPr>
        <w:t>三、各当事方的权利与义务</w:t>
      </w:r>
      <w:bookmarkEnd w:id="3322"/>
      <w:bookmarkEnd w:id="3323"/>
      <w:bookmarkEnd w:id="3324"/>
      <w:bookmarkEnd w:id="3325"/>
      <w:bookmarkEnd w:id="3326"/>
      <w:bookmarkEnd w:id="3327"/>
      <w:bookmarkEnd w:id="3328"/>
      <w:bookmarkEnd w:id="3329"/>
      <w:bookmarkEnd w:id="3330"/>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331" w:name="_Toc15979"/>
      <w:bookmarkStart w:id="3332" w:name="_Toc29718"/>
      <w:bookmarkStart w:id="3333" w:name="_Toc32053"/>
      <w:bookmarkStart w:id="3334" w:name="_Toc7176"/>
      <w:bookmarkStart w:id="3335" w:name="_Toc1001"/>
      <w:bookmarkStart w:id="3336" w:name="_Toc12793"/>
      <w:bookmarkStart w:id="3337" w:name="_Toc18169"/>
      <w:bookmarkStart w:id="3338" w:name="_Toc3836"/>
      <w:r>
        <w:rPr>
          <w:rFonts w:hint="eastAsia" w:ascii="楷体_GB2312" w:hAnsi="楷体_GB2312" w:eastAsia="楷体_GB2312" w:cs="楷体_GB2312"/>
          <w:b/>
          <w:kern w:val="0"/>
          <w:sz w:val="24"/>
          <w:szCs w:val="24"/>
        </w:rPr>
        <w:t>（一）</w:t>
      </w:r>
      <w:bookmarkStart w:id="3339" w:name="_Hlk35251880"/>
      <w:r>
        <w:rPr>
          <w:rFonts w:hint="eastAsia" w:ascii="楷体_GB2312" w:hAnsi="楷体_GB2312" w:eastAsia="楷体_GB2312" w:cs="楷体_GB2312"/>
          <w:b/>
          <w:kern w:val="0"/>
          <w:sz w:val="24"/>
          <w:szCs w:val="24"/>
        </w:rPr>
        <w:t>发起机构/委托人</w:t>
      </w:r>
      <w:bookmarkEnd w:id="3331"/>
      <w:bookmarkEnd w:id="3332"/>
      <w:bookmarkEnd w:id="3333"/>
      <w:bookmarkEnd w:id="3334"/>
      <w:bookmarkEnd w:id="3335"/>
      <w:bookmarkEnd w:id="3336"/>
      <w:bookmarkEnd w:id="3337"/>
      <w:bookmarkEnd w:id="3338"/>
    </w:p>
    <w:p>
      <w:pPr>
        <w:pStyle w:val="2"/>
        <w:keepNext w:val="0"/>
        <w:keepLines w:val="0"/>
        <w:pageBreakBefore w:val="0"/>
        <w:widowControl w:val="0"/>
        <w:kinsoku/>
        <w:wordWrap/>
        <w:topLinePunct w:val="0"/>
        <w:bidi w:val="0"/>
        <w:spacing w:before="157" w:beforeLines="50" w:after="157" w:afterLines="50" w:line="240" w:lineRule="atLeast"/>
        <w:ind w:firstLine="482"/>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《信托合同》“4委托人”的内容。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340" w:name="_Toc32550"/>
      <w:bookmarkStart w:id="3341" w:name="_Toc20087"/>
      <w:bookmarkStart w:id="3342" w:name="_Toc25143"/>
      <w:bookmarkStart w:id="3343" w:name="_Toc31679"/>
      <w:bookmarkStart w:id="3344" w:name="_Toc5938"/>
      <w:bookmarkStart w:id="3345" w:name="_Toc16712"/>
      <w:bookmarkStart w:id="3346" w:name="_Toc21446"/>
      <w:bookmarkStart w:id="3347" w:name="_Toc10337"/>
      <w:bookmarkStart w:id="3348" w:name="_Toc25065"/>
      <w:bookmarkStart w:id="3349" w:name="_Toc27102"/>
      <w:bookmarkStart w:id="3350" w:name="_Toc18643"/>
      <w:bookmarkStart w:id="3351" w:name="_Toc26088"/>
      <w:bookmarkStart w:id="3352" w:name="_Toc20226"/>
      <w:bookmarkStart w:id="3353" w:name="_Toc8257"/>
      <w:bookmarkStart w:id="3354" w:name="_Toc22981"/>
      <w:bookmarkStart w:id="3355" w:name="_Toc429"/>
      <w:r>
        <w:rPr>
          <w:rFonts w:hint="eastAsia" w:ascii="楷体_GB2312" w:hAnsi="楷体_GB2312" w:eastAsia="楷体_GB2312" w:cs="楷体_GB2312"/>
          <w:b/>
          <w:kern w:val="0"/>
          <w:sz w:val="24"/>
          <w:szCs w:val="24"/>
        </w:rPr>
        <w:t>（二）发行载体管理机构/受托人</w:t>
      </w:r>
      <w:bookmarkEnd w:id="3340"/>
      <w:bookmarkEnd w:id="3341"/>
      <w:bookmarkEnd w:id="3342"/>
      <w:bookmarkEnd w:id="3343"/>
      <w:bookmarkEnd w:id="3344"/>
      <w:bookmarkEnd w:id="3345"/>
      <w:bookmarkEnd w:id="3346"/>
      <w:bookmarkEnd w:id="3347"/>
    </w:p>
    <w:p>
      <w:pPr>
        <w:pStyle w:val="2"/>
        <w:keepNext w:val="0"/>
        <w:keepLines w:val="0"/>
        <w:pageBreakBefore w:val="0"/>
        <w:widowControl w:val="0"/>
        <w:kinsoku/>
        <w:wordWrap/>
        <w:topLinePunct w:val="0"/>
        <w:bidi w:val="0"/>
        <w:spacing w:before="157" w:beforeLines="50" w:after="157" w:afterLines="50" w:line="240" w:lineRule="atLeast"/>
        <w:ind w:firstLine="482"/>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《信托合同》“5受托人”的内容。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（三）投资人/受益人</w:t>
      </w:r>
      <w:bookmarkEnd w:id="3348"/>
      <w:bookmarkEnd w:id="3349"/>
      <w:bookmarkEnd w:id="3350"/>
      <w:bookmarkEnd w:id="3351"/>
      <w:bookmarkEnd w:id="3352"/>
      <w:bookmarkEnd w:id="3353"/>
      <w:bookmarkEnd w:id="3354"/>
      <w:bookmarkEnd w:id="3355"/>
    </w:p>
    <w:p>
      <w:pPr>
        <w:pStyle w:val="2"/>
        <w:keepNext w:val="0"/>
        <w:keepLines w:val="0"/>
        <w:pageBreakBefore w:val="0"/>
        <w:widowControl w:val="0"/>
        <w:kinsoku/>
        <w:wordWrap/>
        <w:topLinePunct w:val="0"/>
        <w:bidi w:val="0"/>
        <w:spacing w:before="157" w:beforeLines="50" w:after="157" w:afterLines="50" w:line="240" w:lineRule="atLeast"/>
        <w:ind w:firstLine="482"/>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《信托合同》“6受益人”的内容。</w:t>
      </w:r>
    </w:p>
    <w:bookmarkEnd w:id="3339"/>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356" w:name="_Toc1236"/>
      <w:bookmarkStart w:id="3357" w:name="_Toc31100"/>
      <w:bookmarkStart w:id="3358" w:name="_Toc2729"/>
      <w:bookmarkStart w:id="3359" w:name="_Toc21581"/>
      <w:bookmarkStart w:id="3360" w:name="_Toc32265"/>
      <w:bookmarkStart w:id="3361" w:name="_Toc2454"/>
      <w:bookmarkStart w:id="3362" w:name="_Toc30713"/>
      <w:bookmarkStart w:id="3363" w:name="_Toc3237"/>
      <w:r>
        <w:rPr>
          <w:rFonts w:hint="eastAsia" w:ascii="楷体_GB2312" w:hAnsi="楷体_GB2312" w:eastAsia="楷体_GB2312" w:cs="楷体_GB2312"/>
          <w:b/>
          <w:kern w:val="0"/>
          <w:sz w:val="24"/>
          <w:szCs w:val="24"/>
        </w:rPr>
        <w:t>（四）信用增级机构（如有）</w:t>
      </w:r>
      <w:bookmarkEnd w:id="3356"/>
      <w:bookmarkEnd w:id="3357"/>
      <w:bookmarkEnd w:id="3358"/>
      <w:bookmarkEnd w:id="3359"/>
      <w:bookmarkEnd w:id="3360"/>
      <w:bookmarkEnd w:id="3361"/>
      <w:bookmarkEnd w:id="3362"/>
      <w:bookmarkEnd w:id="3363"/>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364" w:name="_Toc6995"/>
      <w:bookmarkStart w:id="3365" w:name="_Toc23971"/>
      <w:bookmarkStart w:id="3366" w:name="_Toc13901"/>
      <w:bookmarkStart w:id="3367" w:name="_Toc25249"/>
      <w:bookmarkStart w:id="3368" w:name="_Toc7391"/>
      <w:bookmarkStart w:id="3369" w:name="_Toc4982"/>
      <w:bookmarkStart w:id="3370" w:name="_Toc29141"/>
      <w:bookmarkStart w:id="3371" w:name="_Toc16509"/>
      <w:r>
        <w:rPr>
          <w:rFonts w:hint="eastAsia" w:ascii="楷体_GB2312" w:hAnsi="楷体_GB2312" w:eastAsia="楷体_GB2312" w:cs="楷体_GB2312"/>
          <w:b/>
          <w:kern w:val="0"/>
          <w:sz w:val="24"/>
          <w:szCs w:val="24"/>
        </w:rPr>
        <w:t>（五）资产服务机构（如有）</w:t>
      </w:r>
      <w:bookmarkEnd w:id="3364"/>
      <w:bookmarkEnd w:id="3365"/>
      <w:bookmarkEnd w:id="3366"/>
      <w:bookmarkEnd w:id="3367"/>
      <w:bookmarkEnd w:id="3368"/>
      <w:bookmarkEnd w:id="3369"/>
      <w:bookmarkEnd w:id="3370"/>
      <w:bookmarkEnd w:id="3371"/>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372" w:name="_Toc26305"/>
      <w:bookmarkStart w:id="3373" w:name="_Toc12408"/>
      <w:bookmarkStart w:id="3374" w:name="_Toc17919"/>
      <w:bookmarkStart w:id="3375" w:name="_Toc4878"/>
      <w:bookmarkStart w:id="3376" w:name="_Toc29267"/>
      <w:bookmarkStart w:id="3377" w:name="_Toc17106"/>
      <w:bookmarkStart w:id="3378" w:name="_Toc28429"/>
      <w:bookmarkStart w:id="3379" w:name="_Toc9585"/>
      <w:r>
        <w:rPr>
          <w:rFonts w:hint="eastAsia" w:ascii="楷体_GB2312" w:hAnsi="楷体_GB2312" w:eastAsia="楷体_GB2312" w:cs="楷体_GB2312"/>
          <w:b/>
          <w:kern w:val="0"/>
          <w:sz w:val="24"/>
          <w:szCs w:val="24"/>
        </w:rPr>
        <w:t>（六）资金保管机构</w:t>
      </w:r>
      <w:bookmarkEnd w:id="3372"/>
      <w:bookmarkEnd w:id="3373"/>
      <w:bookmarkEnd w:id="3374"/>
      <w:bookmarkEnd w:id="3375"/>
      <w:bookmarkEnd w:id="3376"/>
      <w:bookmarkEnd w:id="3377"/>
      <w:bookmarkEnd w:id="3378"/>
      <w:bookmarkEnd w:id="3379"/>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pPr>
      <w:bookmarkStart w:id="3380" w:name="_Toc10447"/>
      <w:bookmarkStart w:id="3381" w:name="_Toc20940"/>
      <w:bookmarkStart w:id="3382" w:name="_Toc11084"/>
      <w:bookmarkStart w:id="3383" w:name="_Toc3957"/>
      <w:bookmarkStart w:id="3384" w:name="_Toc26030"/>
      <w:bookmarkStart w:id="3385" w:name="_Toc19955"/>
      <w:bookmarkStart w:id="3386" w:name="_Toc4997"/>
      <w:bookmarkStart w:id="3387" w:name="_Toc4713"/>
      <w:r>
        <w:rPr>
          <w:rFonts w:hint="eastAsia" w:ascii="楷体_GB2312" w:hAnsi="楷体_GB2312" w:eastAsia="楷体_GB2312" w:cs="楷体_GB2312"/>
          <w:b/>
          <w:kern w:val="0"/>
          <w:sz w:val="24"/>
          <w:szCs w:val="24"/>
        </w:rPr>
        <w:t>（七）资金监管机构（如有）</w:t>
      </w:r>
      <w:bookmarkEnd w:id="3380"/>
      <w:bookmarkEnd w:id="3381"/>
      <w:bookmarkEnd w:id="3382"/>
      <w:bookmarkEnd w:id="3383"/>
      <w:bookmarkEnd w:id="3384"/>
      <w:bookmarkEnd w:id="3385"/>
      <w:bookmarkEnd w:id="3386"/>
      <w:bookmarkEnd w:id="3387"/>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388" w:name="_Toc29889"/>
      <w:bookmarkStart w:id="3389" w:name="_Toc13539"/>
      <w:bookmarkStart w:id="3390" w:name="_Toc3872"/>
      <w:bookmarkStart w:id="3391" w:name="_Toc10789"/>
      <w:bookmarkStart w:id="3392" w:name="_Toc25607"/>
      <w:bookmarkStart w:id="3393" w:name="_Toc29986"/>
      <w:bookmarkStart w:id="3394" w:name="_Toc17230"/>
      <w:r>
        <w:rPr>
          <w:rFonts w:hint="eastAsia" w:ascii="楷体_GB2312" w:hAnsi="楷体_GB2312" w:eastAsia="楷体_GB2312" w:cs="楷体_GB2312"/>
          <w:b/>
          <w:kern w:val="0"/>
          <w:sz w:val="24"/>
          <w:szCs w:val="24"/>
        </w:rPr>
        <w:t>（八）主承销商</w:t>
      </w:r>
      <w:bookmarkEnd w:id="3388"/>
      <w:bookmarkEnd w:id="3389"/>
      <w:bookmarkEnd w:id="3390"/>
      <w:bookmarkEnd w:id="3391"/>
      <w:bookmarkEnd w:id="3392"/>
      <w:bookmarkEnd w:id="3393"/>
      <w:bookmarkEnd w:id="3394"/>
    </w:p>
    <w:p>
      <w:pPr>
        <w:keepNext w:val="0"/>
        <w:keepLines w:val="0"/>
        <w:pageBreakBefore w:val="0"/>
        <w:widowControl w:val="0"/>
        <w:kinsoku/>
        <w:wordWrap/>
        <w:overflowPunct w:val="0"/>
        <w:topLinePunct w:val="0"/>
        <w:autoSpaceDE w:val="0"/>
        <w:autoSpaceDN w:val="0"/>
        <w:bidi w:val="0"/>
        <w:adjustRightInd w:val="0"/>
        <w:snapToGrid w:val="0"/>
        <w:spacing w:before="157" w:beforeLines="50" w:after="157" w:afterLines="50" w:line="240" w:lineRule="atLeast"/>
        <w:ind w:firstLine="480" w:firstLineChars="200"/>
        <w:jc w:val="both"/>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br w:type="page"/>
      </w:r>
    </w:p>
    <w:p>
      <w:pPr>
        <w:pStyle w:val="156"/>
        <w:keepNext w:val="0"/>
        <w:keepLines w:val="0"/>
        <w:pageBreakBefore w:val="0"/>
        <w:widowControl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outlineLvl w:val="1"/>
        <w:rPr>
          <w:rFonts w:hint="eastAsia" w:ascii="楷体_GB2312" w:hAnsi="楷体_GB2312" w:eastAsia="楷体_GB2312" w:cs="楷体_GB2312"/>
          <w:b/>
          <w:bCs/>
          <w:kern w:val="0"/>
          <w:sz w:val="30"/>
          <w:szCs w:val="30"/>
        </w:rPr>
      </w:pPr>
      <w:bookmarkStart w:id="3395" w:name="_Toc31680"/>
      <w:bookmarkStart w:id="3396" w:name="_Toc17940"/>
      <w:bookmarkStart w:id="3397" w:name="_Toc22144"/>
      <w:bookmarkStart w:id="3398" w:name="_Toc6798"/>
      <w:bookmarkStart w:id="3399" w:name="_Toc16693"/>
      <w:bookmarkStart w:id="3400" w:name="_Toc17343"/>
      <w:bookmarkStart w:id="3401" w:name="_Toc28561"/>
      <w:bookmarkStart w:id="3402" w:name="_Toc22410"/>
      <w:bookmarkStart w:id="3403" w:name="_Toc20136"/>
      <w:r>
        <w:rPr>
          <w:rFonts w:hint="eastAsia" w:ascii="楷体_GB2312" w:hAnsi="楷体_GB2312" w:eastAsia="楷体_GB2312" w:cs="楷体_GB2312"/>
          <w:b/>
          <w:bCs/>
          <w:kern w:val="0"/>
          <w:sz w:val="30"/>
          <w:szCs w:val="30"/>
        </w:rPr>
        <w:t>定向资产支持商业票据的信用增级方式</w:t>
      </w:r>
      <w:bookmarkEnd w:id="3395"/>
      <w:bookmarkEnd w:id="3396"/>
      <w:bookmarkEnd w:id="3397"/>
      <w:bookmarkEnd w:id="3398"/>
      <w:bookmarkEnd w:id="3399"/>
      <w:bookmarkEnd w:id="3400"/>
      <w:bookmarkEnd w:id="3401"/>
      <w:bookmarkEnd w:id="3402"/>
      <w:bookmarkEnd w:id="3403"/>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0" w:firstLineChars="200"/>
        <w:jc w:val="both"/>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本期资产支持商业票据安排了【优先级/次级分层、现金流超额覆盖、差额支付承诺等/（其他）】信用增级方式，以下就相关信用增级方式介绍如下：</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2"/>
        <w:rPr>
          <w:rFonts w:hint="eastAsia" w:ascii="楷体_GB2312" w:hAnsi="楷体_GB2312" w:eastAsia="楷体_GB2312" w:cs="楷体_GB2312"/>
          <w:b/>
          <w:kern w:val="0"/>
          <w:sz w:val="24"/>
          <w:szCs w:val="24"/>
        </w:rPr>
      </w:pPr>
      <w:bookmarkStart w:id="3404" w:name="_Toc4154"/>
      <w:bookmarkStart w:id="3405" w:name="_Toc31275"/>
      <w:bookmarkStart w:id="3406" w:name="_Toc28933"/>
      <w:bookmarkStart w:id="3407" w:name="_Toc17597"/>
      <w:bookmarkStart w:id="3408" w:name="_Toc3755"/>
      <w:bookmarkStart w:id="3409" w:name="_Toc4617"/>
      <w:bookmarkStart w:id="3410" w:name="_Toc21803"/>
      <w:bookmarkStart w:id="3411" w:name="_Toc5514"/>
      <w:bookmarkStart w:id="3412" w:name="_Toc408"/>
      <w:r>
        <w:rPr>
          <w:rFonts w:hint="eastAsia" w:ascii="楷体_GB2312" w:hAnsi="楷体_GB2312" w:eastAsia="楷体_GB2312" w:cs="楷体_GB2312"/>
          <w:b/>
          <w:kern w:val="0"/>
          <w:sz w:val="24"/>
          <w:szCs w:val="24"/>
        </w:rPr>
        <w:t>一、内部增信安排</w:t>
      </w:r>
      <w:bookmarkEnd w:id="3404"/>
      <w:bookmarkEnd w:id="3405"/>
      <w:bookmarkEnd w:id="3406"/>
      <w:bookmarkEnd w:id="3407"/>
      <w:bookmarkEnd w:id="3408"/>
      <w:bookmarkEnd w:id="3409"/>
      <w:bookmarkEnd w:id="3410"/>
      <w:bookmarkEnd w:id="3411"/>
      <w:bookmarkEnd w:id="3412"/>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413" w:name="_Toc24536"/>
      <w:bookmarkStart w:id="3414" w:name="_Toc5162"/>
      <w:bookmarkStart w:id="3415" w:name="_Toc23464"/>
      <w:bookmarkStart w:id="3416" w:name="_Toc10199"/>
      <w:bookmarkStart w:id="3417" w:name="_Toc11485"/>
      <w:bookmarkStart w:id="3418" w:name="_Toc912"/>
      <w:bookmarkStart w:id="3419" w:name="_Toc31860"/>
      <w:bookmarkStart w:id="3420" w:name="_Toc9028"/>
      <w:r>
        <w:rPr>
          <w:rFonts w:hint="eastAsia" w:ascii="楷体_GB2312" w:hAnsi="楷体_GB2312" w:eastAsia="楷体_GB2312" w:cs="楷体_GB2312"/>
          <w:b/>
          <w:bCs/>
          <w:snapToGrid w:val="0"/>
          <w:kern w:val="0"/>
          <w:sz w:val="24"/>
          <w:szCs w:val="24"/>
        </w:rPr>
        <w:t>（一）优先级/次级分层</w:t>
      </w:r>
      <w:r>
        <w:rPr>
          <w:rFonts w:hint="eastAsia" w:ascii="楷体_GB2312" w:hAnsi="楷体_GB2312" w:eastAsia="楷体_GB2312" w:cs="楷体_GB2312"/>
          <w:b/>
          <w:kern w:val="0"/>
          <w:sz w:val="24"/>
          <w:szCs w:val="24"/>
        </w:rPr>
        <w:t>（如有）</w:t>
      </w:r>
      <w:bookmarkEnd w:id="3413"/>
      <w:bookmarkEnd w:id="3414"/>
      <w:bookmarkEnd w:id="3415"/>
      <w:bookmarkEnd w:id="3416"/>
      <w:bookmarkEnd w:id="3417"/>
      <w:bookmarkEnd w:id="3418"/>
      <w:bookmarkEnd w:id="3419"/>
      <w:bookmarkEnd w:id="3420"/>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421" w:name="_Toc12017"/>
      <w:bookmarkStart w:id="3422" w:name="_Toc27637"/>
      <w:bookmarkStart w:id="3423" w:name="_Toc10050"/>
      <w:bookmarkStart w:id="3424" w:name="_Toc15779"/>
      <w:bookmarkStart w:id="3425" w:name="_Toc13241"/>
      <w:bookmarkStart w:id="3426" w:name="_Toc15017"/>
      <w:bookmarkStart w:id="3427" w:name="_Toc28025"/>
      <w:bookmarkStart w:id="3428" w:name="_Toc23886"/>
      <w:r>
        <w:rPr>
          <w:rFonts w:hint="eastAsia" w:ascii="楷体_GB2312" w:hAnsi="楷体_GB2312" w:eastAsia="楷体_GB2312" w:cs="楷体_GB2312"/>
          <w:b/>
          <w:bCs/>
          <w:snapToGrid w:val="0"/>
          <w:kern w:val="0"/>
          <w:sz w:val="24"/>
          <w:szCs w:val="24"/>
        </w:rPr>
        <w:t>（二）</w:t>
      </w:r>
      <w:r>
        <w:rPr>
          <w:rFonts w:hint="eastAsia" w:ascii="楷体_GB2312" w:hAnsi="楷体_GB2312" w:eastAsia="楷体_GB2312" w:cs="楷体_GB2312"/>
          <w:b/>
          <w:kern w:val="0"/>
          <w:sz w:val="24"/>
          <w:szCs w:val="24"/>
        </w:rPr>
        <w:t>现金流超额覆盖（如有）</w:t>
      </w:r>
      <w:bookmarkEnd w:id="3421"/>
      <w:bookmarkEnd w:id="3422"/>
      <w:bookmarkEnd w:id="3423"/>
      <w:bookmarkEnd w:id="3424"/>
      <w:bookmarkEnd w:id="3425"/>
      <w:bookmarkEnd w:id="3426"/>
      <w:bookmarkEnd w:id="3427"/>
      <w:bookmarkEnd w:id="3428"/>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kern w:val="0"/>
          <w:sz w:val="24"/>
          <w:szCs w:val="24"/>
        </w:rPr>
      </w:pPr>
      <w:bookmarkStart w:id="3429" w:name="_Toc5024"/>
      <w:bookmarkStart w:id="3430" w:name="_Toc29798"/>
      <w:bookmarkStart w:id="3431" w:name="_Toc9682"/>
      <w:bookmarkStart w:id="3432" w:name="_Toc28238"/>
      <w:bookmarkStart w:id="3433" w:name="_Toc31513"/>
      <w:bookmarkStart w:id="3434" w:name="_Toc9855"/>
      <w:bookmarkStart w:id="3435" w:name="_Toc3834"/>
      <w:bookmarkStart w:id="3436" w:name="_Toc12027"/>
      <w:r>
        <w:rPr>
          <w:rFonts w:hint="eastAsia" w:ascii="楷体_GB2312" w:hAnsi="楷体_GB2312" w:eastAsia="楷体_GB2312" w:cs="楷体_GB2312"/>
          <w:b/>
          <w:bCs/>
          <w:snapToGrid w:val="0"/>
          <w:kern w:val="0"/>
          <w:sz w:val="24"/>
          <w:szCs w:val="24"/>
        </w:rPr>
        <w:t>（三）</w:t>
      </w:r>
      <w:r>
        <w:rPr>
          <w:rFonts w:hint="eastAsia" w:ascii="楷体_GB2312" w:hAnsi="楷体_GB2312" w:eastAsia="楷体_GB2312" w:cs="楷体_GB2312"/>
          <w:b/>
          <w:kern w:val="0"/>
          <w:sz w:val="24"/>
          <w:szCs w:val="24"/>
        </w:rPr>
        <w:t>信用触发机制</w:t>
      </w:r>
      <w:bookmarkEnd w:id="3429"/>
      <w:bookmarkEnd w:id="3430"/>
      <w:bookmarkEnd w:id="3431"/>
      <w:bookmarkEnd w:id="3432"/>
      <w:bookmarkEnd w:id="3433"/>
      <w:bookmarkEnd w:id="3434"/>
      <w:bookmarkEnd w:id="3435"/>
      <w:bookmarkEnd w:id="3436"/>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1、加速清偿事件（如有）</w:t>
      </w:r>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2、违约事件</w:t>
      </w:r>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ascii="楷体_GB2312" w:hAnsi="楷体_GB2312" w:eastAsia="楷体_GB2312" w:cs="楷体_GB2312"/>
          <w:b/>
          <w:sz w:val="24"/>
          <w:szCs w:val="24"/>
        </w:rPr>
      </w:pPr>
      <w:r>
        <w:rPr>
          <w:rFonts w:hint="eastAsia" w:ascii="楷体_GB2312" w:hAnsi="楷体_GB2312" w:eastAsia="楷体_GB2312" w:cs="楷体_GB2312"/>
          <w:b/>
          <w:sz w:val="24"/>
          <w:szCs w:val="24"/>
        </w:rPr>
        <w:t>3、</w:t>
      </w:r>
      <w:r>
        <w:rPr>
          <w:rFonts w:ascii="楷体_GB2312" w:hAnsi="楷体_GB2312" w:eastAsia="楷体_GB2312" w:cs="楷体_GB2312"/>
          <w:b/>
          <w:sz w:val="24"/>
          <w:szCs w:val="24"/>
        </w:rPr>
        <w:t>循环期提前终止事件</w:t>
      </w:r>
      <w:r>
        <w:rPr>
          <w:rFonts w:hint="eastAsia" w:ascii="楷体_GB2312" w:hAnsi="楷体_GB2312" w:eastAsia="楷体_GB2312" w:cs="楷体_GB2312"/>
          <w:b/>
          <w:sz w:val="24"/>
          <w:szCs w:val="24"/>
        </w:rPr>
        <w:t>（如有）</w:t>
      </w:r>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4、滚动发行提前终止事件</w:t>
      </w:r>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5、权利完善事件（如有）</w:t>
      </w:r>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ascii="楷体_GB2312" w:hAnsi="楷体_GB2312" w:eastAsia="楷体_GB2312" w:cs="楷体_GB2312"/>
          <w:b/>
          <w:color w:val="FF0000"/>
          <w:sz w:val="24"/>
          <w:szCs w:val="24"/>
          <w:u w:val="single"/>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《主定义表》“一、定义（138）</w:t>
      </w:r>
      <w:r>
        <w:rPr>
          <w:rFonts w:hint="eastAsia" w:ascii="楷体_GB2312" w:hAnsi="楷体_GB2312" w:eastAsia="楷体_GB2312" w:cs="楷体_GB2312"/>
          <w:b/>
          <w:color w:val="FF0000"/>
          <w:sz w:val="24"/>
          <w:szCs w:val="24"/>
          <w:u w:val="single"/>
        </w:rPr>
        <w:t>加速清偿事件</w:t>
      </w:r>
      <w:r>
        <w:rPr>
          <w:rFonts w:hint="eastAsia" w:ascii="Times New Roman" w:hAnsi="Times New Roman" w:eastAsia="楷体_GB2312" w:cs="Times New Roman"/>
          <w:b/>
          <w:i/>
          <w:color w:val="FF0000"/>
          <w:sz w:val="24"/>
          <w:szCs w:val="28"/>
          <w:u w:val="single"/>
        </w:rPr>
        <w:t>、（139）</w:t>
      </w:r>
      <w:r>
        <w:rPr>
          <w:rFonts w:hint="eastAsia" w:ascii="楷体_GB2312" w:hAnsi="楷体_GB2312" w:eastAsia="楷体_GB2312" w:cs="楷体_GB2312"/>
          <w:b/>
          <w:color w:val="FF0000"/>
          <w:sz w:val="24"/>
          <w:szCs w:val="24"/>
          <w:u w:val="single"/>
        </w:rPr>
        <w:t>违约事件</w:t>
      </w:r>
      <w:r>
        <w:rPr>
          <w:rFonts w:hint="eastAsia" w:ascii="Times New Roman" w:hAnsi="Times New Roman" w:eastAsia="楷体_GB2312" w:cs="Times New Roman"/>
          <w:b/>
          <w:i/>
          <w:color w:val="FF0000"/>
          <w:sz w:val="24"/>
          <w:szCs w:val="28"/>
          <w:u w:val="single"/>
        </w:rPr>
        <w:t>、（143）</w:t>
      </w:r>
      <w:r>
        <w:rPr>
          <w:rFonts w:ascii="楷体_GB2312" w:hAnsi="楷体_GB2312" w:eastAsia="楷体_GB2312" w:cs="楷体_GB2312"/>
          <w:b/>
          <w:color w:val="FF0000"/>
          <w:sz w:val="24"/>
          <w:szCs w:val="24"/>
          <w:u w:val="single"/>
        </w:rPr>
        <w:t>循环期提前终止事件</w:t>
      </w:r>
      <w:r>
        <w:rPr>
          <w:rFonts w:hint="eastAsia" w:ascii="Times New Roman" w:hAnsi="Times New Roman" w:eastAsia="楷体_GB2312" w:cs="Times New Roman"/>
          <w:b/>
          <w:i/>
          <w:color w:val="FF0000"/>
          <w:sz w:val="24"/>
          <w:szCs w:val="28"/>
          <w:u w:val="single"/>
        </w:rPr>
        <w:t>、（144）</w:t>
      </w:r>
      <w:r>
        <w:rPr>
          <w:rFonts w:hint="eastAsia" w:ascii="楷体_GB2312" w:hAnsi="楷体_GB2312" w:eastAsia="楷体_GB2312" w:cs="楷体_GB2312"/>
          <w:b/>
          <w:color w:val="FF0000"/>
          <w:sz w:val="24"/>
          <w:szCs w:val="24"/>
          <w:u w:val="single"/>
        </w:rPr>
        <w:t>滚动发行提前终止事件</w:t>
      </w:r>
      <w:r>
        <w:rPr>
          <w:rFonts w:hint="eastAsia" w:ascii="Times New Roman" w:hAnsi="Times New Roman" w:eastAsia="楷体_GB2312" w:cs="Times New Roman"/>
          <w:b/>
          <w:i/>
          <w:color w:val="FF0000"/>
          <w:sz w:val="24"/>
          <w:szCs w:val="28"/>
          <w:u w:val="single"/>
        </w:rPr>
        <w:t>和（1</w:t>
      </w:r>
      <w:r>
        <w:rPr>
          <w:rFonts w:hint="eastAsia" w:ascii="Times New Roman" w:hAnsi="Times New Roman" w:eastAsia="楷体_GB2312" w:cs="Times New Roman"/>
          <w:b/>
          <w:i/>
          <w:color w:val="FF0000"/>
          <w:sz w:val="24"/>
          <w:szCs w:val="28"/>
          <w:u w:val="single"/>
          <w:lang w:val="en-US" w:eastAsia="zh-CN"/>
        </w:rPr>
        <w:t>50</w:t>
      </w:r>
      <w:r>
        <w:rPr>
          <w:rFonts w:hint="eastAsia" w:ascii="Times New Roman" w:hAnsi="Times New Roman" w:eastAsia="楷体_GB2312" w:cs="Times New Roman"/>
          <w:b/>
          <w:i/>
          <w:color w:val="FF0000"/>
          <w:sz w:val="24"/>
          <w:szCs w:val="28"/>
          <w:u w:val="single"/>
        </w:rPr>
        <w:t>）</w:t>
      </w:r>
      <w:r>
        <w:rPr>
          <w:rFonts w:hint="eastAsia" w:ascii="楷体_GB2312" w:hAnsi="楷体_GB2312" w:eastAsia="楷体_GB2312" w:cs="楷体_GB2312"/>
          <w:b/>
          <w:color w:val="FF0000"/>
          <w:sz w:val="24"/>
          <w:szCs w:val="24"/>
          <w:u w:val="single"/>
        </w:rPr>
        <w:t>权利完善事件</w:t>
      </w:r>
      <w:r>
        <w:rPr>
          <w:rFonts w:hint="eastAsia" w:ascii="Times New Roman" w:hAnsi="Times New Roman" w:eastAsia="楷体_GB2312" w:cs="Times New Roman"/>
          <w:b/>
          <w:i/>
          <w:color w:val="FF0000"/>
          <w:sz w:val="24"/>
          <w:szCs w:val="28"/>
          <w:u w:val="single"/>
        </w:rPr>
        <w:t>”的内容。</w:t>
      </w:r>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项目实际情况阐述其他内部增信安排。</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2"/>
        <w:rPr>
          <w:rFonts w:hint="eastAsia" w:ascii="楷体_GB2312" w:hAnsi="楷体_GB2312" w:eastAsia="楷体_GB2312" w:cs="楷体_GB2312"/>
          <w:b/>
          <w:kern w:val="0"/>
          <w:sz w:val="24"/>
          <w:szCs w:val="24"/>
        </w:rPr>
      </w:pPr>
      <w:bookmarkStart w:id="3437" w:name="_Toc23792"/>
      <w:bookmarkStart w:id="3438" w:name="_Toc14940"/>
      <w:bookmarkStart w:id="3439" w:name="_Toc25101"/>
      <w:bookmarkStart w:id="3440" w:name="_Toc15470"/>
      <w:bookmarkStart w:id="3441" w:name="_Toc3919"/>
      <w:bookmarkStart w:id="3442" w:name="_Toc11655"/>
      <w:bookmarkStart w:id="3443" w:name="_Toc27314"/>
      <w:bookmarkStart w:id="3444" w:name="_Toc23211"/>
      <w:r>
        <w:rPr>
          <w:rFonts w:hint="eastAsia" w:ascii="楷体_GB2312" w:hAnsi="楷体_GB2312" w:eastAsia="楷体_GB2312" w:cs="楷体_GB2312"/>
          <w:b/>
          <w:kern w:val="0"/>
          <w:sz w:val="24"/>
          <w:szCs w:val="24"/>
        </w:rPr>
        <w:t>二、外部增信安排</w:t>
      </w:r>
      <w:bookmarkEnd w:id="3437"/>
      <w:bookmarkEnd w:id="3438"/>
      <w:bookmarkEnd w:id="3439"/>
      <w:bookmarkEnd w:id="3440"/>
      <w:bookmarkEnd w:id="3441"/>
      <w:r>
        <w:rPr>
          <w:rStyle w:val="48"/>
          <w:rFonts w:hint="eastAsia" w:ascii="楷体_GB2312" w:hAnsi="楷体_GB2312" w:eastAsia="楷体_GB2312" w:cs="楷体_GB2312"/>
          <w:b/>
          <w:kern w:val="0"/>
          <w:sz w:val="24"/>
          <w:szCs w:val="24"/>
        </w:rPr>
        <w:footnoteReference w:id="52"/>
      </w:r>
      <w:bookmarkEnd w:id="3442"/>
      <w:bookmarkEnd w:id="3443"/>
      <w:bookmarkEnd w:id="3444"/>
      <w:r>
        <w:rPr>
          <w:rFonts w:hint="eastAsia" w:ascii="楷体_GB2312" w:hAnsi="楷体_GB2312" w:eastAsia="楷体_GB2312" w:cs="楷体_GB2312"/>
          <w:b/>
          <w:kern w:val="0"/>
          <w:sz w:val="24"/>
          <w:szCs w:val="24"/>
        </w:rPr>
        <w:t>（如有）</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bCs/>
          <w:snapToGrid w:val="0"/>
          <w:kern w:val="0"/>
          <w:sz w:val="24"/>
          <w:szCs w:val="24"/>
        </w:rPr>
      </w:pPr>
      <w:bookmarkStart w:id="3445" w:name="_Toc24522"/>
      <w:bookmarkStart w:id="3446" w:name="_Toc21477"/>
      <w:bookmarkStart w:id="3447" w:name="_Toc30718"/>
      <w:bookmarkStart w:id="3448" w:name="_Toc22632"/>
      <w:bookmarkStart w:id="3449" w:name="_Toc18286"/>
      <w:bookmarkStart w:id="3450" w:name="_Toc32013"/>
      <w:bookmarkStart w:id="3451" w:name="_Toc24630"/>
      <w:bookmarkStart w:id="3452" w:name="_Toc28297"/>
      <w:r>
        <w:rPr>
          <w:rFonts w:hint="eastAsia" w:ascii="楷体_GB2312" w:hAnsi="楷体_GB2312" w:eastAsia="楷体_GB2312" w:cs="楷体_GB2312"/>
          <w:b/>
          <w:bCs/>
          <w:snapToGrid w:val="0"/>
          <w:kern w:val="0"/>
          <w:sz w:val="24"/>
          <w:szCs w:val="24"/>
        </w:rPr>
        <w:t>（一）差额支付承诺（如有）</w:t>
      </w:r>
      <w:bookmarkEnd w:id="3445"/>
      <w:bookmarkEnd w:id="3446"/>
      <w:bookmarkEnd w:id="3447"/>
      <w:bookmarkEnd w:id="3448"/>
      <w:bookmarkEnd w:id="3449"/>
      <w:bookmarkEnd w:id="3450"/>
      <w:bookmarkEnd w:id="3451"/>
      <w:bookmarkEnd w:id="3452"/>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《差额支付承诺函》及《主定义表》“一、定义（140）差额支付启动事件、（141）回收款差额支付启动事件和（142）滚动发行差额支付启动事件”的内容。</w:t>
      </w:r>
    </w:p>
    <w:p>
      <w:pPr>
        <w:keepNext w:val="0"/>
        <w:keepLines w:val="0"/>
        <w:pageBreakBefore w:val="0"/>
        <w:widowControl w:val="0"/>
        <w:kinsoku/>
        <w:wordWrap/>
        <w:topLinePunct w:val="0"/>
        <w:bidi w:val="0"/>
        <w:adjustRightInd w:val="0"/>
        <w:spacing w:before="157" w:beforeLines="50" w:after="157" w:afterLines="50" w:line="240" w:lineRule="atLeast"/>
        <w:ind w:firstLine="482" w:firstLineChars="200"/>
        <w:jc w:val="both"/>
        <w:textAlignment w:val="baseline"/>
        <w:rPr>
          <w:rFonts w:hint="eastAsia" w:ascii="Times New Roman" w:hAnsi="Times New Roman" w:eastAsia="楷体_GB2312" w:cs="Times New Roman"/>
          <w:b/>
          <w:i/>
          <w:color w:val="FF0000"/>
          <w:kern w:val="0"/>
          <w:sz w:val="24"/>
          <w:szCs w:val="28"/>
          <w:u w:val="single"/>
        </w:rPr>
      </w:pPr>
      <w:r>
        <w:rPr>
          <w:rFonts w:hint="eastAsia" w:ascii="Times New Roman" w:hAnsi="Times New Roman" w:eastAsia="楷体_GB2312" w:cs="Times New Roman"/>
          <w:b/>
          <w:i/>
          <w:color w:val="FF0000"/>
          <w:kern w:val="0"/>
          <w:sz w:val="24"/>
          <w:szCs w:val="28"/>
          <w:u w:val="single"/>
        </w:rPr>
        <w:t>差额支付承诺函需明确约定的内容，包括但不限于承诺对象、承诺范围、承诺期间、差额支付的启动条件、差额支付的操作流程、差额支付义务的承接、差额支付资金的偿还与追偿、法律适用与争议解决、差额支付承诺函的生效、对差额支付承诺函进行修改、变更、解除或终止应经过定向资产支持商业票据持有人会议同意等事项。差额支付范围可能包括（1）对基础资产回收款不足以按顺序支付完毕各期优先级资产支持商业票据的</w:t>
      </w:r>
      <w:r>
        <w:rPr>
          <w:rFonts w:hint="eastAsia" w:ascii="Times New Roman" w:hAnsi="Times New Roman" w:eastAsia="楷体_GB2312" w:cs="Times New Roman"/>
          <w:b/>
          <w:i/>
          <w:color w:val="FF0000"/>
          <w:kern w:val="0"/>
          <w:sz w:val="24"/>
          <w:szCs w:val="28"/>
          <w:u w:val="single"/>
          <w:lang w:val="en-US" w:eastAsia="zh-CN"/>
        </w:rPr>
        <w:t>利息</w:t>
      </w:r>
      <w:r>
        <w:rPr>
          <w:rFonts w:hint="eastAsia" w:ascii="Times New Roman" w:hAnsi="Times New Roman" w:eastAsia="楷体_GB2312" w:cs="Times New Roman"/>
          <w:b/>
          <w:i/>
          <w:color w:val="FF0000"/>
          <w:kern w:val="0"/>
          <w:sz w:val="24"/>
          <w:szCs w:val="28"/>
          <w:u w:val="single"/>
        </w:rPr>
        <w:t>以及最后一期优先级资产支持商业票据未偿本金余额的差额部分承担补足义务，（2）委托人未足额支付信托受益权转让对价或后一期优先级资产支持商业票据未滚动发行成功，对信托受益权转让对价的差额部分承担补足义务，（3）委托人未足额支付回购价款，包括委托人选择进行回购需支付的回购价款以及因中止滚动发行或滚动发行不成功委托人产生回购义务需支付的回购价款。</w:t>
      </w:r>
    </w:p>
    <w:p>
      <w:pPr>
        <w:keepNext w:val="0"/>
        <w:keepLines w:val="0"/>
        <w:pageBreakBefore w:val="0"/>
        <w:widowControl w:val="0"/>
        <w:kinsoku/>
        <w:wordWrap/>
        <w:topLinePunct w:val="0"/>
        <w:bidi w:val="0"/>
        <w:adjustRightInd w:val="0"/>
        <w:spacing w:before="157" w:beforeLines="50" w:after="157" w:afterLines="50" w:line="240" w:lineRule="atLeast"/>
        <w:ind w:firstLine="482" w:firstLineChars="200"/>
        <w:jc w:val="both"/>
        <w:textAlignment w:val="baseline"/>
        <w:rPr>
          <w:rFonts w:hint="eastAsia" w:ascii="Times New Roman" w:hAnsi="Times New Roman" w:eastAsia="楷体_GB2312" w:cs="Times New Roman"/>
          <w:b/>
          <w:i/>
          <w:color w:val="FF0000"/>
          <w:kern w:val="0"/>
          <w:sz w:val="24"/>
          <w:szCs w:val="28"/>
          <w:u w:val="single"/>
        </w:rPr>
      </w:pPr>
      <w:r>
        <w:rPr>
          <w:rFonts w:hint="eastAsia" w:ascii="Times New Roman" w:hAnsi="Times New Roman" w:eastAsia="楷体_GB2312" w:cs="Times New Roman"/>
          <w:b/>
          <w:i/>
          <w:color w:val="FF0000"/>
          <w:kern w:val="0"/>
          <w:sz w:val="24"/>
          <w:szCs w:val="28"/>
          <w:u w:val="single"/>
          <w:lang w:eastAsia="zh-CN"/>
        </w:rPr>
        <w:t>应根据</w:t>
      </w:r>
      <w:r>
        <w:rPr>
          <w:rFonts w:hint="eastAsia" w:ascii="Times New Roman" w:hAnsi="Times New Roman" w:eastAsia="楷体_GB2312" w:cs="Times New Roman"/>
          <w:b/>
          <w:i/>
          <w:color w:val="FF0000"/>
          <w:kern w:val="0"/>
          <w:sz w:val="24"/>
          <w:szCs w:val="28"/>
          <w:u w:val="single"/>
        </w:rPr>
        <w:t>项目实际情况调整差额支付承诺的内容。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bCs/>
          <w:snapToGrid w:val="0"/>
          <w:kern w:val="0"/>
          <w:sz w:val="24"/>
          <w:szCs w:val="24"/>
        </w:rPr>
      </w:pPr>
      <w:bookmarkStart w:id="3453" w:name="_Toc31962"/>
      <w:bookmarkStart w:id="3454" w:name="_Toc6402"/>
      <w:bookmarkStart w:id="3455" w:name="_Toc19372"/>
      <w:bookmarkStart w:id="3456" w:name="_Toc12558"/>
      <w:bookmarkStart w:id="3457" w:name="_Toc16628"/>
      <w:bookmarkStart w:id="3458" w:name="_Toc22831"/>
      <w:bookmarkStart w:id="3459" w:name="_Toc23098"/>
      <w:bookmarkStart w:id="3460" w:name="_Toc2436"/>
      <w:r>
        <w:rPr>
          <w:rFonts w:hint="eastAsia" w:ascii="楷体_GB2312" w:hAnsi="楷体_GB2312" w:eastAsia="楷体_GB2312" w:cs="楷体_GB2312"/>
          <w:b/>
          <w:bCs/>
          <w:snapToGrid w:val="0"/>
          <w:kern w:val="0"/>
          <w:sz w:val="24"/>
          <w:szCs w:val="24"/>
        </w:rPr>
        <w:t>（二）回购资产池（如有）</w:t>
      </w:r>
      <w:bookmarkEnd w:id="3453"/>
      <w:bookmarkEnd w:id="3454"/>
      <w:bookmarkEnd w:id="3455"/>
      <w:bookmarkEnd w:id="3456"/>
      <w:bookmarkEnd w:id="3457"/>
      <w:bookmarkEnd w:id="3458"/>
      <w:bookmarkEnd w:id="3459"/>
      <w:bookmarkEnd w:id="3460"/>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《信托合同》“15资产的回购15.2委托人因中止滚动发行产生的回购义务和15.3委托人因滚动发行不成功需承担的回购义务”的内容。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3"/>
        <w:rPr>
          <w:rFonts w:hint="eastAsia" w:ascii="楷体_GB2312" w:hAnsi="楷体_GB2312" w:eastAsia="楷体_GB2312" w:cs="楷体_GB2312"/>
          <w:b/>
          <w:bCs/>
          <w:snapToGrid w:val="0"/>
          <w:kern w:val="0"/>
          <w:sz w:val="24"/>
          <w:szCs w:val="24"/>
        </w:rPr>
      </w:pPr>
      <w:bookmarkStart w:id="3461" w:name="_Toc29825"/>
      <w:bookmarkStart w:id="3462" w:name="_Toc14779"/>
      <w:bookmarkStart w:id="3463" w:name="_Toc3116"/>
      <w:bookmarkStart w:id="3464" w:name="_Toc21747"/>
      <w:bookmarkStart w:id="3465" w:name="_Toc286"/>
      <w:bookmarkStart w:id="3466" w:name="_Toc18887"/>
      <w:bookmarkStart w:id="3467" w:name="_Toc6700"/>
      <w:bookmarkStart w:id="3468" w:name="_Toc14950"/>
      <w:r>
        <w:rPr>
          <w:rFonts w:hint="eastAsia" w:ascii="楷体_GB2312" w:hAnsi="楷体_GB2312" w:eastAsia="楷体_GB2312" w:cs="楷体_GB2312"/>
          <w:b/>
          <w:bCs/>
          <w:snapToGrid w:val="0"/>
          <w:kern w:val="0"/>
          <w:sz w:val="24"/>
          <w:szCs w:val="24"/>
        </w:rPr>
        <w:t>（三）受让信托受益权（如有）</w:t>
      </w:r>
      <w:bookmarkEnd w:id="3461"/>
      <w:bookmarkEnd w:id="3462"/>
      <w:bookmarkEnd w:id="3463"/>
      <w:bookmarkEnd w:id="3464"/>
      <w:bookmarkEnd w:id="3465"/>
      <w:bookmarkEnd w:id="3466"/>
      <w:bookmarkEnd w:id="3467"/>
      <w:bookmarkEnd w:id="3468"/>
    </w:p>
    <w:p>
      <w:pPr>
        <w:pStyle w:val="2"/>
        <w:keepNext w:val="0"/>
        <w:keepLines w:val="0"/>
        <w:pageBreakBefore w:val="0"/>
        <w:widowControl w:val="0"/>
        <w:kinsoku/>
        <w:wordWrap/>
        <w:topLinePunct w:val="0"/>
        <w:bidi w:val="0"/>
        <w:spacing w:before="157" w:beforeLines="50" w:after="157" w:afterLines="50" w:line="240" w:lineRule="atLeast"/>
        <w:ind w:firstLine="482"/>
        <w:jc w:val="both"/>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《信托合同》“7信托受益权和资产支持商业票据7.7资产支持商业票据的发行、承销、登记、交易和结算7.7.2资产支持商业票据的滚动发行7.7.2.3和7.8资产支持商业票据发行不成功”的内容。</w:t>
      </w:r>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2" w:firstLineChars="200"/>
        <w:jc w:val="both"/>
        <w:outlineLvl w:val="2"/>
        <w:rPr>
          <w:rFonts w:hint="eastAsia" w:ascii="楷体_GB2312" w:hAnsi="楷体_GB2312" w:eastAsia="楷体_GB2312" w:cs="楷体_GB2312"/>
          <w:b/>
          <w:kern w:val="0"/>
          <w:sz w:val="24"/>
          <w:szCs w:val="24"/>
        </w:rPr>
      </w:pPr>
      <w:bookmarkStart w:id="3469" w:name="_Toc19591"/>
      <w:bookmarkStart w:id="3470" w:name="_Toc3097"/>
      <w:bookmarkStart w:id="3471" w:name="_Toc13181"/>
      <w:bookmarkStart w:id="3472" w:name="_Toc27672"/>
      <w:bookmarkStart w:id="3473" w:name="_Toc6876"/>
      <w:bookmarkStart w:id="3474" w:name="_Toc19777"/>
      <w:bookmarkStart w:id="3475" w:name="_Toc12685"/>
      <w:bookmarkStart w:id="3476" w:name="_Toc18218"/>
      <w:bookmarkStart w:id="3477" w:name="_Toc29587"/>
      <w:r>
        <w:rPr>
          <w:rFonts w:hint="eastAsia" w:ascii="楷体_GB2312" w:hAnsi="楷体_GB2312" w:eastAsia="楷体_GB2312" w:cs="楷体_GB2312"/>
          <w:b/>
          <w:kern w:val="0"/>
          <w:sz w:val="24"/>
          <w:szCs w:val="24"/>
        </w:rPr>
        <w:t>三、增级方式的触发顺序</w:t>
      </w:r>
      <w:bookmarkEnd w:id="3469"/>
      <w:bookmarkEnd w:id="3470"/>
      <w:bookmarkEnd w:id="3471"/>
      <w:bookmarkEnd w:id="3472"/>
      <w:bookmarkEnd w:id="3473"/>
      <w:bookmarkEnd w:id="3474"/>
      <w:bookmarkEnd w:id="3475"/>
      <w:bookmarkEnd w:id="3476"/>
      <w:bookmarkEnd w:id="3477"/>
    </w:p>
    <w:p>
      <w:pPr>
        <w:keepNext w:val="0"/>
        <w:keepLines w:val="0"/>
        <w:pageBreakBefore w:val="0"/>
        <w:widowControl w:val="0"/>
        <w:kinsoku/>
        <w:wordWrap/>
        <w:topLinePunct w:val="0"/>
        <w:autoSpaceDE w:val="0"/>
        <w:autoSpaceDN w:val="0"/>
        <w:bidi w:val="0"/>
        <w:adjustRightInd w:val="0"/>
        <w:spacing w:before="157" w:beforeLines="50" w:after="157" w:afterLines="50" w:line="240" w:lineRule="atLeast"/>
        <w:ind w:firstLine="480" w:firstLineChars="200"/>
        <w:jc w:val="both"/>
        <w:rPr>
          <w:rFonts w:hint="eastAsia" w:ascii="楷体_GB2312" w:hAnsi="楷体_GB2312" w:eastAsia="楷体_GB2312" w:cs="楷体_GB2312"/>
          <w:sz w:val="24"/>
        </w:rPr>
      </w:pPr>
      <w:r>
        <w:rPr>
          <w:rFonts w:hint="eastAsia" w:ascii="楷体_GB2312" w:hAnsi="楷体_GB2312" w:eastAsia="楷体_GB2312" w:cs="楷体_GB2312"/>
          <w:sz w:val="24"/>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478" w:name="_Toc27793"/>
      <w:bookmarkStart w:id="3479" w:name="_Toc32074"/>
      <w:bookmarkStart w:id="3480" w:name="_Toc18825"/>
      <w:bookmarkStart w:id="3481" w:name="_Toc17073"/>
      <w:bookmarkStart w:id="3482" w:name="_Toc14401"/>
      <w:bookmarkStart w:id="3483" w:name="_Toc4408"/>
      <w:bookmarkStart w:id="3484" w:name="_Toc20340"/>
      <w:bookmarkStart w:id="3485" w:name="_Toc29277"/>
      <w:bookmarkStart w:id="3486" w:name="_Toc11059"/>
      <w:bookmarkStart w:id="3487" w:name="_Toc3904"/>
      <w:bookmarkStart w:id="3488" w:name="_Toc14282"/>
      <w:r>
        <w:rPr>
          <w:rFonts w:hint="eastAsia" w:ascii="楷体_GB2312" w:hAnsi="楷体_GB2312" w:eastAsia="楷体_GB2312" w:cs="楷体_GB2312"/>
          <w:b/>
          <w:bCs/>
          <w:kern w:val="0"/>
          <w:sz w:val="30"/>
          <w:szCs w:val="30"/>
        </w:rPr>
        <w:t>发起机构、信用增级机构（如有）、发行载体管理机构及相关中介机构的基本情况</w:t>
      </w:r>
      <w:bookmarkEnd w:id="3478"/>
      <w:bookmarkEnd w:id="3479"/>
      <w:bookmarkEnd w:id="3480"/>
      <w:bookmarkEnd w:id="3481"/>
      <w:bookmarkEnd w:id="3482"/>
      <w:bookmarkEnd w:id="3483"/>
      <w:bookmarkEnd w:id="3484"/>
      <w:bookmarkEnd w:id="3485"/>
      <w:bookmarkEnd w:id="3486"/>
      <w:bookmarkEnd w:id="3487"/>
      <w:bookmarkEnd w:id="3488"/>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489" w:name="_Toc29439"/>
      <w:bookmarkStart w:id="3490" w:name="_Toc30744"/>
      <w:bookmarkStart w:id="3491" w:name="_Toc16021"/>
      <w:bookmarkStart w:id="3492" w:name="_Toc10232"/>
      <w:bookmarkStart w:id="3493" w:name="_Toc11401"/>
      <w:bookmarkStart w:id="3494" w:name="_Toc22668"/>
      <w:bookmarkStart w:id="3495" w:name="_Toc17895"/>
      <w:bookmarkStart w:id="3496" w:name="_Toc499"/>
      <w:bookmarkStart w:id="3497" w:name="_Toc25561"/>
      <w:r>
        <w:rPr>
          <w:rFonts w:hint="eastAsia" w:ascii="楷体_GB2312" w:hAnsi="楷体_GB2312" w:eastAsia="楷体_GB2312" w:cs="楷体_GB2312"/>
          <w:b/>
          <w:bCs/>
          <w:sz w:val="24"/>
          <w:szCs w:val="24"/>
        </w:rPr>
        <w:t>一、发起机构的基本情况</w:t>
      </w:r>
      <w:bookmarkEnd w:id="3489"/>
      <w:bookmarkEnd w:id="3490"/>
      <w:bookmarkEnd w:id="3491"/>
      <w:bookmarkEnd w:id="3492"/>
      <w:bookmarkEnd w:id="3493"/>
      <w:bookmarkEnd w:id="3494"/>
      <w:bookmarkEnd w:id="3495"/>
      <w:bookmarkEnd w:id="3496"/>
      <w:bookmarkEnd w:id="3497"/>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color w:val="FF0000"/>
          <w:kern w:val="0"/>
          <w:sz w:val="24"/>
          <w:szCs w:val="24"/>
        </w:rPr>
      </w:pPr>
      <w:r>
        <w:rPr>
          <w:rFonts w:hint="eastAsia" w:ascii="楷体_GB2312" w:hAnsi="楷体_GB2312" w:eastAsia="楷体_GB2312" w:cs="楷体_GB2312"/>
          <w:b/>
          <w:bCs/>
          <w:snapToGrid w:val="0"/>
          <w:color w:val="FF0000"/>
          <w:kern w:val="0"/>
          <w:sz w:val="24"/>
          <w:szCs w:val="24"/>
        </w:rPr>
        <w:t>【基础资产现金流的获得取决于发起机构持续经营，或发起机构需持续承担基础资产现金流转付义务的情形】</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（一）基本情况</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（二）历史沿革</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（三）股权结构</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（四）独立性</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（五）重要权益投资</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（六）治理结构</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（七）内控制度</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（八）企业人员基本情况</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（九）经营情况</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（十）在建工程（如有）</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（十一）对投资人判断定向资产支持商业票据投资价值和投资风险有重要影响的其他信息（如有）</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（十二）财务报表</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（十三）财务报表分析</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（十四）有息债务</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（十五）关联交易</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（十六）或有事项</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（十七）受限资产情况</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（十八）资信情况</w:t>
      </w:r>
    </w:p>
    <w:p>
      <w:pPr>
        <w:pStyle w:val="110"/>
        <w:keepNext w:val="0"/>
        <w:keepLines w:val="0"/>
        <w:pageBreakBefore w:val="0"/>
        <w:kinsoku/>
        <w:wordWrap/>
        <w:topLinePunct w:val="0"/>
        <w:bidi w:val="0"/>
        <w:spacing w:before="157" w:beforeLines="50" w:after="157" w:afterLines="50" w:line="240" w:lineRule="atLeast"/>
        <w:ind w:firstLine="482" w:firstLineChars="200"/>
        <w:jc w:val="both"/>
        <w:textAlignment w:val="auto"/>
        <w:rPr>
          <w:rFonts w:hint="eastAsia" w:hAnsi="楷体_GB2312"/>
          <w:b/>
          <w:bCs/>
          <w:i/>
          <w:iCs/>
          <w:snapToGrid w:val="0"/>
          <w:color w:val="FF0000"/>
          <w:u w:val="single"/>
        </w:rPr>
      </w:pPr>
      <w:r>
        <w:rPr>
          <w:rFonts w:hint="eastAsia" w:hAnsi="楷体_GB2312"/>
          <w:b/>
          <w:bCs/>
          <w:i/>
          <w:iCs/>
          <w:snapToGrid w:val="0"/>
          <w:color w:val="FF0000"/>
          <w:u w:val="single"/>
        </w:rPr>
        <w:t>涉及基础设施建设、房地产等特定行业的，应符合《非金融企业债务融资工具定向发行注册文件表格体系》对应子表格的要求。</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color w:val="FF0000"/>
          <w:kern w:val="0"/>
          <w:sz w:val="24"/>
          <w:szCs w:val="24"/>
        </w:rPr>
      </w:pPr>
      <w:r>
        <w:rPr>
          <w:rFonts w:hint="eastAsia" w:ascii="楷体_GB2312" w:hAnsi="楷体_GB2312" w:eastAsia="楷体_GB2312" w:cs="楷体_GB2312"/>
          <w:b/>
          <w:bCs/>
          <w:snapToGrid w:val="0"/>
          <w:color w:val="FF0000"/>
          <w:kern w:val="0"/>
          <w:sz w:val="24"/>
          <w:szCs w:val="24"/>
        </w:rPr>
        <w:t>【除上述情形外的其他情形】</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（一）基本情况</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（二）历史沿革</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（三）股权结构</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（四）治理结构</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（五）与基础资产相关的业务管理制度及风险控制制度</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（六）与基础资产相关的业务情况</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pPr>
      <w:r>
        <w:rPr>
          <w:rFonts w:hint="eastAsia" w:ascii="楷体_GB2312" w:hAnsi="楷体_GB2312" w:eastAsia="楷体_GB2312" w:cs="楷体_GB2312"/>
          <w:b/>
          <w:bCs/>
          <w:snapToGrid w:val="0"/>
          <w:kern w:val="0"/>
          <w:sz w:val="24"/>
          <w:szCs w:val="24"/>
        </w:rPr>
        <w:t>（七）财务报表</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（八）财务报表分析</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（九）资信情况</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498" w:name="_Toc20046"/>
      <w:bookmarkStart w:id="3499" w:name="_Toc21309"/>
      <w:bookmarkStart w:id="3500" w:name="_Toc2914"/>
      <w:bookmarkStart w:id="3501" w:name="_Toc28508"/>
      <w:bookmarkStart w:id="3502" w:name="_Toc19633"/>
      <w:bookmarkStart w:id="3503" w:name="_Toc21698"/>
      <w:bookmarkStart w:id="3504" w:name="_Toc8707"/>
      <w:bookmarkStart w:id="3505" w:name="_Toc5973"/>
      <w:r>
        <w:rPr>
          <w:rFonts w:hint="eastAsia" w:ascii="楷体_GB2312" w:hAnsi="楷体_GB2312" w:eastAsia="楷体_GB2312" w:cs="楷体_GB2312"/>
          <w:b/>
          <w:bCs/>
          <w:sz w:val="24"/>
          <w:szCs w:val="24"/>
        </w:rPr>
        <w:t>二、信用增级机构的基本情况</w:t>
      </w:r>
      <w:r>
        <w:rPr>
          <w:rStyle w:val="48"/>
          <w:rFonts w:hint="eastAsia" w:ascii="楷体_GB2312" w:hAnsi="楷体_GB2312" w:eastAsia="楷体_GB2312" w:cs="楷体_GB2312"/>
          <w:b/>
          <w:bCs/>
          <w:sz w:val="24"/>
          <w:szCs w:val="24"/>
        </w:rPr>
        <w:footnoteReference w:id="53"/>
      </w:r>
      <w:r>
        <w:rPr>
          <w:rFonts w:hint="eastAsia" w:ascii="楷体_GB2312" w:hAnsi="楷体_GB2312" w:eastAsia="楷体_GB2312" w:cs="楷体_GB2312"/>
          <w:b/>
          <w:bCs/>
          <w:sz w:val="24"/>
          <w:szCs w:val="24"/>
        </w:rPr>
        <w:t>（如有）</w:t>
      </w:r>
      <w:bookmarkEnd w:id="3498"/>
      <w:bookmarkEnd w:id="3499"/>
      <w:bookmarkEnd w:id="3500"/>
      <w:bookmarkEnd w:id="3501"/>
      <w:bookmarkEnd w:id="3502"/>
      <w:bookmarkEnd w:id="3503"/>
      <w:bookmarkEnd w:id="3504"/>
      <w:bookmarkEnd w:id="3505"/>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Times New Roman" w:hAnsi="Times New Roman" w:eastAsia="楷体_GB2312" w:cs="Times New Roman"/>
          <w:b/>
          <w:i/>
          <w:color w:val="FF0000"/>
          <w:kern w:val="0"/>
          <w:sz w:val="24"/>
          <w:szCs w:val="28"/>
          <w:u w:val="single"/>
        </w:rPr>
      </w:pPr>
      <w:r>
        <w:rPr>
          <w:rFonts w:hint="eastAsia" w:ascii="Times New Roman" w:hAnsi="Times New Roman" w:eastAsia="楷体_GB2312" w:cs="Times New Roman"/>
          <w:b/>
          <w:i/>
          <w:color w:val="FF0000"/>
          <w:kern w:val="0"/>
          <w:sz w:val="24"/>
          <w:szCs w:val="28"/>
          <w:u w:val="single"/>
        </w:rPr>
        <w:t>由专业信用增进机构提供信用增级的，按照相关监管要求披露信息，同时披露其近一年及近半年（如有）债券担保责任余额、集中度</w:t>
      </w:r>
      <w:r>
        <w:rPr>
          <w:rStyle w:val="48"/>
          <w:rFonts w:hint="eastAsia" w:ascii="Times New Roman" w:hAnsi="Times New Roman" w:eastAsia="楷体_GB2312" w:cs="Times New Roman"/>
          <w:b/>
          <w:i/>
          <w:color w:val="FF0000"/>
          <w:kern w:val="0"/>
          <w:sz w:val="24"/>
          <w:szCs w:val="28"/>
          <w:u w:val="single"/>
        </w:rPr>
        <w:footnoteReference w:id="54"/>
      </w:r>
      <w:r>
        <w:rPr>
          <w:rFonts w:hint="eastAsia" w:ascii="Times New Roman" w:hAnsi="Times New Roman" w:eastAsia="楷体_GB2312" w:cs="Times New Roman"/>
          <w:b/>
          <w:i/>
          <w:color w:val="FF0000"/>
          <w:kern w:val="0"/>
          <w:sz w:val="24"/>
          <w:szCs w:val="28"/>
          <w:u w:val="single"/>
        </w:rPr>
        <w:t>等指标。由</w:t>
      </w:r>
      <w:r>
        <w:rPr>
          <w:rFonts w:hint="eastAsia" w:ascii="楷体_GB2312" w:hAnsi="楷体_GB2312" w:eastAsia="楷体_GB2312" w:cs="楷体_GB2312"/>
          <w:b/>
          <w:bCs/>
          <w:i/>
          <w:iCs/>
          <w:snapToGrid w:val="0"/>
          <w:color w:val="FF0000"/>
          <w:sz w:val="24"/>
          <w:szCs w:val="24"/>
          <w:u w:val="single"/>
        </w:rPr>
        <w:t>其他信用增级主体</w:t>
      </w:r>
      <w:r>
        <w:rPr>
          <w:rFonts w:hint="eastAsia" w:ascii="Times New Roman" w:hAnsi="Times New Roman" w:eastAsia="楷体_GB2312" w:cs="Times New Roman"/>
          <w:b/>
          <w:i/>
          <w:color w:val="FF0000"/>
          <w:kern w:val="0"/>
          <w:sz w:val="24"/>
          <w:szCs w:val="28"/>
          <w:u w:val="single"/>
        </w:rPr>
        <w:t>提供信用增级的，参照发起机构的第一种情形进行信息披露。</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506" w:name="_Toc30911"/>
      <w:bookmarkStart w:id="3507" w:name="_Toc32655"/>
      <w:bookmarkStart w:id="3508" w:name="_Toc1413"/>
      <w:bookmarkStart w:id="3509" w:name="_Toc2333"/>
      <w:bookmarkStart w:id="3510" w:name="_Toc3851"/>
      <w:bookmarkStart w:id="3511" w:name="_Toc32242"/>
      <w:bookmarkStart w:id="3512" w:name="_Toc22479"/>
      <w:bookmarkStart w:id="3513" w:name="_Toc424"/>
      <w:r>
        <w:rPr>
          <w:rFonts w:hint="eastAsia" w:ascii="楷体_GB2312" w:hAnsi="楷体_GB2312" w:eastAsia="楷体_GB2312" w:cs="楷体_GB2312"/>
          <w:b/>
          <w:bCs/>
          <w:sz w:val="24"/>
          <w:szCs w:val="24"/>
        </w:rPr>
        <w:t>三、发行载体管理机构的基本情况</w:t>
      </w:r>
      <w:bookmarkEnd w:id="3506"/>
      <w:bookmarkEnd w:id="3507"/>
      <w:bookmarkEnd w:id="3508"/>
      <w:bookmarkEnd w:id="3509"/>
      <w:bookmarkEnd w:id="3510"/>
      <w:bookmarkEnd w:id="3511"/>
      <w:bookmarkEnd w:id="3512"/>
      <w:bookmarkEnd w:id="3513"/>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514" w:name="_Toc2397"/>
      <w:bookmarkStart w:id="3515" w:name="_Toc22212"/>
      <w:bookmarkStart w:id="3516" w:name="_Toc24032"/>
      <w:bookmarkStart w:id="3517" w:name="_Toc2584"/>
      <w:bookmarkStart w:id="3518" w:name="_Toc11634"/>
      <w:bookmarkStart w:id="3519" w:name="_Toc520"/>
      <w:bookmarkStart w:id="3520" w:name="_Toc30318"/>
      <w:bookmarkStart w:id="3521" w:name="_Toc12530"/>
      <w:bookmarkStart w:id="3522" w:name="_Toc20381"/>
      <w:r>
        <w:rPr>
          <w:rFonts w:hint="eastAsia" w:ascii="楷体_GB2312" w:hAnsi="楷体_GB2312" w:eastAsia="楷体_GB2312" w:cs="楷体_GB2312"/>
          <w:b/>
          <w:bCs/>
          <w:sz w:val="24"/>
          <w:szCs w:val="24"/>
        </w:rPr>
        <w:t>四、资金保管机构的基本情况</w:t>
      </w:r>
      <w:bookmarkEnd w:id="3514"/>
      <w:bookmarkEnd w:id="3515"/>
      <w:bookmarkEnd w:id="3516"/>
      <w:bookmarkEnd w:id="3517"/>
      <w:bookmarkEnd w:id="3518"/>
      <w:bookmarkEnd w:id="3519"/>
      <w:bookmarkEnd w:id="3520"/>
      <w:bookmarkEnd w:id="3521"/>
      <w:bookmarkEnd w:id="3522"/>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2" w:firstLineChars="200"/>
        <w:jc w:val="both"/>
        <w:textAlignment w:val="auto"/>
        <w:outlineLvl w:val="2"/>
      </w:pPr>
      <w:bookmarkStart w:id="3523" w:name="_Toc15394"/>
      <w:bookmarkStart w:id="3524" w:name="_Toc16776"/>
      <w:bookmarkStart w:id="3525" w:name="_Toc20739"/>
      <w:bookmarkStart w:id="3526" w:name="_Toc10680"/>
      <w:bookmarkStart w:id="3527" w:name="_Toc25839"/>
      <w:bookmarkStart w:id="3528" w:name="_Toc28970"/>
      <w:bookmarkStart w:id="3529" w:name="_Toc29005"/>
      <w:bookmarkStart w:id="3530" w:name="_Toc30602"/>
      <w:bookmarkStart w:id="3531" w:name="_Toc11806"/>
      <w:r>
        <w:rPr>
          <w:rFonts w:hint="eastAsia" w:ascii="楷体_GB2312" w:hAnsi="楷体_GB2312" w:eastAsia="楷体_GB2312" w:cs="楷体_GB2312"/>
          <w:b/>
          <w:kern w:val="0"/>
          <w:sz w:val="24"/>
          <w:szCs w:val="24"/>
        </w:rPr>
        <w:t>五、资产服务机构的基本情况</w:t>
      </w:r>
      <w:r>
        <w:rPr>
          <w:rStyle w:val="48"/>
          <w:rFonts w:hint="eastAsia" w:ascii="楷体_GB2312" w:hAnsi="楷体_GB2312" w:eastAsia="楷体_GB2312" w:cs="楷体_GB2312"/>
          <w:b/>
          <w:kern w:val="0"/>
          <w:sz w:val="24"/>
          <w:szCs w:val="24"/>
        </w:rPr>
        <w:footnoteReference w:id="55"/>
      </w:r>
      <w:r>
        <w:rPr>
          <w:rFonts w:hint="eastAsia" w:ascii="楷体_GB2312" w:hAnsi="楷体_GB2312" w:eastAsia="楷体_GB2312" w:cs="楷体_GB2312"/>
          <w:b/>
          <w:kern w:val="0"/>
          <w:sz w:val="24"/>
          <w:szCs w:val="24"/>
        </w:rPr>
        <w:t>（如有）</w:t>
      </w:r>
      <w:bookmarkEnd w:id="3523"/>
      <w:bookmarkEnd w:id="3524"/>
      <w:bookmarkEnd w:id="3525"/>
      <w:bookmarkEnd w:id="3526"/>
      <w:bookmarkEnd w:id="3527"/>
      <w:bookmarkEnd w:id="3528"/>
      <w:bookmarkEnd w:id="3529"/>
      <w:bookmarkEnd w:id="3530"/>
      <w:bookmarkEnd w:id="3531"/>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532" w:name="_Toc21315"/>
      <w:bookmarkStart w:id="3533" w:name="_Toc21741"/>
      <w:bookmarkStart w:id="3534" w:name="_Toc7863"/>
      <w:bookmarkStart w:id="3535" w:name="_Toc12102"/>
      <w:bookmarkStart w:id="3536" w:name="_Toc13138"/>
      <w:bookmarkStart w:id="3537" w:name="_Toc20866"/>
      <w:bookmarkStart w:id="3538" w:name="_Toc13255"/>
      <w:bookmarkStart w:id="3539" w:name="_Toc3415"/>
      <w:bookmarkStart w:id="3540" w:name="_Toc1790"/>
      <w:r>
        <w:rPr>
          <w:rFonts w:hint="eastAsia" w:ascii="楷体_GB2312" w:hAnsi="楷体_GB2312" w:eastAsia="楷体_GB2312" w:cs="楷体_GB2312"/>
          <w:b/>
          <w:kern w:val="0"/>
          <w:sz w:val="24"/>
          <w:szCs w:val="24"/>
        </w:rPr>
        <w:t>六、资金监管机构的基本情况（如有）</w:t>
      </w:r>
      <w:bookmarkEnd w:id="3532"/>
      <w:bookmarkEnd w:id="3533"/>
      <w:bookmarkEnd w:id="3534"/>
      <w:bookmarkEnd w:id="3535"/>
      <w:bookmarkEnd w:id="3536"/>
      <w:bookmarkEnd w:id="3537"/>
      <w:bookmarkEnd w:id="3538"/>
      <w:bookmarkEnd w:id="3539"/>
      <w:bookmarkEnd w:id="3540"/>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kern w:val="0"/>
          <w:sz w:val="24"/>
          <w:szCs w:val="24"/>
        </w:rPr>
      </w:pPr>
      <w:bookmarkStart w:id="3541" w:name="_Toc9459"/>
      <w:bookmarkStart w:id="3542" w:name="_Toc12574"/>
      <w:bookmarkStart w:id="3543" w:name="_Toc27362"/>
      <w:bookmarkStart w:id="3544" w:name="_Toc6573"/>
      <w:bookmarkStart w:id="3545" w:name="_Toc816"/>
      <w:bookmarkStart w:id="3546" w:name="_Toc5830"/>
      <w:bookmarkStart w:id="3547" w:name="_Toc15709"/>
      <w:bookmarkStart w:id="3548" w:name="_Toc17013"/>
      <w:bookmarkStart w:id="3549" w:name="_Toc11314"/>
      <w:r>
        <w:rPr>
          <w:rFonts w:hint="eastAsia" w:ascii="楷体_GB2312" w:hAnsi="楷体_GB2312" w:eastAsia="楷体_GB2312" w:cs="楷体_GB2312"/>
          <w:b/>
          <w:kern w:val="0"/>
          <w:sz w:val="24"/>
          <w:szCs w:val="24"/>
        </w:rPr>
        <w:t>七、主承销商的基本情况</w:t>
      </w:r>
      <w:bookmarkEnd w:id="3541"/>
      <w:bookmarkEnd w:id="3542"/>
      <w:bookmarkEnd w:id="3543"/>
      <w:bookmarkEnd w:id="3544"/>
      <w:bookmarkEnd w:id="3545"/>
      <w:bookmarkEnd w:id="3546"/>
      <w:bookmarkEnd w:id="3547"/>
      <w:bookmarkEnd w:id="3548"/>
      <w:bookmarkEnd w:id="3549"/>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550" w:name="_Toc1385"/>
      <w:bookmarkStart w:id="3551" w:name="_Toc3614"/>
      <w:bookmarkStart w:id="3552" w:name="_Toc30055"/>
      <w:bookmarkStart w:id="3553" w:name="_Toc7279"/>
      <w:bookmarkStart w:id="3554" w:name="_Toc23641"/>
      <w:bookmarkStart w:id="3555" w:name="_Toc15792"/>
      <w:bookmarkStart w:id="3556" w:name="_Toc30504"/>
      <w:bookmarkStart w:id="3557" w:name="_Toc18758"/>
      <w:r>
        <w:rPr>
          <w:rFonts w:hint="eastAsia" w:ascii="楷体_GB2312" w:hAnsi="楷体_GB2312" w:eastAsia="楷体_GB2312" w:cs="楷体_GB2312"/>
          <w:b/>
          <w:kern w:val="0"/>
          <w:sz w:val="24"/>
          <w:szCs w:val="24"/>
        </w:rPr>
        <w:t>八、律师事务所的基本情况</w:t>
      </w:r>
      <w:bookmarkEnd w:id="3550"/>
      <w:bookmarkEnd w:id="3551"/>
      <w:bookmarkEnd w:id="3552"/>
      <w:bookmarkEnd w:id="3553"/>
      <w:bookmarkEnd w:id="3554"/>
      <w:bookmarkEnd w:id="3555"/>
      <w:bookmarkEnd w:id="3556"/>
      <w:bookmarkEnd w:id="3557"/>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558" w:name="_Toc18687"/>
      <w:bookmarkStart w:id="3559" w:name="_Toc30799"/>
      <w:bookmarkStart w:id="3560" w:name="_Toc22094"/>
      <w:bookmarkStart w:id="3561" w:name="_Toc29877"/>
      <w:bookmarkStart w:id="3562" w:name="_Toc14346"/>
      <w:bookmarkStart w:id="3563" w:name="_Toc29105"/>
      <w:bookmarkStart w:id="3564" w:name="_Toc16198"/>
      <w:bookmarkStart w:id="3565" w:name="_Toc18922"/>
      <w:r>
        <w:rPr>
          <w:rFonts w:hint="eastAsia" w:ascii="楷体_GB2312" w:hAnsi="楷体_GB2312" w:eastAsia="楷体_GB2312" w:cs="楷体_GB2312"/>
          <w:b/>
          <w:kern w:val="0"/>
          <w:sz w:val="24"/>
          <w:szCs w:val="24"/>
        </w:rPr>
        <w:t>九、评级机构的基本情况（如有）</w:t>
      </w:r>
      <w:bookmarkEnd w:id="3558"/>
      <w:bookmarkEnd w:id="3559"/>
      <w:bookmarkEnd w:id="3560"/>
      <w:bookmarkEnd w:id="3561"/>
      <w:bookmarkEnd w:id="3562"/>
      <w:bookmarkEnd w:id="3563"/>
      <w:bookmarkEnd w:id="3564"/>
      <w:bookmarkEnd w:id="3565"/>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3566" w:name="_Toc28962"/>
      <w:bookmarkStart w:id="3567" w:name="_Toc8760"/>
      <w:bookmarkStart w:id="3568" w:name="_Toc19356"/>
      <w:bookmarkStart w:id="3569" w:name="_Toc31106"/>
      <w:bookmarkStart w:id="3570" w:name="_Toc26268"/>
      <w:bookmarkStart w:id="3571" w:name="_Toc26135"/>
      <w:bookmarkStart w:id="3572" w:name="_Toc5874"/>
      <w:bookmarkStart w:id="3573" w:name="_Toc16860"/>
      <w:bookmarkStart w:id="3574" w:name="_Toc3208"/>
      <w:r>
        <w:rPr>
          <w:rFonts w:hint="eastAsia" w:ascii="楷体_GB2312" w:hAnsi="楷体_GB2312" w:eastAsia="楷体_GB2312" w:cs="楷体_GB2312"/>
          <w:b/>
          <w:kern w:val="0"/>
          <w:sz w:val="24"/>
          <w:szCs w:val="24"/>
        </w:rPr>
        <w:t>十、与相关机构的关系</w:t>
      </w:r>
      <w:bookmarkEnd w:id="3566"/>
      <w:bookmarkEnd w:id="3567"/>
      <w:bookmarkEnd w:id="3568"/>
      <w:bookmarkEnd w:id="3569"/>
      <w:bookmarkEnd w:id="3570"/>
      <w:bookmarkEnd w:id="3571"/>
      <w:bookmarkEnd w:id="3572"/>
      <w:bookmarkEnd w:id="3573"/>
      <w:bookmarkEnd w:id="3574"/>
    </w:p>
    <w:p>
      <w:pPr>
        <w:keepNext w:val="0"/>
        <w:keepLines w:val="0"/>
        <w:pageBreakBefore w:val="0"/>
        <w:kinsoku/>
        <w:wordWrap/>
        <w:topLinePunct w:val="0"/>
        <w:autoSpaceDE w:val="0"/>
        <w:autoSpaceDN w:val="0"/>
        <w:bidi w:val="0"/>
        <w:adjustRightInd w:val="0"/>
        <w:spacing w:before="157" w:beforeLines="50" w:after="157" w:afterLines="50" w:line="240" w:lineRule="atLeast"/>
        <w:ind w:firstLine="60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575" w:name="_Toc21290"/>
      <w:bookmarkStart w:id="3576" w:name="_Toc14913"/>
      <w:bookmarkStart w:id="3577" w:name="_Toc25926"/>
      <w:bookmarkStart w:id="3578" w:name="_Toc2828"/>
      <w:bookmarkStart w:id="3579" w:name="_Toc8756"/>
      <w:bookmarkStart w:id="3580" w:name="_Toc2305"/>
      <w:bookmarkStart w:id="3581" w:name="_Toc24624"/>
      <w:bookmarkStart w:id="3582" w:name="_Toc12608"/>
      <w:bookmarkStart w:id="3583" w:name="_Toc15197"/>
      <w:bookmarkStart w:id="3584" w:name="_Toc10106"/>
      <w:bookmarkStart w:id="3585" w:name="_Toc14653"/>
      <w:bookmarkStart w:id="3586" w:name="_Toc22817"/>
      <w:r>
        <w:rPr>
          <w:rFonts w:hint="eastAsia" w:ascii="楷体_GB2312" w:hAnsi="楷体_GB2312" w:eastAsia="楷体_GB2312" w:cs="楷体_GB2312"/>
          <w:b/>
          <w:bCs/>
          <w:kern w:val="0"/>
          <w:sz w:val="30"/>
          <w:szCs w:val="30"/>
        </w:rPr>
        <w:t>基础资产情况及现金流预测分析</w:t>
      </w:r>
      <w:bookmarkEnd w:id="3575"/>
      <w:bookmarkEnd w:id="3576"/>
      <w:bookmarkEnd w:id="3577"/>
      <w:bookmarkEnd w:id="3578"/>
      <w:bookmarkEnd w:id="3579"/>
      <w:bookmarkEnd w:id="3580"/>
      <w:bookmarkEnd w:id="3581"/>
      <w:bookmarkEnd w:id="3582"/>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587" w:name="_Toc23214"/>
      <w:bookmarkStart w:id="3588" w:name="_Toc16069"/>
      <w:bookmarkStart w:id="3589" w:name="_Toc7559"/>
      <w:bookmarkStart w:id="3590" w:name="_Toc4112"/>
      <w:r>
        <w:rPr>
          <w:rFonts w:hint="eastAsia" w:ascii="楷体_GB2312" w:hAnsi="楷体_GB2312" w:eastAsia="楷体_GB2312" w:cs="楷体_GB2312"/>
          <w:b/>
          <w:bCs/>
          <w:sz w:val="24"/>
          <w:szCs w:val="24"/>
        </w:rPr>
        <w:t>一、基础资产情况</w:t>
      </w:r>
      <w:bookmarkEnd w:id="3583"/>
      <w:bookmarkEnd w:id="3584"/>
      <w:bookmarkEnd w:id="3585"/>
      <w:bookmarkEnd w:id="3586"/>
      <w:bookmarkEnd w:id="3587"/>
      <w:bookmarkEnd w:id="3588"/>
      <w:bookmarkEnd w:id="3589"/>
      <w:bookmarkEnd w:id="3590"/>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z w:val="24"/>
          <w:szCs w:val="24"/>
        </w:rPr>
      </w:pPr>
      <w:r>
        <w:rPr>
          <w:rFonts w:hint="eastAsia" w:ascii="楷体_GB2312" w:hAnsi="楷体_GB2312" w:eastAsia="楷体_GB2312" w:cs="楷体_GB2312"/>
          <w:b/>
          <w:bCs/>
          <w:snapToGrid w:val="0"/>
          <w:kern w:val="0"/>
          <w:sz w:val="24"/>
          <w:szCs w:val="24"/>
        </w:rPr>
        <w:t>（一）</w:t>
      </w:r>
      <w:r>
        <w:rPr>
          <w:rFonts w:hint="eastAsia" w:ascii="楷体_GB2312" w:hAnsi="楷体_GB2312" w:eastAsia="楷体_GB2312" w:cs="楷体_GB2312"/>
          <w:b/>
          <w:bCs/>
          <w:sz w:val="24"/>
          <w:szCs w:val="24"/>
        </w:rPr>
        <w:t>基础资产基本情况</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ascii="楷体_GB2312" w:hAnsi="楷体_GB2312" w:eastAsia="楷体_GB2312" w:cs="楷体_GB2312"/>
          <w:b/>
          <w:bCs/>
          <w:sz w:val="24"/>
          <w:szCs w:val="24"/>
        </w:rPr>
      </w:pPr>
      <w:r>
        <w:rPr>
          <w:rFonts w:hint="eastAsia" w:ascii="楷体_GB2312" w:hAnsi="楷体_GB2312" w:eastAsia="楷体_GB2312" w:cs="楷体_GB2312"/>
          <w:b/>
          <w:bCs/>
          <w:snapToGrid w:val="0"/>
          <w:kern w:val="0"/>
          <w:sz w:val="24"/>
          <w:szCs w:val="24"/>
        </w:rPr>
        <w:t>（二）</w:t>
      </w:r>
      <w:r>
        <w:rPr>
          <w:rFonts w:hint="eastAsia" w:ascii="楷体_GB2312" w:hAnsi="楷体_GB2312" w:eastAsia="楷体_GB2312" w:cs="楷体_GB2312"/>
          <w:b/>
          <w:bCs/>
          <w:sz w:val="24"/>
          <w:szCs w:val="24"/>
        </w:rPr>
        <w:t>基础资产的形成和取得</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（三）基础资产的合法性</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（四）基础资产合格标准</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（五）基础资产的管理与运营安排</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（六）基础资产的总体信息与分布信息</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（七）基础资产尽职调查方法</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（八）基础资产集中度较高的债务人（如有）</w:t>
      </w:r>
    </w:p>
    <w:p>
      <w:pPr>
        <w:pStyle w:val="2"/>
        <w:keepNext w:val="0"/>
        <w:keepLines w:val="0"/>
        <w:pageBreakBefore w:val="0"/>
        <w:kinsoku/>
        <w:wordWrap/>
        <w:topLinePunct w:val="0"/>
        <w:bidi w:val="0"/>
        <w:spacing w:before="157" w:beforeLines="50" w:after="157" w:afterLines="50" w:line="240" w:lineRule="atLeast"/>
        <w:ind w:firstLine="482"/>
        <w:jc w:val="both"/>
        <w:textAlignment w:val="auto"/>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rPr>
        <w:t>包括但不限于集中度较高债务人的基本情况、主要经营和财务情况及资信评级情况。集中度较高的债务人指基础资产池所对应的单一债务人未偿还本金余额占比超过15%，或债务人及其关联方的未偿本金余额合计占比超过20%。</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591" w:name="_Toc20747"/>
      <w:bookmarkStart w:id="3592" w:name="_Toc1010"/>
      <w:bookmarkStart w:id="3593" w:name="_Toc8805"/>
      <w:bookmarkStart w:id="3594" w:name="_Toc6021"/>
      <w:bookmarkStart w:id="3595" w:name="_Toc17992"/>
      <w:bookmarkStart w:id="3596" w:name="_Toc2972"/>
      <w:bookmarkStart w:id="3597" w:name="_Toc1669"/>
      <w:bookmarkStart w:id="3598" w:name="_Toc5854"/>
      <w:r>
        <w:rPr>
          <w:rFonts w:hint="eastAsia" w:ascii="楷体_GB2312" w:hAnsi="楷体_GB2312" w:eastAsia="楷体_GB2312" w:cs="楷体_GB2312"/>
          <w:b/>
          <w:bCs/>
          <w:sz w:val="24"/>
          <w:szCs w:val="24"/>
        </w:rPr>
        <w:t>二、基础资产现金流形成机制及历史数据</w:t>
      </w:r>
      <w:bookmarkEnd w:id="3591"/>
      <w:bookmarkEnd w:id="3592"/>
      <w:bookmarkEnd w:id="3593"/>
      <w:bookmarkEnd w:id="3594"/>
      <w:bookmarkEnd w:id="3595"/>
      <w:bookmarkEnd w:id="3596"/>
      <w:bookmarkEnd w:id="3597"/>
      <w:bookmarkEnd w:id="3598"/>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599" w:name="_Toc31502"/>
      <w:bookmarkStart w:id="3600" w:name="_Toc15466"/>
      <w:bookmarkStart w:id="3601" w:name="_Toc6627"/>
      <w:bookmarkStart w:id="3602" w:name="_Toc24935"/>
      <w:bookmarkStart w:id="3603" w:name="_Toc3864"/>
      <w:bookmarkStart w:id="3604" w:name="_Toc280"/>
      <w:bookmarkStart w:id="3605" w:name="_Toc29492"/>
      <w:bookmarkStart w:id="3606" w:name="_Toc17008"/>
      <w:bookmarkStart w:id="3607" w:name="_Toc12813"/>
      <w:r>
        <w:rPr>
          <w:rFonts w:hint="eastAsia" w:ascii="楷体_GB2312" w:hAnsi="楷体_GB2312" w:eastAsia="楷体_GB2312" w:cs="楷体_GB2312"/>
          <w:b/>
          <w:bCs/>
          <w:sz w:val="24"/>
          <w:szCs w:val="24"/>
        </w:rPr>
        <w:t>三、基础资产现金流预测分析、压力测试情况</w:t>
      </w:r>
      <w:bookmarkEnd w:id="3599"/>
      <w:bookmarkEnd w:id="3600"/>
      <w:bookmarkEnd w:id="3601"/>
      <w:bookmarkEnd w:id="3602"/>
      <w:bookmarkEnd w:id="3603"/>
      <w:bookmarkEnd w:id="3604"/>
      <w:bookmarkEnd w:id="3605"/>
      <w:bookmarkEnd w:id="3606"/>
      <w:bookmarkEnd w:id="3607"/>
    </w:p>
    <w:p>
      <w:pPr>
        <w:keepNext w:val="0"/>
        <w:keepLines w:val="0"/>
        <w:pageBreakBefore w:val="0"/>
        <w:kinsoku/>
        <w:wordWrap/>
        <w:topLinePunct w:val="0"/>
        <w:autoSpaceDE w:val="0"/>
        <w:autoSpaceDN w:val="0"/>
        <w:bidi w:val="0"/>
        <w:adjustRightInd w:val="0"/>
        <w:spacing w:before="157" w:beforeLines="50" w:after="157" w:afterLines="50" w:line="240" w:lineRule="atLeast"/>
        <w:ind w:firstLine="602" w:firstLineChars="200"/>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608" w:name="_Toc23576"/>
      <w:bookmarkStart w:id="3609" w:name="_Toc29836"/>
      <w:bookmarkStart w:id="3610" w:name="_Toc3306"/>
      <w:bookmarkStart w:id="3611" w:name="_Toc24228"/>
      <w:bookmarkStart w:id="3612" w:name="_Toc16875"/>
      <w:bookmarkStart w:id="3613" w:name="_Toc4871"/>
      <w:bookmarkStart w:id="3614" w:name="_Toc23465"/>
      <w:bookmarkStart w:id="3615" w:name="_Toc19401"/>
      <w:bookmarkStart w:id="3616" w:name="_Toc32035"/>
      <w:bookmarkStart w:id="3617" w:name="_Toc27614"/>
      <w:bookmarkStart w:id="3618" w:name="_Toc7608"/>
      <w:bookmarkStart w:id="3619" w:name="_Toc9994"/>
      <w:r>
        <w:rPr>
          <w:rFonts w:hint="eastAsia" w:ascii="楷体_GB2312" w:hAnsi="楷体_GB2312" w:eastAsia="楷体_GB2312" w:cs="楷体_GB2312"/>
          <w:b/>
          <w:bCs/>
          <w:kern w:val="0"/>
          <w:sz w:val="30"/>
          <w:szCs w:val="30"/>
        </w:rPr>
        <w:t>现金流归集与管理机制、投资及分配机制</w:t>
      </w:r>
      <w:bookmarkEnd w:id="3608"/>
      <w:bookmarkEnd w:id="3609"/>
      <w:bookmarkEnd w:id="3610"/>
      <w:bookmarkEnd w:id="3611"/>
      <w:bookmarkEnd w:id="3612"/>
      <w:bookmarkEnd w:id="3613"/>
      <w:bookmarkEnd w:id="3614"/>
      <w:bookmarkEnd w:id="3615"/>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620" w:name="_Toc16904"/>
      <w:bookmarkStart w:id="3621" w:name="_Toc10358"/>
      <w:bookmarkStart w:id="3622" w:name="_Toc9045"/>
      <w:bookmarkStart w:id="3623" w:name="_Toc30606"/>
      <w:bookmarkStart w:id="3624" w:name="_Toc17977"/>
      <w:r>
        <w:rPr>
          <w:rFonts w:hint="eastAsia" w:ascii="楷体_GB2312" w:hAnsi="楷体_GB2312" w:eastAsia="楷体_GB2312" w:cs="楷体_GB2312"/>
          <w:b/>
          <w:bCs/>
          <w:sz w:val="24"/>
          <w:szCs w:val="24"/>
        </w:rPr>
        <w:t>一、现金流的归集安排</w:t>
      </w:r>
      <w:bookmarkEnd w:id="3616"/>
      <w:bookmarkEnd w:id="3617"/>
      <w:bookmarkEnd w:id="3618"/>
      <w:bookmarkEnd w:id="3619"/>
      <w:bookmarkEnd w:id="3620"/>
      <w:bookmarkEnd w:id="3621"/>
      <w:bookmarkEnd w:id="3622"/>
      <w:bookmarkEnd w:id="3623"/>
      <w:bookmarkEnd w:id="3624"/>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625" w:name="_Toc18953"/>
      <w:bookmarkStart w:id="3626" w:name="_Toc17925"/>
      <w:bookmarkStart w:id="3627" w:name="_Toc29784"/>
      <w:bookmarkStart w:id="3628" w:name="_Toc10872"/>
      <w:bookmarkStart w:id="3629" w:name="_Toc8419"/>
      <w:bookmarkStart w:id="3630" w:name="_Toc26426"/>
      <w:bookmarkStart w:id="3631" w:name="_Toc20970"/>
      <w:bookmarkStart w:id="3632" w:name="_Toc16677"/>
      <w:bookmarkStart w:id="3633" w:name="_Toc18185"/>
      <w:r>
        <w:rPr>
          <w:rFonts w:hint="eastAsia" w:ascii="楷体_GB2312" w:hAnsi="楷体_GB2312" w:eastAsia="楷体_GB2312" w:cs="楷体_GB2312"/>
          <w:b/>
          <w:bCs/>
          <w:sz w:val="24"/>
          <w:szCs w:val="24"/>
        </w:rPr>
        <w:t>二、现金流运用及投资安排</w:t>
      </w:r>
      <w:bookmarkEnd w:id="3625"/>
      <w:bookmarkEnd w:id="3626"/>
      <w:bookmarkEnd w:id="3627"/>
      <w:bookmarkEnd w:id="3628"/>
      <w:bookmarkEnd w:id="3629"/>
      <w:bookmarkEnd w:id="3630"/>
      <w:bookmarkEnd w:id="3631"/>
      <w:bookmarkEnd w:id="3632"/>
      <w:bookmarkEnd w:id="3633"/>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634" w:name="_Toc20500"/>
      <w:bookmarkStart w:id="3635" w:name="_Toc30747"/>
      <w:bookmarkStart w:id="3636" w:name="_Toc10258"/>
      <w:bookmarkStart w:id="3637" w:name="_Toc11191"/>
      <w:bookmarkStart w:id="3638" w:name="_Toc1367"/>
      <w:bookmarkStart w:id="3639" w:name="_Toc4301"/>
      <w:bookmarkStart w:id="3640" w:name="_Toc15702"/>
      <w:r>
        <w:rPr>
          <w:rFonts w:hint="eastAsia" w:ascii="楷体_GB2312" w:hAnsi="楷体_GB2312" w:eastAsia="楷体_GB2312" w:cs="楷体_GB2312"/>
          <w:b/>
          <w:bCs/>
          <w:sz w:val="24"/>
          <w:szCs w:val="24"/>
        </w:rPr>
        <w:t>三、现金流分配机制</w:t>
      </w:r>
      <w:bookmarkEnd w:id="3634"/>
      <w:bookmarkEnd w:id="3635"/>
      <w:bookmarkEnd w:id="3636"/>
      <w:bookmarkEnd w:id="3637"/>
      <w:bookmarkEnd w:id="3638"/>
      <w:bookmarkEnd w:id="3639"/>
      <w:bookmarkEnd w:id="3640"/>
    </w:p>
    <w:p>
      <w:pPr>
        <w:pStyle w:val="2"/>
        <w:keepNext w:val="0"/>
        <w:keepLines w:val="0"/>
        <w:pageBreakBefore w:val="0"/>
        <w:kinsoku/>
        <w:wordWrap/>
        <w:topLinePunct w:val="0"/>
        <w:bidi w:val="0"/>
        <w:spacing w:before="157" w:beforeLines="50" w:after="157" w:afterLines="50" w:line="240" w:lineRule="atLeast"/>
        <w:ind w:firstLine="482"/>
        <w:jc w:val="both"/>
        <w:textAlignment w:val="auto"/>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《信托合同》“9回收款的转付、核算与分配9.3信托账户内资金的核算与分配”的内容。</w:t>
      </w:r>
    </w:p>
    <w:p>
      <w:pPr>
        <w:keepNext w:val="0"/>
        <w:keepLines w:val="0"/>
        <w:pageBreakBefore w:val="0"/>
        <w:kinsoku/>
        <w:wordWrap/>
        <w:topLinePunct w:val="0"/>
        <w:autoSpaceDE w:val="0"/>
        <w:autoSpaceDN w:val="0"/>
        <w:bidi w:val="0"/>
        <w:adjustRightInd w:val="0"/>
        <w:spacing w:before="157" w:beforeLines="50" w:after="157" w:afterLines="50" w:line="240" w:lineRule="atLeast"/>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641" w:name="_Toc244"/>
      <w:bookmarkStart w:id="3642" w:name="_Toc25404"/>
      <w:bookmarkStart w:id="3643" w:name="_Toc30876"/>
      <w:bookmarkStart w:id="3644" w:name="_Toc12519"/>
      <w:bookmarkStart w:id="3645" w:name="_Toc13235"/>
      <w:bookmarkStart w:id="3646" w:name="_Toc16760"/>
      <w:bookmarkStart w:id="3647" w:name="_Toc13654"/>
      <w:r>
        <w:rPr>
          <w:rFonts w:hint="eastAsia" w:ascii="楷体_GB2312" w:hAnsi="楷体_GB2312" w:eastAsia="楷体_GB2312" w:cs="楷体_GB2312"/>
          <w:b/>
          <w:bCs/>
          <w:kern w:val="0"/>
          <w:sz w:val="30"/>
          <w:szCs w:val="30"/>
        </w:rPr>
        <w:t>风险自留的相关情况</w:t>
      </w:r>
      <w:bookmarkEnd w:id="3641"/>
      <w:bookmarkEnd w:id="3642"/>
      <w:bookmarkEnd w:id="3643"/>
      <w:bookmarkEnd w:id="3644"/>
      <w:bookmarkEnd w:id="3645"/>
      <w:bookmarkEnd w:id="3646"/>
      <w:bookmarkEnd w:id="3647"/>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b/>
          <w:bCs/>
          <w:snapToGrid w:val="0"/>
          <w:color w:val="FF0000"/>
          <w:kern w:val="0"/>
          <w:sz w:val="24"/>
          <w:szCs w:val="24"/>
        </w:rPr>
        <w:t>【发起机构拟不自持次级或发起机构未自持次级的情形】</w:t>
      </w:r>
      <w:r>
        <w:rPr>
          <w:rFonts w:hint="eastAsia" w:ascii="楷体_GB2312" w:hAnsi="楷体_GB2312" w:eastAsia="楷体_GB2312" w:cs="楷体_GB2312"/>
          <w:snapToGrid w:val="0"/>
          <w:kern w:val="0"/>
          <w:sz w:val="24"/>
          <w:szCs w:val="24"/>
        </w:rPr>
        <w:t>发起机构无风险自留。</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rPr>
          <w:rFonts w:hint="eastAsia" w:ascii="楷体_GB2312" w:hAnsi="楷体_GB2312" w:eastAsia="楷体_GB2312" w:cs="楷体_GB2312"/>
          <w:snapToGrid w:val="0"/>
          <w:kern w:val="0"/>
          <w:sz w:val="24"/>
          <w:szCs w:val="24"/>
          <w:lang w:val="zh-CN"/>
        </w:rPr>
      </w:pPr>
      <w:r>
        <w:rPr>
          <w:rFonts w:hint="eastAsia" w:ascii="楷体_GB2312" w:hAnsi="楷体_GB2312" w:eastAsia="楷体_GB2312" w:cs="楷体_GB2312"/>
          <w:b/>
          <w:bCs/>
          <w:snapToGrid w:val="0"/>
          <w:color w:val="FF0000"/>
          <w:kern w:val="0"/>
          <w:sz w:val="24"/>
          <w:szCs w:val="24"/>
        </w:rPr>
        <w:t>【本期发行涉及次级资产支持商业票据，发起机构拟自持全部次级的情形】</w:t>
      </w:r>
      <w:r>
        <w:rPr>
          <w:rFonts w:hint="eastAsia" w:ascii="楷体_GB2312" w:hAnsi="楷体_GB2312" w:eastAsia="楷体_GB2312" w:cs="楷体_GB2312"/>
          <w:snapToGrid w:val="0"/>
          <w:kern w:val="0"/>
          <w:sz w:val="24"/>
          <w:szCs w:val="24"/>
        </w:rPr>
        <w:t>次级资产支持商业票据计划由发起机构持有，发起机构最终实际持有的次级资产支持商业票据占本次发行总金额的比例是其风险自留的比例。</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jc w:val="both"/>
        <w:textAlignment w:val="auto"/>
        <w:rPr>
          <w:rFonts w:hint="eastAsia" w:ascii="楷体_GB2312" w:hAnsi="楷体_GB2312" w:eastAsia="楷体_GB2312" w:cs="楷体_GB2312"/>
          <w:snapToGrid w:val="0"/>
          <w:kern w:val="0"/>
          <w:sz w:val="24"/>
          <w:szCs w:val="24"/>
          <w:lang w:val="zh-CN"/>
        </w:rPr>
      </w:pPr>
      <w:r>
        <w:rPr>
          <w:rFonts w:hint="eastAsia" w:ascii="楷体_GB2312" w:hAnsi="楷体_GB2312" w:eastAsia="楷体_GB2312" w:cs="楷体_GB2312"/>
          <w:b/>
          <w:bCs/>
          <w:snapToGrid w:val="0"/>
          <w:color w:val="FF0000"/>
          <w:kern w:val="0"/>
          <w:sz w:val="24"/>
          <w:szCs w:val="24"/>
        </w:rPr>
        <w:t>【本期发行不涉及次级资产支持商业票据，发起机构已自持全部次级的情形】</w:t>
      </w:r>
      <w:r>
        <w:rPr>
          <w:rFonts w:hint="eastAsia" w:ascii="楷体_GB2312" w:hAnsi="楷体_GB2312" w:eastAsia="楷体_GB2312" w:cs="楷体_GB2312"/>
          <w:snapToGrid w:val="0"/>
          <w:kern w:val="0"/>
          <w:sz w:val="24"/>
          <w:szCs w:val="24"/>
        </w:rPr>
        <w:t>次级资产支持商业票据已由发起机构持有，发起机构实际持有的次级资产支持商业票据占信托项下所有定向资产支持商业票据未偿本金余额的比例是其风险自留的比例。</w:t>
      </w:r>
    </w:p>
    <w:p>
      <w:pPr>
        <w:keepNext w:val="0"/>
        <w:keepLines w:val="0"/>
        <w:pageBreakBefore w:val="0"/>
        <w:kinsoku/>
        <w:wordWrap/>
        <w:topLinePunct w:val="0"/>
        <w:bidi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i/>
          <w:iCs/>
          <w:snapToGrid w:val="0"/>
          <w:color w:val="FF0000"/>
          <w:kern w:val="0"/>
          <w:sz w:val="24"/>
          <w:szCs w:val="24"/>
          <w:u w:val="single"/>
        </w:rPr>
      </w:pPr>
      <w:r>
        <w:rPr>
          <w:rFonts w:hint="eastAsia" w:ascii="楷体_GB2312" w:hAnsi="楷体_GB2312" w:eastAsia="楷体_GB2312" w:cs="楷体_GB2312"/>
          <w:b/>
          <w:bCs/>
          <w:i/>
          <w:iCs/>
          <w:snapToGrid w:val="0"/>
          <w:color w:val="FF0000"/>
          <w:kern w:val="0"/>
          <w:sz w:val="24"/>
          <w:szCs w:val="24"/>
          <w:u w:val="single"/>
        </w:rPr>
        <w:t>风险自留情况的相关表述</w:t>
      </w:r>
      <w:r>
        <w:rPr>
          <w:rFonts w:hint="eastAsia" w:ascii="楷体_GB2312" w:hAnsi="楷体_GB2312" w:eastAsia="楷体_GB2312" w:cs="楷体_GB2312"/>
          <w:b/>
          <w:bCs/>
          <w:i/>
          <w:iCs/>
          <w:snapToGrid w:val="0"/>
          <w:color w:val="FF0000"/>
          <w:kern w:val="0"/>
          <w:sz w:val="24"/>
          <w:szCs w:val="24"/>
          <w:u w:val="single"/>
          <w:lang w:eastAsia="zh-CN"/>
        </w:rPr>
        <w:t>应根据</w:t>
      </w:r>
      <w:r>
        <w:rPr>
          <w:rFonts w:hint="eastAsia" w:ascii="楷体_GB2312" w:hAnsi="楷体_GB2312" w:eastAsia="楷体_GB2312" w:cs="楷体_GB2312"/>
          <w:b/>
          <w:bCs/>
          <w:i/>
          <w:iCs/>
          <w:snapToGrid w:val="0"/>
          <w:color w:val="FF0000"/>
          <w:kern w:val="0"/>
          <w:sz w:val="24"/>
          <w:szCs w:val="24"/>
          <w:u w:val="single"/>
        </w:rPr>
        <w:t>项目实际情况进行调整。</w:t>
      </w:r>
    </w:p>
    <w:p>
      <w:pPr>
        <w:keepNext w:val="0"/>
        <w:keepLines w:val="0"/>
        <w:pageBreakBefore w:val="0"/>
        <w:kinsoku/>
        <w:wordWrap/>
        <w:topLinePunct w:val="0"/>
        <w:bidi w:val="0"/>
        <w:spacing w:before="157" w:beforeLines="50" w:after="157" w:afterLines="50" w:line="240" w:lineRule="atLeast"/>
        <w:ind w:firstLine="420" w:firstLineChars="200"/>
        <w:jc w:val="both"/>
        <w:textAlignment w:val="auto"/>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648" w:name="_Toc32442"/>
      <w:bookmarkStart w:id="3649" w:name="_Toc5097"/>
      <w:bookmarkStart w:id="3650" w:name="_Toc3606"/>
      <w:bookmarkStart w:id="3651" w:name="_Toc5038"/>
      <w:bookmarkStart w:id="3652" w:name="_Toc24322"/>
      <w:bookmarkStart w:id="3653" w:name="_Toc18675"/>
      <w:bookmarkStart w:id="3654" w:name="_Toc2908"/>
      <w:bookmarkStart w:id="3655" w:name="_Toc14941"/>
      <w:bookmarkStart w:id="3656" w:name="_Toc8126"/>
      <w:bookmarkStart w:id="3657" w:name="_Toc2383"/>
      <w:bookmarkStart w:id="3658" w:name="_Toc31641"/>
      <w:bookmarkStart w:id="3659" w:name="_Toc941"/>
      <w:r>
        <w:rPr>
          <w:rFonts w:hint="eastAsia" w:ascii="楷体_GB2312" w:hAnsi="楷体_GB2312" w:eastAsia="楷体_GB2312" w:cs="楷体_GB2312"/>
          <w:b/>
          <w:bCs/>
          <w:kern w:val="0"/>
          <w:sz w:val="30"/>
          <w:szCs w:val="30"/>
        </w:rPr>
        <w:t>募集资金用途及合法合规性声明</w:t>
      </w:r>
      <w:bookmarkEnd w:id="3648"/>
      <w:bookmarkEnd w:id="3649"/>
      <w:bookmarkEnd w:id="3650"/>
      <w:bookmarkEnd w:id="3651"/>
      <w:bookmarkEnd w:id="3652"/>
      <w:bookmarkEnd w:id="3653"/>
      <w:bookmarkEnd w:id="3654"/>
      <w:bookmarkEnd w:id="3655"/>
    </w:p>
    <w:p>
      <w:pPr>
        <w:keepNext w:val="0"/>
        <w:keepLines w:val="0"/>
        <w:pageBreakBefore w:val="0"/>
        <w:kinsoku/>
        <w:wordWrap/>
        <w:topLinePunct w:val="0"/>
        <w:bidi w:val="0"/>
        <w:spacing w:before="157" w:beforeLines="50" w:after="157" w:afterLines="50" w:line="240" w:lineRule="atLeast"/>
        <w:ind w:firstLine="482"/>
        <w:jc w:val="both"/>
        <w:textAlignment w:val="auto"/>
        <w:outlineLvl w:val="2"/>
        <w:rPr>
          <w:rFonts w:hint="eastAsia" w:ascii="楷体_GB2312" w:hAnsi="楷体_GB2312" w:eastAsia="楷体_GB2312" w:cs="楷体_GB2312"/>
          <w:b/>
          <w:bCs/>
          <w:sz w:val="24"/>
          <w:szCs w:val="24"/>
        </w:rPr>
      </w:pPr>
      <w:bookmarkStart w:id="3660" w:name="_Toc31935"/>
      <w:bookmarkStart w:id="3661" w:name="_Toc5460"/>
      <w:bookmarkStart w:id="3662" w:name="_Toc27872"/>
      <w:bookmarkStart w:id="3663" w:name="_Toc11533"/>
      <w:bookmarkStart w:id="3664" w:name="_Toc2726"/>
      <w:r>
        <w:rPr>
          <w:rFonts w:hint="eastAsia" w:ascii="楷体_GB2312" w:hAnsi="楷体_GB2312" w:eastAsia="楷体_GB2312" w:cs="楷体_GB2312"/>
          <w:b/>
          <w:bCs/>
          <w:sz w:val="24"/>
          <w:szCs w:val="24"/>
        </w:rPr>
        <w:t>一、募集资金用途</w:t>
      </w:r>
      <w:bookmarkEnd w:id="3656"/>
      <w:bookmarkEnd w:id="3657"/>
      <w:bookmarkEnd w:id="3658"/>
      <w:bookmarkEnd w:id="3659"/>
      <w:bookmarkEnd w:id="3660"/>
      <w:bookmarkEnd w:id="3661"/>
      <w:bookmarkEnd w:id="3662"/>
      <w:bookmarkEnd w:id="3663"/>
      <w:bookmarkEnd w:id="3664"/>
    </w:p>
    <w:p>
      <w:pPr>
        <w:pStyle w:val="176"/>
        <w:keepNext w:val="0"/>
        <w:keepLines w:val="0"/>
        <w:pageBreakBefore w:val="0"/>
        <w:kinsoku/>
        <w:wordWrap/>
        <w:topLinePunct w:val="0"/>
        <w:bidi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b/>
          <w:bCs/>
          <w:snapToGrid w:val="0"/>
          <w:color w:val="FF0000"/>
        </w:rPr>
        <w:t>【信托项下首次发行或受让信托受益权后再次发行的情形】</w:t>
      </w:r>
      <w:r>
        <w:rPr>
          <w:rFonts w:hint="eastAsia" w:ascii="楷体_GB2312" w:hAnsi="楷体_GB2312" w:eastAsia="楷体_GB2312" w:cs="楷体_GB2312"/>
          <w:snapToGrid w:val="0"/>
        </w:rPr>
        <w:t>本期资产支持商业票据拟发行【  】亿元，募集资金用于【</w:t>
      </w:r>
      <w:r>
        <w:rPr>
          <w:rFonts w:hint="eastAsia" w:ascii="楷体_GB2312" w:hAnsi="楷体_GB2312" w:eastAsia="楷体_GB2312" w:cs="楷体_GB2312"/>
          <w:snapToGrid w:val="0"/>
          <w:u w:val="single"/>
        </w:rPr>
        <w:t>补充发起机构流动资金/偿还发起机构有息负债/项目投资/（其他）</w:t>
      </w:r>
      <w:r>
        <w:rPr>
          <w:rFonts w:hint="eastAsia" w:ascii="楷体_GB2312" w:hAnsi="楷体_GB2312" w:eastAsia="楷体_GB2312" w:cs="楷体_GB2312"/>
          <w:snapToGrid w:val="0"/>
        </w:rPr>
        <w:t>】，符合国家宏观调控和产业政策要求。</w:t>
      </w:r>
    </w:p>
    <w:p>
      <w:pPr>
        <w:pStyle w:val="110"/>
        <w:keepNext w:val="0"/>
        <w:keepLines w:val="0"/>
        <w:pageBreakBefore w:val="0"/>
        <w:kinsoku/>
        <w:wordWrap/>
        <w:topLinePunct w:val="0"/>
        <w:bidi w:val="0"/>
        <w:spacing w:before="157" w:beforeLines="50" w:after="157" w:afterLines="50" w:line="240" w:lineRule="atLeast"/>
        <w:ind w:firstLine="482" w:firstLineChars="200"/>
        <w:jc w:val="both"/>
        <w:textAlignment w:val="auto"/>
        <w:rPr>
          <w:rFonts w:hint="eastAsia" w:hAnsi="楷体_GB2312"/>
          <w:snapToGrid w:val="0"/>
        </w:rPr>
      </w:pPr>
      <w:r>
        <w:rPr>
          <w:rFonts w:hint="eastAsia" w:hAnsi="楷体_GB2312"/>
          <w:b/>
          <w:bCs/>
          <w:snapToGrid w:val="0"/>
          <w:color w:val="FF0000"/>
        </w:rPr>
        <w:t>【滚动发行不涉及追加交付资产的情形】</w:t>
      </w:r>
      <w:r>
        <w:rPr>
          <w:rFonts w:hint="eastAsia" w:hAnsi="楷体_GB2312"/>
          <w:snapToGrid w:val="0"/>
          <w:color w:val="auto"/>
        </w:rPr>
        <w:t>本期</w:t>
      </w:r>
      <w:r>
        <w:rPr>
          <w:rFonts w:hint="eastAsia" w:hAnsi="楷体_GB2312"/>
          <w:snapToGrid w:val="0"/>
        </w:rPr>
        <w:t>资产支持商业票据拟发行</w:t>
      </w:r>
      <w:r>
        <w:rPr>
          <w:rFonts w:hint="eastAsia" w:hAnsi="楷体_GB2312"/>
          <w:snapToGrid w:val="0"/>
          <w:color w:val="auto"/>
        </w:rPr>
        <w:t>【  】</w:t>
      </w:r>
      <w:r>
        <w:rPr>
          <w:rFonts w:hint="eastAsia" w:hAnsi="楷体_GB2312"/>
          <w:snapToGrid w:val="0"/>
        </w:rPr>
        <w:t>亿元，募集资金拟用于【</w:t>
      </w:r>
      <w:r>
        <w:rPr>
          <w:rFonts w:hint="eastAsia" w:hAnsi="楷体_GB2312"/>
          <w:snapToGrid w:val="0"/>
          <w:u w:val="single"/>
        </w:rPr>
        <w:t>支付信托受益权转让对价/（其他）</w:t>
      </w:r>
      <w:r>
        <w:rPr>
          <w:rFonts w:hint="eastAsia" w:hAnsi="楷体_GB2312"/>
          <w:snapToGrid w:val="0"/>
        </w:rPr>
        <w:t>】，符合国家宏观调控和产业政策要求。</w:t>
      </w:r>
    </w:p>
    <w:p>
      <w:pPr>
        <w:pStyle w:val="110"/>
        <w:keepNext w:val="0"/>
        <w:keepLines w:val="0"/>
        <w:pageBreakBefore w:val="0"/>
        <w:kinsoku/>
        <w:wordWrap/>
        <w:topLinePunct w:val="0"/>
        <w:bidi w:val="0"/>
        <w:spacing w:before="157" w:beforeLines="50" w:after="157" w:afterLines="50" w:line="240" w:lineRule="atLeast"/>
        <w:ind w:firstLine="482" w:firstLineChars="200"/>
        <w:jc w:val="both"/>
        <w:textAlignment w:val="auto"/>
      </w:pPr>
      <w:r>
        <w:rPr>
          <w:rFonts w:hint="eastAsia" w:hAnsi="楷体_GB2312"/>
          <w:b/>
          <w:bCs/>
          <w:snapToGrid w:val="0"/>
          <w:color w:val="FF0000"/>
        </w:rPr>
        <w:t>【滚动发行涉及追加交付资产的情形】</w:t>
      </w:r>
      <w:r>
        <w:rPr>
          <w:rFonts w:hint="eastAsia" w:hAnsi="楷体_GB2312"/>
          <w:snapToGrid w:val="0"/>
          <w:color w:val="auto"/>
        </w:rPr>
        <w:t>本期</w:t>
      </w:r>
      <w:r>
        <w:rPr>
          <w:rFonts w:hint="eastAsia" w:hAnsi="楷体_GB2312"/>
          <w:snapToGrid w:val="0"/>
        </w:rPr>
        <w:t>资产支持商业票据拟发行</w:t>
      </w:r>
      <w:r>
        <w:rPr>
          <w:rFonts w:hint="eastAsia" w:hAnsi="楷体_GB2312"/>
          <w:snapToGrid w:val="0"/>
          <w:color w:val="auto"/>
        </w:rPr>
        <w:t>【  】</w:t>
      </w:r>
      <w:r>
        <w:rPr>
          <w:rFonts w:hint="eastAsia" w:hAnsi="楷体_GB2312"/>
          <w:snapToGrid w:val="0"/>
        </w:rPr>
        <w:t>亿元，其中</w:t>
      </w:r>
      <w:r>
        <w:rPr>
          <w:rFonts w:hint="eastAsia" w:hAnsi="楷体_GB2312"/>
          <w:snapToGrid w:val="0"/>
          <w:color w:val="auto"/>
        </w:rPr>
        <w:t>【  】</w:t>
      </w:r>
      <w:r>
        <w:rPr>
          <w:rFonts w:hint="eastAsia" w:hAnsi="楷体_GB2312"/>
          <w:snapToGrid w:val="0"/>
        </w:rPr>
        <w:t>亿元拟用于【</w:t>
      </w:r>
      <w:r>
        <w:rPr>
          <w:rFonts w:hint="eastAsia" w:hAnsi="楷体_GB2312"/>
          <w:snapToGrid w:val="0"/>
          <w:u w:val="single"/>
        </w:rPr>
        <w:t>支付信托受益权转让对价/（其他）</w:t>
      </w:r>
      <w:r>
        <w:rPr>
          <w:rFonts w:hint="eastAsia" w:hAnsi="楷体_GB2312"/>
          <w:snapToGrid w:val="0"/>
        </w:rPr>
        <w:t>】，</w:t>
      </w:r>
      <w:r>
        <w:rPr>
          <w:rFonts w:hint="eastAsia" w:hAnsi="楷体_GB2312"/>
          <w:snapToGrid w:val="0"/>
          <w:color w:val="auto"/>
        </w:rPr>
        <w:t>【  】</w:t>
      </w:r>
      <w:r>
        <w:rPr>
          <w:rFonts w:hint="eastAsia" w:hAnsi="楷体_GB2312"/>
          <w:snapToGrid w:val="0"/>
        </w:rPr>
        <w:t>亿元涉及追加交付资产，拟用于【</w:t>
      </w:r>
      <w:r>
        <w:rPr>
          <w:rFonts w:hint="eastAsia" w:hAnsi="楷体_GB2312"/>
          <w:snapToGrid w:val="0"/>
          <w:u w:val="single"/>
        </w:rPr>
        <w:t>补充发起机构流动资金/偿还发起机构有息负债/项目投资/（其他）</w:t>
      </w:r>
      <w:r>
        <w:rPr>
          <w:rFonts w:hint="eastAsia" w:hAnsi="楷体_GB2312"/>
          <w:snapToGrid w:val="0"/>
        </w:rPr>
        <w:t>】，符合国家宏观调控和产业政策要求。</w:t>
      </w:r>
    </w:p>
    <w:p>
      <w:pPr>
        <w:keepNext w:val="0"/>
        <w:keepLines w:val="0"/>
        <w:pageBreakBefore w:val="0"/>
        <w:kinsoku/>
        <w:wordWrap/>
        <w:topLinePunct w:val="0"/>
        <w:bidi w:val="0"/>
        <w:spacing w:before="157" w:beforeLines="50" w:after="157" w:afterLines="50" w:line="240" w:lineRule="atLeast"/>
        <w:ind w:firstLine="482"/>
        <w:jc w:val="both"/>
        <w:textAlignment w:val="auto"/>
        <w:outlineLvl w:val="2"/>
        <w:rPr>
          <w:rFonts w:hint="eastAsia" w:ascii="楷体_GB2312" w:hAnsi="楷体_GB2312" w:eastAsia="楷体_GB2312" w:cs="楷体_GB2312"/>
          <w:b/>
          <w:bCs/>
          <w:sz w:val="24"/>
          <w:szCs w:val="24"/>
        </w:rPr>
      </w:pPr>
      <w:bookmarkStart w:id="3665" w:name="_Toc2723"/>
      <w:bookmarkStart w:id="3666" w:name="_Toc20813"/>
      <w:bookmarkStart w:id="3667" w:name="_Toc20854"/>
      <w:bookmarkStart w:id="3668" w:name="_Toc19472"/>
      <w:bookmarkStart w:id="3669" w:name="_Toc13599"/>
      <w:bookmarkStart w:id="3670" w:name="_Toc14167"/>
      <w:bookmarkStart w:id="3671" w:name="_Toc31400"/>
      <w:bookmarkStart w:id="3672" w:name="_Toc1402"/>
      <w:r>
        <w:rPr>
          <w:rFonts w:hint="eastAsia" w:ascii="楷体_GB2312" w:hAnsi="楷体_GB2312" w:eastAsia="楷体_GB2312" w:cs="楷体_GB2312"/>
          <w:b/>
          <w:bCs/>
          <w:sz w:val="24"/>
          <w:szCs w:val="24"/>
        </w:rPr>
        <w:t>二、承诺</w:t>
      </w:r>
      <w:bookmarkEnd w:id="3665"/>
      <w:bookmarkEnd w:id="3666"/>
      <w:bookmarkEnd w:id="3667"/>
      <w:bookmarkEnd w:id="3668"/>
      <w:bookmarkEnd w:id="3669"/>
      <w:bookmarkEnd w:id="3670"/>
      <w:bookmarkEnd w:id="3671"/>
      <w:bookmarkEnd w:id="3672"/>
    </w:p>
    <w:p>
      <w:pPr>
        <w:pStyle w:val="176"/>
        <w:keepNext w:val="0"/>
        <w:keepLines w:val="0"/>
        <w:pageBreakBefore w:val="0"/>
        <w:kinsoku/>
        <w:wordWrap/>
        <w:topLinePunct w:val="0"/>
        <w:bidi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在本期资产支持商业票据存续期间变更资金用途前及时在中国银行间市场交易商协会综合业务和信息服务平台（简称综合服务平台）向投资人定向披露有关信息。</w:t>
      </w:r>
    </w:p>
    <w:p>
      <w:pPr>
        <w:pStyle w:val="110"/>
        <w:keepNext w:val="0"/>
        <w:keepLines w:val="0"/>
        <w:pageBreakBefore w:val="0"/>
        <w:kinsoku/>
        <w:wordWrap/>
        <w:topLinePunct w:val="0"/>
        <w:bidi w:val="0"/>
        <w:spacing w:before="157" w:beforeLines="50" w:after="157" w:afterLines="50" w:line="240" w:lineRule="atLeast"/>
        <w:ind w:firstLine="480" w:firstLineChars="200"/>
        <w:jc w:val="both"/>
        <w:textAlignment w:val="auto"/>
        <w:rPr>
          <w:rFonts w:hint="eastAsia" w:hAnsi="楷体_GB2312"/>
        </w:rPr>
      </w:pPr>
      <w:r>
        <w:rPr>
          <w:rFonts w:hint="eastAsia" w:hAnsi="楷体_GB2312"/>
          <w:snapToGrid w:val="0"/>
        </w:rPr>
        <w:t>本期募集资金用途符合国家法律法规及相关政策要求，</w:t>
      </w:r>
      <w:r>
        <w:rPr>
          <w:rFonts w:hint="eastAsia" w:hAnsi="楷体_GB2312"/>
        </w:rPr>
        <w:t>按照实需原则用于生产经营活动，不用于套利、脱实向虚。</w:t>
      </w:r>
      <w:r>
        <w:rPr>
          <w:rFonts w:hint="eastAsia" w:hAnsi="楷体_GB2312"/>
          <w:snapToGrid w:val="0"/>
        </w:rPr>
        <w:t>不</w:t>
      </w:r>
      <w:r>
        <w:rPr>
          <w:rFonts w:hint="eastAsia"/>
        </w:rPr>
        <w:t>用于归还金融子公司的有息负债、对金融子公司出资，不直接用于参股公司、上市公司二级市场股票投资等。</w:t>
      </w:r>
    </w:p>
    <w:p>
      <w:pPr>
        <w:pStyle w:val="110"/>
        <w:keepNext w:val="0"/>
        <w:keepLines w:val="0"/>
        <w:pageBreakBefore w:val="0"/>
        <w:kinsoku/>
        <w:wordWrap/>
        <w:topLinePunct w:val="0"/>
        <w:bidi w:val="0"/>
        <w:spacing w:before="157" w:beforeLines="50" w:after="157" w:afterLines="50" w:line="240" w:lineRule="atLeast"/>
        <w:ind w:firstLine="482" w:firstLineChars="200"/>
        <w:jc w:val="both"/>
        <w:textAlignment w:val="auto"/>
        <w:rPr>
          <w:rFonts w:hint="eastAsia" w:hAnsi="楷体_GB2312"/>
          <w:b/>
          <w:bCs/>
          <w:i/>
          <w:iCs/>
          <w:snapToGrid w:val="0"/>
          <w:color w:val="FF0000"/>
          <w:u w:val="single"/>
        </w:rPr>
      </w:pPr>
      <w:r>
        <w:rPr>
          <w:rFonts w:hint="eastAsia" w:hAnsi="楷体_GB2312"/>
          <w:b/>
          <w:bCs/>
          <w:i/>
          <w:iCs/>
          <w:snapToGrid w:val="0"/>
          <w:color w:val="FF0000"/>
          <w:u w:val="single"/>
        </w:rPr>
        <w:t>涉及特定产品或行业的，</w:t>
      </w:r>
      <w:r>
        <w:rPr>
          <w:rFonts w:hint="eastAsia" w:hAnsi="楷体_GB2312"/>
          <w:b/>
          <w:bCs/>
          <w:i/>
          <w:iCs/>
          <w:snapToGrid w:val="0"/>
          <w:color w:val="FF0000"/>
          <w:u w:val="single"/>
          <w:lang w:val="en-US" w:eastAsia="zh-CN"/>
        </w:rPr>
        <w:t>应</w:t>
      </w:r>
      <w:r>
        <w:rPr>
          <w:rFonts w:hint="eastAsia" w:hAnsi="楷体_GB2312"/>
          <w:b/>
          <w:bCs/>
          <w:i/>
          <w:iCs/>
          <w:snapToGrid w:val="0"/>
          <w:color w:val="FF0000"/>
          <w:u w:val="single"/>
        </w:rPr>
        <w:t>按照《非金融企业债务融资工具定向发行注册文件表格体系》对应子表格的要求进行披露、承诺。</w:t>
      </w:r>
    </w:p>
    <w:p>
      <w:pPr>
        <w:keepNext w:val="0"/>
        <w:keepLines w:val="0"/>
        <w:pageBreakBefore w:val="0"/>
        <w:kinsoku/>
        <w:wordWrap/>
        <w:topLinePunct w:val="0"/>
        <w:bidi w:val="0"/>
        <w:spacing w:before="157" w:beforeLines="50" w:after="157" w:afterLines="50" w:line="240" w:lineRule="atLeast"/>
        <w:ind w:firstLine="482"/>
        <w:jc w:val="both"/>
        <w:textAlignment w:val="auto"/>
        <w:outlineLvl w:val="2"/>
        <w:rPr>
          <w:rFonts w:ascii="楷体_GB2312" w:hAnsi="楷体_GB2312" w:eastAsia="楷体_GB2312" w:cs="楷体_GB2312"/>
          <w:b/>
          <w:bCs/>
          <w:sz w:val="24"/>
          <w:szCs w:val="24"/>
        </w:rPr>
      </w:pPr>
      <w:r>
        <w:rPr>
          <w:rFonts w:hint="eastAsia" w:ascii="楷体_GB2312" w:hAnsi="楷体_GB2312" w:eastAsia="楷体_GB2312" w:cs="楷体_GB2312"/>
          <w:b/>
          <w:bCs/>
          <w:sz w:val="24"/>
          <w:szCs w:val="24"/>
        </w:rPr>
        <w:t>三、偿付来源</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b/>
          <w:bCs/>
          <w:color w:val="FF0000"/>
          <w:kern w:val="0"/>
          <w:sz w:val="24"/>
          <w:szCs w:val="24"/>
        </w:rPr>
        <w:t>【预计下一期进行滚动发行的情形】</w:t>
      </w:r>
      <w:r>
        <w:rPr>
          <w:rFonts w:hint="eastAsia" w:ascii="楷体_GB2312" w:hAnsi="楷体_GB2312" w:eastAsia="楷体_GB2312" w:cs="楷体_GB2312"/>
          <w:kern w:val="0"/>
          <w:sz w:val="24"/>
          <w:szCs w:val="24"/>
        </w:rPr>
        <w:t>本信托项下的优先级资产支持商业票据预计分【</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期发行。除最后一期优先级资产支持商业票据外，预计各期优先级资产支持商业票据本息的偿付来源为【基础资产的回收款和其后一期优先级资产支持商业票据滚动发行的募集资金/（其他）】。如后一期优先级资产支持商业票据滚动发行失败</w:t>
      </w:r>
      <w:r>
        <w:rPr>
          <w:rStyle w:val="48"/>
          <w:rFonts w:hint="eastAsia" w:ascii="楷体_GB2312" w:hAnsi="楷体_GB2312" w:eastAsia="楷体_GB2312" w:cs="楷体_GB2312"/>
          <w:kern w:val="0"/>
          <w:sz w:val="24"/>
          <w:szCs w:val="24"/>
        </w:rPr>
        <w:footnoteReference w:id="56"/>
      </w:r>
      <w:r>
        <w:rPr>
          <w:rFonts w:hint="eastAsia" w:ascii="楷体_GB2312" w:hAnsi="楷体_GB2312" w:eastAsia="楷体_GB2312" w:cs="楷体_GB2312"/>
          <w:kern w:val="0"/>
          <w:sz w:val="24"/>
          <w:szCs w:val="24"/>
        </w:rPr>
        <w:t>，将通过【委托人回购资产池/委托人受让信托受益权/差额支付承诺人支付差额补足款项/（其他）】</w:t>
      </w:r>
      <w:r>
        <w:rPr>
          <w:rStyle w:val="48"/>
          <w:rFonts w:hint="eastAsia" w:ascii="楷体_GB2312" w:hAnsi="楷体_GB2312" w:eastAsia="楷体_GB2312" w:cs="楷体_GB2312"/>
          <w:kern w:val="0"/>
          <w:sz w:val="24"/>
          <w:szCs w:val="24"/>
        </w:rPr>
        <w:footnoteReference w:id="57"/>
      </w:r>
      <w:r>
        <w:rPr>
          <w:rFonts w:hint="eastAsia" w:ascii="楷体_GB2312" w:hAnsi="楷体_GB2312" w:eastAsia="楷体_GB2312" w:cs="楷体_GB2312"/>
          <w:kern w:val="0"/>
          <w:sz w:val="24"/>
          <w:szCs w:val="24"/>
        </w:rPr>
        <w:t>的方式，兑付本期优先级资产支持商业票据。</w:t>
      </w:r>
    </w:p>
    <w:p>
      <w:pPr>
        <w:pStyle w:val="2"/>
        <w:keepNext w:val="0"/>
        <w:keepLines w:val="0"/>
        <w:pageBreakBefore w:val="0"/>
        <w:kinsoku/>
        <w:wordWrap/>
        <w:topLinePunct w:val="0"/>
        <w:bidi w:val="0"/>
        <w:spacing w:before="157" w:beforeLines="50" w:after="157" w:afterLines="50" w:line="240" w:lineRule="atLeast"/>
        <w:ind w:firstLine="482"/>
        <w:jc w:val="both"/>
        <w:textAlignment w:val="auto"/>
        <w:rPr>
          <w:rFonts w:hint="eastAsia"/>
          <w:sz w:val="24"/>
          <w:szCs w:val="24"/>
        </w:rPr>
      </w:pPr>
      <w:r>
        <w:rPr>
          <w:rFonts w:hint="eastAsia" w:ascii="楷体_GB2312" w:hAnsi="楷体_GB2312" w:eastAsia="楷体_GB2312" w:cs="楷体_GB2312"/>
          <w:b/>
          <w:bCs/>
          <w:color w:val="FF0000"/>
          <w:sz w:val="24"/>
          <w:szCs w:val="24"/>
        </w:rPr>
        <w:t>【预计下一期不再滚动发行，由委托人回购资产或受让信托受益权的情形】</w:t>
      </w:r>
      <w:r>
        <w:rPr>
          <w:rFonts w:hint="eastAsia" w:ascii="楷体_GB2312" w:hAnsi="楷体_GB2312" w:eastAsia="楷体_GB2312" w:cs="楷体_GB2312"/>
          <w:sz w:val="24"/>
          <w:szCs w:val="24"/>
        </w:rPr>
        <w:t>预计本期优先级资产支持商业票据发行后不再滚动发行后一期，计划通过【委托人回购资产/委托人回购资产池/委托人受让信托受益权/（其他）】</w:t>
      </w:r>
      <w:r>
        <w:rPr>
          <w:rStyle w:val="48"/>
          <w:rFonts w:hint="eastAsia" w:ascii="楷体_GB2312" w:hAnsi="楷体_GB2312" w:eastAsia="楷体_GB2312" w:cs="楷体_GB2312"/>
          <w:sz w:val="24"/>
          <w:szCs w:val="24"/>
        </w:rPr>
        <w:footnoteReference w:id="58"/>
      </w:r>
      <w:r>
        <w:rPr>
          <w:rFonts w:hint="eastAsia" w:ascii="楷体_GB2312" w:hAnsi="楷体_GB2312" w:eastAsia="楷体_GB2312" w:cs="楷体_GB2312"/>
          <w:sz w:val="24"/>
          <w:szCs w:val="24"/>
        </w:rPr>
        <w:t>的方式，兑付本期优先级资产支持商业票据</w:t>
      </w:r>
      <w:r>
        <w:rPr>
          <w:rFonts w:hint="eastAsia"/>
          <w:sz w:val="24"/>
          <w:szCs w:val="24"/>
        </w:rPr>
        <w:t>。</w:t>
      </w:r>
      <w:r>
        <w:rPr>
          <w:rFonts w:hint="eastAsia" w:ascii="楷体_GB2312" w:hAnsi="楷体_GB2312" w:eastAsia="楷体_GB2312" w:cs="楷体_GB2312"/>
          <w:sz w:val="24"/>
          <w:szCs w:val="24"/>
        </w:rPr>
        <w:t>如届时可供分配的资金不足，将通过【差额支付承诺人支付回收款差额补足款项/差额支付承诺人支付滚动发行差额补足款项/（其他）】的方式补足</w:t>
      </w:r>
      <w:r>
        <w:rPr>
          <w:rFonts w:hint="eastAsia"/>
          <w:sz w:val="24"/>
          <w:szCs w:val="24"/>
        </w:rPr>
        <w:t>。</w:t>
      </w:r>
    </w:p>
    <w:p>
      <w:pPr>
        <w:pStyle w:val="2"/>
        <w:keepNext w:val="0"/>
        <w:keepLines w:val="0"/>
        <w:pageBreakBefore w:val="0"/>
        <w:kinsoku/>
        <w:wordWrap/>
        <w:topLinePunct w:val="0"/>
        <w:bidi w:val="0"/>
        <w:spacing w:before="157" w:beforeLines="50" w:after="157" w:afterLines="50" w:line="240" w:lineRule="atLeast"/>
        <w:ind w:firstLine="48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b/>
          <w:bCs/>
          <w:color w:val="FF0000"/>
          <w:sz w:val="24"/>
          <w:szCs w:val="24"/>
        </w:rPr>
        <w:t>【信托项下最后一期发行且还款来源为基础资产现金流的情形】</w:t>
      </w:r>
      <w:r>
        <w:rPr>
          <w:rFonts w:hint="eastAsia" w:ascii="楷体_GB2312" w:hAnsi="楷体_GB2312" w:eastAsia="楷体_GB2312" w:cs="楷体_GB2312"/>
          <w:sz w:val="24"/>
          <w:szCs w:val="24"/>
        </w:rPr>
        <w:t>本期为信托项下最后一期优先级资产支持商业票据，本息的偿付来源为【基础资产的回收款/（其他）】。</w:t>
      </w:r>
    </w:p>
    <w:p>
      <w:pPr>
        <w:pStyle w:val="110"/>
        <w:keepNext w:val="0"/>
        <w:keepLines w:val="0"/>
        <w:pageBreakBefore w:val="0"/>
        <w:kinsoku/>
        <w:wordWrap/>
        <w:topLinePunct w:val="0"/>
        <w:bidi w:val="0"/>
        <w:spacing w:before="157" w:beforeLines="50" w:after="157" w:afterLines="50" w:line="240" w:lineRule="atLeast"/>
        <w:ind w:firstLine="480" w:firstLineChars="200"/>
        <w:jc w:val="both"/>
        <w:textAlignment w:val="auto"/>
        <w:rPr>
          <w:rFonts w:hint="eastAsia" w:hAnsi="楷体_GB2312"/>
          <w:snapToGrid w:val="0"/>
        </w:rPr>
      </w:pPr>
      <w:r>
        <w:rPr>
          <w:rFonts w:hint="eastAsia" w:hAnsi="楷体_GB2312"/>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673" w:name="_Toc24563"/>
      <w:bookmarkStart w:id="3674" w:name="_Toc17514"/>
      <w:bookmarkStart w:id="3675" w:name="_Toc25491"/>
      <w:bookmarkStart w:id="3676" w:name="_Toc15393"/>
      <w:bookmarkStart w:id="3677" w:name="_Toc10941"/>
      <w:bookmarkStart w:id="3678" w:name="_Toc1499"/>
      <w:bookmarkStart w:id="3679" w:name="_Toc7150"/>
      <w:r>
        <w:rPr>
          <w:rFonts w:hint="eastAsia" w:ascii="楷体_GB2312" w:hAnsi="楷体_GB2312" w:eastAsia="楷体_GB2312" w:cs="楷体_GB2312"/>
          <w:b/>
          <w:bCs/>
          <w:kern w:val="0"/>
          <w:sz w:val="30"/>
          <w:szCs w:val="30"/>
        </w:rPr>
        <w:t>信息披露安排</w:t>
      </w:r>
      <w:bookmarkEnd w:id="3673"/>
      <w:bookmarkEnd w:id="3674"/>
      <w:bookmarkEnd w:id="3675"/>
      <w:bookmarkEnd w:id="3676"/>
      <w:bookmarkEnd w:id="3677"/>
      <w:bookmarkEnd w:id="3678"/>
      <w:bookmarkEnd w:id="3679"/>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发起机构、发行载体管理机构将严格根据中国人民银行《银行间债券市场非金融企业债务融资工具管理办法》及中国银行间市场交易商协会《银行间债券市场非金融企业债务融资工具信息披露规则》等法律法规、规范性文件的相关规定，通过中国银行间市场交易商协会综合业务和信息服务平台（简称综合服务平台）向投资人定向披露发行及存续期的相关信息。相关事项的披露时间应不晚于企业按照境内外监管机构、市场自律组织、证券交易场所要求，或者将有关信息刊登在其他指定信息披露渠道上的时间，披露内容不低于《银行间债券市场非金融企业债务融资工具信息披露规则》及《银行间债券市场非金融企业债务融资工具存续期信息披露表格体系》要求。</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color w:val="FF0000"/>
          <w:kern w:val="0"/>
          <w:sz w:val="24"/>
          <w:szCs w:val="24"/>
        </w:rPr>
      </w:pPr>
      <w:r>
        <w:rPr>
          <w:rFonts w:hint="eastAsia" w:ascii="楷体_GB2312" w:hAnsi="楷体_GB2312" w:eastAsia="楷体_GB2312" w:cs="楷体_GB2312"/>
          <w:b/>
          <w:bCs/>
          <w:snapToGrid w:val="0"/>
          <w:color w:val="FF0000"/>
          <w:kern w:val="0"/>
          <w:sz w:val="24"/>
          <w:szCs w:val="24"/>
        </w:rPr>
        <w:t>【基础资产现金流的获得取决于发起机构持续经营，或发起机构需持续承担基础资产现金流转付义务的情形】</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680" w:name="_Toc10170"/>
      <w:bookmarkStart w:id="3681" w:name="_Toc24514"/>
      <w:bookmarkStart w:id="3682" w:name="_Toc3740"/>
      <w:bookmarkStart w:id="3683" w:name="_Toc11174"/>
      <w:bookmarkStart w:id="3684" w:name="_Toc25647"/>
      <w:bookmarkStart w:id="3685" w:name="_Toc11275"/>
      <w:bookmarkStart w:id="3686" w:name="_Toc1481"/>
      <w:bookmarkStart w:id="3687" w:name="_Toc6174"/>
      <w:bookmarkStart w:id="3688" w:name="_Toc1505"/>
      <w:r>
        <w:rPr>
          <w:rFonts w:hint="eastAsia" w:ascii="楷体_GB2312" w:hAnsi="楷体_GB2312" w:eastAsia="楷体_GB2312" w:cs="楷体_GB2312"/>
          <w:b/>
          <w:bCs/>
          <w:sz w:val="24"/>
          <w:szCs w:val="24"/>
        </w:rPr>
        <w:t>一、信息披露机制</w:t>
      </w:r>
      <w:bookmarkEnd w:id="3680"/>
      <w:bookmarkEnd w:id="3681"/>
      <w:bookmarkEnd w:id="3682"/>
      <w:bookmarkEnd w:id="3683"/>
      <w:bookmarkEnd w:id="3684"/>
      <w:bookmarkEnd w:id="3685"/>
      <w:bookmarkEnd w:id="3686"/>
      <w:bookmarkEnd w:id="3687"/>
      <w:bookmarkEnd w:id="3688"/>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（一）发起机构</w:t>
      </w:r>
    </w:p>
    <w:p>
      <w:pPr>
        <w:pStyle w:val="110"/>
        <w:keepNext w:val="0"/>
        <w:keepLines w:val="0"/>
        <w:pageBreakBefore w:val="0"/>
        <w:kinsoku/>
        <w:wordWrap/>
        <w:topLinePunct w:val="0"/>
        <w:bidi w:val="0"/>
        <w:spacing w:before="157" w:beforeLines="50" w:after="157" w:afterLines="50" w:line="240" w:lineRule="atLeast"/>
        <w:ind w:firstLine="482" w:firstLineChars="200"/>
        <w:jc w:val="both"/>
        <w:textAlignment w:val="auto"/>
        <w:rPr>
          <w:rFonts w:hint="eastAsia" w:hAnsi="楷体_GB2312"/>
          <w:b/>
          <w:bCs/>
          <w:i/>
          <w:iCs/>
          <w:snapToGrid w:val="0"/>
          <w:color w:val="FF0000"/>
          <w:u w:val="single"/>
        </w:rPr>
      </w:pPr>
      <w:r>
        <w:rPr>
          <w:rFonts w:hint="eastAsia" w:hAnsi="楷体_GB2312"/>
          <w:b/>
          <w:bCs/>
          <w:i/>
          <w:iCs/>
          <w:snapToGrid w:val="0"/>
          <w:color w:val="FF0000"/>
          <w:u w:val="single"/>
        </w:rPr>
        <w:t>包括已制定信息披露内部管理制度、信息披露管理机制、负责部门等。信息披露事务负责人——姓名、职位、联系地址、电话、传真、电子信箱。</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689" w:name="_Toc30072"/>
      <w:bookmarkStart w:id="3690" w:name="_Toc21543"/>
      <w:bookmarkStart w:id="3691" w:name="_Toc21805"/>
      <w:bookmarkStart w:id="3692" w:name="_Toc31076"/>
      <w:bookmarkStart w:id="3693" w:name="_Toc24826"/>
      <w:bookmarkStart w:id="3694" w:name="_Toc13283"/>
      <w:bookmarkStart w:id="3695" w:name="_Toc16045"/>
      <w:bookmarkStart w:id="3696" w:name="_Toc26027"/>
      <w:bookmarkStart w:id="3697" w:name="_Toc5174"/>
      <w:r>
        <w:rPr>
          <w:rFonts w:hint="eastAsia" w:ascii="楷体_GB2312" w:hAnsi="楷体_GB2312" w:eastAsia="楷体_GB2312" w:cs="楷体_GB2312"/>
          <w:b/>
          <w:bCs/>
          <w:sz w:val="24"/>
          <w:szCs w:val="24"/>
        </w:rPr>
        <w:t>二、信息披露文件</w:t>
      </w:r>
      <w:bookmarkEnd w:id="3689"/>
      <w:bookmarkEnd w:id="3690"/>
      <w:bookmarkEnd w:id="3691"/>
      <w:bookmarkEnd w:id="3692"/>
      <w:bookmarkEnd w:id="3693"/>
      <w:bookmarkEnd w:id="3694"/>
      <w:bookmarkEnd w:id="3695"/>
      <w:bookmarkEnd w:id="3696"/>
      <w:bookmarkEnd w:id="3697"/>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（一）发行信息披露</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发起机构发行定向资产支持商业票据，应当于发行前一个工作日披露以下文件：</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1、定向募集说明书；</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2、法律意见书；</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3、信用评级报告（如有）；</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4、发起机构最近两年经审计的财务报告和近半年会计报表（如有）；</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5、信用增级机构最近两年经审计的财务报告和近半年会计报表（如有）；</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6、交易商协会要求的其他文件。</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（二）重大事项信息披露</w:t>
      </w:r>
    </w:p>
    <w:p>
      <w:pPr>
        <w:keepNext w:val="0"/>
        <w:keepLines w:val="0"/>
        <w:pageBreakBefore w:val="0"/>
        <w:kinsoku/>
        <w:wordWrap/>
        <w:overflowPunct w:val="0"/>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1、发起机构及信用增级机构（如有）相关事件</w:t>
      </w:r>
    </w:p>
    <w:p>
      <w:pPr>
        <w:pStyle w:val="2"/>
        <w:keepNext w:val="0"/>
        <w:keepLines w:val="0"/>
        <w:pageBreakBefore w:val="0"/>
        <w:kinsoku/>
        <w:wordWrap/>
        <w:topLinePunct w:val="0"/>
        <w:bidi w:val="0"/>
        <w:spacing w:before="157" w:beforeLines="50" w:after="157" w:afterLines="50" w:line="240" w:lineRule="atLeast"/>
        <w:ind w:firstLine="480"/>
        <w:jc w:val="both"/>
        <w:textAlignment w:val="auto"/>
        <w:rPr>
          <w:rFonts w:hint="eastAsia" w:ascii="楷体_GB2312" w:hAnsi="楷体_GB2312" w:eastAsia="楷体_GB2312" w:cs="楷体_GB2312"/>
          <w:snapToGrid w:val="0"/>
          <w:sz w:val="24"/>
          <w:szCs w:val="24"/>
        </w:rPr>
      </w:pPr>
      <w:r>
        <w:rPr>
          <w:rFonts w:hint="eastAsia" w:ascii="楷体_GB2312" w:hAnsi="楷体_GB2312" w:eastAsia="楷体_GB2312" w:cs="楷体_GB2312"/>
          <w:snapToGrid w:val="0"/>
          <w:sz w:val="24"/>
          <w:szCs w:val="24"/>
        </w:rPr>
        <w:t>存续期内，发起机构发生可能影响定向资产支持商业票据偿债能力或投资者权益的重大事项时，应当及时披露，并说明事项的起因、目前的状态和可能产生的影响。所称重大事项包括但不限于：</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（1）企业名称变更；</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（2）企业生产经营状况发生重大变化，包括全部或主要业务陷入停顿、生产经营外部条件发生重大变化等；</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（3）企业变更财务报告审计机构、债务融资工具受托管理人、信用评级机构；</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（4）企业1/3以上董事、2/3以上监事、董事长、总经理或具有同等职责的人员发生变动；</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（5）企业法定代表人、董事长、总经理或具有同等职责的人员无法履行职责；</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（6）企业控股股东或者实际控制人变更，或股权结构发生重大变化；</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（7）企业提供重大资产抵押、质押，或者对外提供担保超过上年末净资产的20%；</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（8）企业发生可能影响其偿债能力的资产出售、转让、报废、无偿划转以及重大投资行为、重大资产重组；</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（9）企业发生超过上年末净资产10%的重大损失，或者放弃债权或者财产超过上年末净资产的10%；</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（10）企业股权、经营权涉及被委托管理；</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（11）企业丧失对重要子公司的实际控制权；</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（12）资产支持商业票据信用增级安排发生变更；</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（13）企业一次承担他人债务超过上年末净资产10%，或者新增借款超过上年末净资产的20%；</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（14）企业未能清偿到期债务或企业进行债务重组；</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（15）企业涉嫌违法违规被有权机关调查，受到刑事处罚、重大行政处罚或行政监管措施、市场自律组织做出的债券业务相关的处分，或者存在严重失信行为；</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（16）企业法定代表人、控股股东、实际控制人、董事、监事、高级管理人员涉嫌违法违规被有权机关调查、采取强制措施，或者存在严重失信行为；</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（17）企业涉及重大诉讼、仲裁事项；</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（18）企业发生可能影响其偿债能力的资产被查封、扣押或冻结的情况；</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（19）企业拟分配股利，或发生减资、合并、分立、解散及申请破产的情形；</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（20）企业涉及需要说明的市场传闻；</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（21）资产支持商业票据信用评级发生变化；</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（22）企业订立其他可能对其资产、负债、权益和经营成果产生重要影响的重大合同；</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（23）发行文件中约定或企业承诺的其他应当披露事项；</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（24）其他可能影响其偿债能力或投资者权益的事项。</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信用增级机构在发生以下可能影响其信用增级能力的重大事项时，应当及时披露，并说明事项的起因、目前的状态和可能产生的影响。</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（1）名称变更；</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（2）未能清偿到期债务；</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（3）未能按照约定履行债券信用增级义务或超过上年末净资产10%以上的担保责任；</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（4）发生减资、合并、分立、解散及申请破产的情形，或受到重大行政处罚；</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（5）发行文件中约定或信用增级机构承诺的其他应当披露事项；</w:t>
      </w:r>
    </w:p>
    <w:p>
      <w:pPr>
        <w:pStyle w:val="176"/>
        <w:keepNext w:val="0"/>
        <w:keepLines w:val="0"/>
        <w:pageBreakBefore w:val="0"/>
        <w:kinsoku/>
        <w:wordWrap/>
        <w:topLinePunct w:val="0"/>
        <w:bidi w:val="0"/>
        <w:snapToGrid w:val="0"/>
        <w:spacing w:before="157" w:beforeLines="50" w:after="157" w:afterLines="50" w:line="240" w:lineRule="atLeast"/>
        <w:ind w:left="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（6）其他可能影响其信用增级能力或投资者权益的事项。</w:t>
      </w:r>
    </w:p>
    <w:p>
      <w:pPr>
        <w:pStyle w:val="110"/>
        <w:keepNext w:val="0"/>
        <w:keepLines w:val="0"/>
        <w:pageBreakBefore w:val="0"/>
        <w:kinsoku/>
        <w:wordWrap/>
        <w:topLinePunct w:val="0"/>
        <w:bidi w:val="0"/>
        <w:spacing w:before="157" w:beforeLines="50" w:after="157" w:afterLines="50" w:line="240" w:lineRule="atLeast"/>
        <w:ind w:firstLine="480" w:firstLineChars="200"/>
        <w:jc w:val="both"/>
        <w:textAlignment w:val="auto"/>
        <w:rPr>
          <w:rFonts w:hint="eastAsia" w:hAnsi="楷体_GB2312"/>
          <w:snapToGrid w:val="0"/>
          <w:color w:val="auto"/>
        </w:rPr>
      </w:pPr>
      <w:r>
        <w:rPr>
          <w:rFonts w:hint="eastAsia" w:hAnsi="楷体_GB2312"/>
          <w:snapToGrid w:val="0"/>
          <w:color w:val="auto"/>
        </w:rPr>
        <w:t>重大事项出现泄露或市场传闻的，应当在出现该情形之日后2个工作日内履行重大事项的信息披露义务。已披露的重大事项出现重大进展或变化的，应当在进展或变化发生之日后2个工作日内披露进展或者变化情况及可能产生的影响。</w:t>
      </w:r>
    </w:p>
    <w:p>
      <w:pPr>
        <w:keepNext w:val="0"/>
        <w:keepLines w:val="0"/>
        <w:pageBreakBefore w:val="0"/>
        <w:kinsoku/>
        <w:wordWrap/>
        <w:overflowPunct w:val="0"/>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2、定向资产支持商业票据相关重大事件</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定向资产支持商业票据存续期间发生可能对投资价值及投资决策判断有重要影响的重大事项，发行载体管理机构和发起机构应在事发后三个工作日内披露相关信息，并向交易商协会报告，重大事项包括但不限于：</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（1）发生或预期发生不能按照约定偿付定向资产支持商业票据收益等影响投资人利益的事项；</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（2）定向资产支持商业票据信用评级结果或评级展望发生不利变化（如有）；</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（3）基础资产发生或预期发生超过定向资产支持商业票据未偿还本金余额10%以上的损失；</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（4）基础资产的运行情况或产生现金流的能力发生重大不利变化；</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（5）发行载体管理机构、发起机构及相关中介机构或基础资产涉及违法行为、法律纠纷、信用等级调整等，可能对投资人的利益造成严重不利影响的；</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6）发行载体管理机构、发起机构及相关中介机构的经营情况发生重大变化或者作出减资、合并、分立、解散、申请破产等决定，可能降低其从事定向资产支持商业票据业务水平，对投资人的利益造成严重不利影响的；</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（7）可能对投资人利益产生重大影响的其他事项。</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（三）存续期内定期信息披露</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1、发起机构及信用增级机构（如有）应当在每个会计年度结束之日后4个月内披露上一年年度报告。发起机构及信用增级机构（如有）应当在每个会计年度的上半年结束之日后2个月内披露半年度财务报表。发起机构的年度报告应当包含报告期内企业主要情况、审计机构出具的审计报告、经审计的财务报表、附注以及其他必要信息。信用增级机构的年度报告应包括审计报告、经审计的财务报表及附注（如有）。财务报表应当至少包含资产负债表、利润表和现金流量表。编制合并财务报表的企业，除提供合并财务报表外，还应当披露母公司财务报表。</w:t>
      </w:r>
    </w:p>
    <w:p>
      <w:pPr>
        <w:pStyle w:val="2"/>
        <w:keepNext w:val="0"/>
        <w:keepLines w:val="0"/>
        <w:pageBreakBefore w:val="0"/>
        <w:kinsoku/>
        <w:wordWrap/>
        <w:topLinePunct w:val="0"/>
        <w:bidi w:val="0"/>
        <w:spacing w:before="157" w:beforeLines="50" w:after="157" w:afterLines="50" w:line="240" w:lineRule="atLeast"/>
        <w:ind w:firstLine="482"/>
        <w:jc w:val="both"/>
        <w:textAlignment w:val="auto"/>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项目实际情况调整发起机构及信用增级机构（如有）定期报告安排。</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2、在定向资产支持商业票据存续期内，发行载体管理机构应于每个支付日前三个工作日披露资产运营报告。在每年4月30日前，发行载体管理机构应披露上年度的资产运营报告，年度资产运营报告需经注册会计师审计。对于定向资产支持商业票据发行不足两个月的，可不编制当期年度资产运营报告。</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3、发行载体管理机构应与评级机构就定向资产支持商业票据跟踪评级的有关安排作出约定，持续跟踪受评对象信用状况的变化情况，发布定期跟踪评级结果和报告。（如有）</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outlineLvl w:val="3"/>
        <w:rPr>
          <w:rFonts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（四）付息兑付事项信息披露</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发行载体管理机构应于定向资产支持商业票据支付日前五个工作日，通过中国银行间市场交易商协会综合业务和信息服务平台披露本金兑付和付息事项。</w:t>
      </w:r>
    </w:p>
    <w:p>
      <w:pPr>
        <w:keepNext w:val="0"/>
        <w:keepLines w:val="0"/>
        <w:pageBreakBefore w:val="0"/>
        <w:kinsoku/>
        <w:wordWrap/>
        <w:topLinePunct w:val="0"/>
        <w:autoSpaceDE w:val="0"/>
        <w:autoSpaceDN w:val="0"/>
        <w:bidi w:val="0"/>
        <w:adjustRightInd w:val="0"/>
        <w:spacing w:before="157" w:beforeLines="50" w:after="157" w:afterLines="50" w:line="240" w:lineRule="atLeast"/>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698" w:name="_Toc14775"/>
      <w:bookmarkStart w:id="3699" w:name="_Toc12594"/>
      <w:bookmarkStart w:id="3700" w:name="_Toc30783"/>
      <w:bookmarkStart w:id="3701" w:name="_Toc5317"/>
      <w:bookmarkStart w:id="3702" w:name="_Toc25547"/>
      <w:bookmarkStart w:id="3703" w:name="_Toc16155"/>
      <w:bookmarkStart w:id="3704" w:name="_Toc19453"/>
      <w:bookmarkStart w:id="3705" w:name="_Toc14680"/>
      <w:bookmarkStart w:id="3706" w:name="_Toc10370"/>
      <w:bookmarkStart w:id="3707" w:name="_Toc3290"/>
      <w:bookmarkStart w:id="3708" w:name="_Toc266"/>
      <w:bookmarkStart w:id="3709" w:name="_Toc26485"/>
      <w:r>
        <w:rPr>
          <w:rFonts w:hint="eastAsia" w:ascii="楷体_GB2312" w:hAnsi="楷体_GB2312" w:eastAsia="楷体_GB2312" w:cs="楷体_GB2312"/>
          <w:b/>
          <w:bCs/>
          <w:kern w:val="0"/>
          <w:sz w:val="30"/>
          <w:szCs w:val="30"/>
        </w:rPr>
        <w:t>投资人保护机制</w:t>
      </w:r>
      <w:bookmarkEnd w:id="3698"/>
      <w:bookmarkEnd w:id="3699"/>
      <w:bookmarkEnd w:id="3700"/>
      <w:bookmarkEnd w:id="3701"/>
      <w:bookmarkEnd w:id="3702"/>
      <w:bookmarkEnd w:id="3703"/>
      <w:bookmarkEnd w:id="3704"/>
      <w:bookmarkEnd w:id="3705"/>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710" w:name="_Toc10225"/>
      <w:bookmarkStart w:id="3711" w:name="_Toc16208"/>
      <w:bookmarkStart w:id="3712" w:name="_Toc19973"/>
      <w:bookmarkStart w:id="3713" w:name="_Toc10387"/>
      <w:bookmarkStart w:id="3714" w:name="_Toc12568"/>
      <w:r>
        <w:rPr>
          <w:rFonts w:hint="eastAsia" w:ascii="楷体_GB2312" w:hAnsi="楷体_GB2312" w:eastAsia="楷体_GB2312" w:cs="楷体_GB2312"/>
          <w:b/>
          <w:bCs/>
          <w:sz w:val="24"/>
          <w:szCs w:val="24"/>
        </w:rPr>
        <w:t>一、违约事件</w:t>
      </w:r>
      <w:bookmarkEnd w:id="3706"/>
      <w:bookmarkEnd w:id="3707"/>
      <w:bookmarkEnd w:id="3708"/>
      <w:bookmarkEnd w:id="3709"/>
      <w:bookmarkEnd w:id="3710"/>
      <w:bookmarkEnd w:id="3711"/>
      <w:bookmarkEnd w:id="3712"/>
      <w:bookmarkEnd w:id="3713"/>
      <w:bookmarkEnd w:id="3714"/>
    </w:p>
    <w:p>
      <w:pPr>
        <w:pStyle w:val="2"/>
        <w:keepNext w:val="0"/>
        <w:keepLines w:val="0"/>
        <w:pageBreakBefore w:val="0"/>
        <w:kinsoku/>
        <w:wordWrap/>
        <w:topLinePunct w:val="0"/>
        <w:bidi w:val="0"/>
        <w:spacing w:before="157" w:beforeLines="50" w:after="157" w:afterLines="50" w:line="240" w:lineRule="atLeast"/>
        <w:ind w:firstLine="482"/>
        <w:jc w:val="both"/>
        <w:textAlignment w:val="auto"/>
        <w:rPr>
          <w:rFonts w:hint="eastAsia" w:ascii="Times New Roman" w:hAnsi="Times New Roman" w:eastAsia="楷体_GB2312" w:cs="Times New Roman"/>
          <w:b/>
          <w:i/>
          <w:color w:val="FF0000"/>
          <w:sz w:val="24"/>
          <w:szCs w:val="28"/>
          <w:u w:val="single"/>
          <w:lang w:eastAsia="zh-CN"/>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《主定义表》“一、定义（139）违约事件”的内容</w:t>
      </w:r>
      <w:r>
        <w:rPr>
          <w:rFonts w:hint="eastAsia" w:ascii="Times New Roman" w:hAnsi="Times New Roman" w:eastAsia="楷体_GB2312" w:cs="Times New Roman"/>
          <w:b/>
          <w:i/>
          <w:color w:val="FF0000"/>
          <w:sz w:val="24"/>
          <w:szCs w:val="28"/>
          <w:u w:val="single"/>
          <w:lang w:eastAsia="zh-CN"/>
        </w:rPr>
        <w:t>。</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715" w:name="_Toc10423"/>
      <w:bookmarkStart w:id="3716" w:name="_Toc3241"/>
      <w:bookmarkStart w:id="3717" w:name="_Toc5825"/>
      <w:bookmarkStart w:id="3718" w:name="_Toc24974"/>
      <w:bookmarkStart w:id="3719" w:name="_Toc26407"/>
      <w:bookmarkStart w:id="3720" w:name="_Toc11088"/>
      <w:bookmarkStart w:id="3721" w:name="_Toc23496"/>
      <w:bookmarkStart w:id="3722" w:name="_Toc28208"/>
      <w:r>
        <w:rPr>
          <w:rFonts w:hint="eastAsia" w:ascii="楷体_GB2312" w:hAnsi="楷体_GB2312" w:eastAsia="楷体_GB2312" w:cs="楷体_GB2312"/>
          <w:b/>
          <w:bCs/>
          <w:sz w:val="24"/>
          <w:szCs w:val="24"/>
        </w:rPr>
        <w:t>二、违约责任</w:t>
      </w:r>
      <w:bookmarkEnd w:id="3715"/>
      <w:bookmarkEnd w:id="3716"/>
      <w:bookmarkEnd w:id="3717"/>
      <w:bookmarkEnd w:id="3718"/>
      <w:bookmarkEnd w:id="3719"/>
      <w:bookmarkEnd w:id="3720"/>
      <w:bookmarkEnd w:id="3721"/>
      <w:bookmarkEnd w:id="3722"/>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723" w:name="_Toc24709"/>
      <w:bookmarkStart w:id="3724" w:name="_Toc10378"/>
      <w:bookmarkStart w:id="3725" w:name="_Toc6202"/>
      <w:bookmarkStart w:id="3726" w:name="_Toc23736"/>
      <w:bookmarkStart w:id="3727" w:name="_Toc11491"/>
      <w:bookmarkStart w:id="3728" w:name="_Toc8235"/>
      <w:r>
        <w:rPr>
          <w:rFonts w:hint="eastAsia" w:ascii="楷体_GB2312" w:hAnsi="楷体_GB2312" w:eastAsia="楷体_GB2312" w:cs="楷体_GB2312"/>
          <w:b/>
          <w:bCs/>
          <w:sz w:val="24"/>
          <w:szCs w:val="24"/>
        </w:rPr>
        <w:t>三、投资人保护机制</w:t>
      </w:r>
      <w:bookmarkEnd w:id="3723"/>
      <w:bookmarkEnd w:id="3724"/>
      <w:bookmarkEnd w:id="3725"/>
      <w:bookmarkEnd w:id="3726"/>
      <w:bookmarkEnd w:id="3727"/>
      <w:bookmarkEnd w:id="3728"/>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（一）信用评级结果或评级展望下调的应对措施（如有）</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（二）基础资产现金流恶化或其他可能影响投资人利益等情况的应对措施</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（三）基础资产现金流与预测值偏差的处理机制</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（四）基础资产权属争议的解决机制</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（五）定向资产支持商业票据发生违约后的保障机制和清偿安排</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ascii="楷体_GB2312" w:hAnsi="楷体_GB2312" w:eastAsia="楷体_GB2312" w:cs="楷体_GB2312"/>
          <w:b/>
          <w:bCs/>
          <w:sz w:val="24"/>
          <w:szCs w:val="24"/>
        </w:rPr>
      </w:pPr>
      <w:bookmarkStart w:id="3729" w:name="_Toc18193"/>
      <w:bookmarkStart w:id="3730" w:name="_Toc9158"/>
      <w:bookmarkStart w:id="3731" w:name="_Toc12791"/>
      <w:bookmarkStart w:id="3732" w:name="_Toc7666"/>
      <w:bookmarkStart w:id="3733" w:name="_Toc6458"/>
      <w:bookmarkStart w:id="3734" w:name="_Toc25674"/>
      <w:bookmarkStart w:id="3735" w:name="_Toc3873"/>
      <w:bookmarkStart w:id="3736" w:name="_Toc2737"/>
      <w:r>
        <w:rPr>
          <w:rFonts w:hint="eastAsia" w:ascii="楷体_GB2312" w:hAnsi="楷体_GB2312" w:eastAsia="楷体_GB2312" w:cs="楷体_GB2312"/>
          <w:b/>
          <w:bCs/>
          <w:sz w:val="24"/>
          <w:szCs w:val="24"/>
        </w:rPr>
        <w:t>四、投资人保护条款（如有）</w:t>
      </w:r>
      <w:bookmarkEnd w:id="3729"/>
      <w:bookmarkEnd w:id="3730"/>
      <w:bookmarkEnd w:id="3731"/>
      <w:bookmarkEnd w:id="3732"/>
      <w:bookmarkEnd w:id="3733"/>
      <w:bookmarkEnd w:id="3734"/>
      <w:bookmarkEnd w:id="3735"/>
      <w:bookmarkEnd w:id="3736"/>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737" w:name="_Toc7129"/>
      <w:bookmarkStart w:id="3738" w:name="_Toc8740"/>
      <w:bookmarkStart w:id="3739" w:name="_Toc621"/>
      <w:bookmarkStart w:id="3740" w:name="_Toc26994"/>
      <w:bookmarkStart w:id="3741" w:name="_Toc12300"/>
      <w:bookmarkStart w:id="3742" w:name="_Toc9244"/>
      <w:bookmarkStart w:id="3743" w:name="_Toc14588"/>
      <w:bookmarkStart w:id="3744" w:name="_Toc25694"/>
      <w:r>
        <w:rPr>
          <w:rFonts w:hint="eastAsia" w:ascii="楷体_GB2312" w:hAnsi="楷体_GB2312" w:eastAsia="楷体_GB2312" w:cs="楷体_GB2312"/>
          <w:b/>
          <w:bCs/>
          <w:sz w:val="24"/>
          <w:szCs w:val="24"/>
        </w:rPr>
        <w:t>五、定向资产支持商业票据持有人会议机制</w:t>
      </w:r>
      <w:bookmarkEnd w:id="3737"/>
      <w:bookmarkEnd w:id="3738"/>
      <w:bookmarkEnd w:id="3739"/>
      <w:bookmarkEnd w:id="3740"/>
      <w:bookmarkEnd w:id="3741"/>
      <w:bookmarkEnd w:id="3742"/>
      <w:bookmarkEnd w:id="3743"/>
      <w:bookmarkEnd w:id="3744"/>
    </w:p>
    <w:p>
      <w:pPr>
        <w:pStyle w:val="2"/>
        <w:keepNext w:val="0"/>
        <w:keepLines w:val="0"/>
        <w:pageBreakBefore w:val="0"/>
        <w:kinsoku/>
        <w:wordWrap/>
        <w:topLinePunct w:val="0"/>
        <w:bidi w:val="0"/>
        <w:spacing w:before="157" w:beforeLines="50" w:after="157" w:afterLines="50" w:line="240" w:lineRule="atLeast"/>
        <w:ind w:firstLine="482"/>
        <w:jc w:val="both"/>
        <w:textAlignment w:val="auto"/>
        <w:rPr>
          <w:rFonts w:hint="eastAsia" w:ascii="Times New Roman" w:hAnsi="Times New Roman" w:eastAsia="楷体_GB2312" w:cs="Times New Roman"/>
          <w:b/>
          <w:i/>
          <w:color w:val="FF0000"/>
          <w:sz w:val="24"/>
          <w:szCs w:val="28"/>
          <w:u w:val="single"/>
          <w:lang w:eastAsia="zh-CN"/>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《信托合同》“19资产支持商业票据持有人会议组成与权利”的内容</w:t>
      </w:r>
      <w:r>
        <w:rPr>
          <w:rFonts w:hint="eastAsia" w:ascii="Times New Roman" w:hAnsi="Times New Roman" w:eastAsia="楷体_GB2312" w:cs="Times New Roman"/>
          <w:b/>
          <w:i/>
          <w:color w:val="FF0000"/>
          <w:sz w:val="24"/>
          <w:szCs w:val="28"/>
          <w:u w:val="single"/>
          <w:lang w:eastAsia="zh-CN"/>
        </w:rPr>
        <w:t>。</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ascii="楷体_GB2312" w:hAnsi="楷体_GB2312" w:eastAsia="楷体_GB2312" w:cs="楷体_GB2312"/>
          <w:b/>
          <w:bCs/>
          <w:sz w:val="24"/>
          <w:szCs w:val="24"/>
        </w:rPr>
      </w:pPr>
      <w:bookmarkStart w:id="3745" w:name="_Toc10694"/>
      <w:bookmarkStart w:id="3746" w:name="_Toc7387"/>
      <w:bookmarkStart w:id="3747" w:name="_Toc12844"/>
      <w:bookmarkStart w:id="3748" w:name="_Toc25522"/>
      <w:bookmarkStart w:id="3749" w:name="_Toc13336"/>
      <w:bookmarkStart w:id="3750" w:name="_Toc19281"/>
      <w:bookmarkStart w:id="3751" w:name="_Toc2883"/>
      <w:bookmarkStart w:id="3752" w:name="_Toc15883"/>
      <w:bookmarkStart w:id="3753" w:name="_Toc24391"/>
      <w:r>
        <w:rPr>
          <w:rFonts w:hint="eastAsia" w:ascii="楷体_GB2312" w:hAnsi="楷体_GB2312" w:eastAsia="楷体_GB2312" w:cs="楷体_GB2312"/>
          <w:b/>
          <w:bCs/>
          <w:sz w:val="24"/>
          <w:szCs w:val="24"/>
        </w:rPr>
        <w:t>六、不可抗力</w:t>
      </w:r>
      <w:bookmarkEnd w:id="3745"/>
      <w:bookmarkEnd w:id="3746"/>
      <w:bookmarkEnd w:id="3747"/>
      <w:bookmarkEnd w:id="3748"/>
      <w:bookmarkEnd w:id="3749"/>
      <w:bookmarkEnd w:id="3750"/>
      <w:bookmarkEnd w:id="3751"/>
      <w:bookmarkEnd w:id="3752"/>
      <w:bookmarkEnd w:id="3753"/>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ascii="楷体_GB2312" w:hAnsi="楷体_GB2312" w:eastAsia="楷体_GB2312" w:cs="楷体_GB2312"/>
          <w:b/>
          <w:bCs/>
          <w:sz w:val="24"/>
          <w:szCs w:val="24"/>
        </w:rPr>
      </w:pPr>
      <w:bookmarkStart w:id="3754" w:name="_Toc3733"/>
      <w:bookmarkStart w:id="3755" w:name="_Toc12850"/>
      <w:bookmarkStart w:id="3756" w:name="_Toc12337"/>
      <w:bookmarkStart w:id="3757" w:name="_Toc25566"/>
      <w:bookmarkStart w:id="3758" w:name="_Toc2448"/>
      <w:bookmarkStart w:id="3759" w:name="_Toc10921"/>
      <w:bookmarkStart w:id="3760" w:name="_Toc7892"/>
      <w:bookmarkStart w:id="3761" w:name="_Toc27462"/>
      <w:r>
        <w:rPr>
          <w:rFonts w:hint="eastAsia" w:ascii="楷体_GB2312" w:hAnsi="楷体_GB2312" w:eastAsia="楷体_GB2312" w:cs="楷体_GB2312"/>
          <w:b/>
          <w:bCs/>
          <w:sz w:val="24"/>
          <w:szCs w:val="24"/>
        </w:rPr>
        <w:t>七、修改与弃权</w:t>
      </w:r>
      <w:bookmarkEnd w:id="3754"/>
      <w:bookmarkEnd w:id="3755"/>
      <w:bookmarkEnd w:id="3756"/>
      <w:bookmarkEnd w:id="3757"/>
      <w:bookmarkEnd w:id="3758"/>
      <w:bookmarkEnd w:id="3759"/>
      <w:bookmarkEnd w:id="3760"/>
      <w:bookmarkEnd w:id="3761"/>
    </w:p>
    <w:p>
      <w:pPr>
        <w:keepNext w:val="0"/>
        <w:keepLines w:val="0"/>
        <w:pageBreakBefore w:val="0"/>
        <w:widowControl/>
        <w:kinsoku/>
        <w:wordWrap/>
        <w:topLinePunct w:val="0"/>
        <w:bidi w:val="0"/>
        <w:spacing w:before="157" w:beforeLines="50" w:after="157" w:afterLines="50" w:line="240" w:lineRule="atLeast"/>
        <w:textAlignment w:val="auto"/>
        <w:rPr>
          <w:rFonts w:hint="eastAsia" w:ascii="楷体_GB2312" w:hAnsi="楷体_GB2312" w:eastAsia="楷体_GB2312" w:cs="楷体_GB2312"/>
          <w:b/>
          <w:bCs/>
          <w:kern w:val="0"/>
          <w:sz w:val="30"/>
          <w:szCs w:val="30"/>
        </w:rPr>
      </w:pPr>
      <w:r>
        <w:rPr>
          <w:rFonts w:hint="eastAsia" w:ascii="楷体_GB2312" w:hAnsi="楷体_GB2312" w:eastAsia="楷体_GB2312" w:cs="楷体_GB2312"/>
          <w:b/>
          <w:bCs/>
          <w:kern w:val="0"/>
          <w:sz w:val="30"/>
          <w:szCs w:val="30"/>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762" w:name="_Toc3761"/>
      <w:bookmarkStart w:id="3763" w:name="_Toc23965"/>
      <w:bookmarkStart w:id="3764" w:name="_Toc1865"/>
      <w:bookmarkStart w:id="3765" w:name="_Toc1008"/>
      <w:bookmarkStart w:id="3766" w:name="_Toc29407"/>
      <w:bookmarkStart w:id="3767" w:name="_Toc3990"/>
      <w:bookmarkStart w:id="3768" w:name="_Toc19143"/>
      <w:bookmarkStart w:id="3769" w:name="_Toc28607"/>
      <w:r>
        <w:rPr>
          <w:rFonts w:hint="eastAsia" w:ascii="楷体_GB2312" w:hAnsi="楷体_GB2312" w:eastAsia="楷体_GB2312" w:cs="楷体_GB2312"/>
          <w:b/>
          <w:bCs/>
          <w:kern w:val="0"/>
          <w:sz w:val="30"/>
          <w:szCs w:val="30"/>
        </w:rPr>
        <w:t>法律适用及争议解决机制</w:t>
      </w:r>
      <w:bookmarkEnd w:id="3762"/>
      <w:bookmarkEnd w:id="3763"/>
      <w:bookmarkEnd w:id="3764"/>
      <w:bookmarkEnd w:id="3765"/>
      <w:bookmarkEnd w:id="3766"/>
      <w:bookmarkEnd w:id="3767"/>
      <w:bookmarkEnd w:id="3768"/>
      <w:bookmarkEnd w:id="3769"/>
    </w:p>
    <w:p>
      <w:pPr>
        <w:pStyle w:val="2"/>
        <w:keepNext w:val="0"/>
        <w:keepLines w:val="0"/>
        <w:pageBreakBefore w:val="0"/>
        <w:kinsoku/>
        <w:wordWrap/>
        <w:topLinePunct w:val="0"/>
        <w:bidi w:val="0"/>
        <w:spacing w:before="157" w:beforeLines="50" w:after="157" w:afterLines="50" w:line="240" w:lineRule="atLeast"/>
        <w:ind w:firstLine="482"/>
        <w:jc w:val="both"/>
        <w:textAlignment w:val="auto"/>
        <w:rPr>
          <w:rFonts w:hint="eastAsia" w:ascii="Times New Roman" w:hAnsi="Times New Roman" w:eastAsia="楷体_GB2312" w:cs="Times New Roman"/>
          <w:b/>
          <w:i/>
          <w:color w:val="FF0000"/>
          <w:sz w:val="24"/>
          <w:szCs w:val="28"/>
          <w:u w:val="single"/>
          <w:lang w:eastAsia="zh-CN"/>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《信托合同》“28法律适用和争议解决”的内容</w:t>
      </w:r>
      <w:r>
        <w:rPr>
          <w:rFonts w:hint="eastAsia" w:ascii="Times New Roman" w:hAnsi="Times New Roman" w:eastAsia="楷体_GB2312" w:cs="Times New Roman"/>
          <w:b/>
          <w:i/>
          <w:color w:val="FF0000"/>
          <w:sz w:val="24"/>
          <w:szCs w:val="28"/>
          <w:u w:val="single"/>
          <w:lang w:eastAsia="zh-CN"/>
        </w:rPr>
        <w:t>。</w:t>
      </w:r>
    </w:p>
    <w:p>
      <w:pPr>
        <w:keepNext w:val="0"/>
        <w:keepLines w:val="0"/>
        <w:pageBreakBefore w:val="0"/>
        <w:kinsoku/>
        <w:wordWrap/>
        <w:topLinePunct w:val="0"/>
        <w:bidi w:val="0"/>
        <w:adjustRightInd w:val="0"/>
        <w:snapToGrid w:val="0"/>
        <w:spacing w:before="157" w:beforeLines="50" w:after="157" w:afterLines="50" w:line="240" w:lineRule="atLeast"/>
        <w:ind w:firstLine="602"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770" w:name="_Toc20004"/>
      <w:bookmarkStart w:id="3771" w:name="_Toc21011"/>
      <w:bookmarkStart w:id="3772" w:name="_Toc32034"/>
      <w:bookmarkStart w:id="3773" w:name="_Toc14961"/>
      <w:bookmarkStart w:id="3774" w:name="_Toc18877"/>
      <w:bookmarkStart w:id="3775" w:name="_Toc31939"/>
      <w:bookmarkStart w:id="3776" w:name="_Toc30219"/>
      <w:r>
        <w:rPr>
          <w:rFonts w:hint="eastAsia" w:ascii="楷体_GB2312" w:hAnsi="楷体_GB2312" w:eastAsia="楷体_GB2312" w:cs="楷体_GB2312"/>
          <w:b/>
          <w:bCs/>
          <w:kern w:val="0"/>
          <w:sz w:val="30"/>
          <w:szCs w:val="30"/>
        </w:rPr>
        <w:t>有关税费安排</w:t>
      </w:r>
      <w:bookmarkEnd w:id="3770"/>
      <w:bookmarkEnd w:id="3771"/>
      <w:bookmarkEnd w:id="3772"/>
      <w:bookmarkEnd w:id="3773"/>
      <w:bookmarkEnd w:id="3774"/>
      <w:bookmarkEnd w:id="3775"/>
      <w:bookmarkEnd w:id="3776"/>
    </w:p>
    <w:p>
      <w:pPr>
        <w:keepNext w:val="0"/>
        <w:keepLines w:val="0"/>
        <w:pageBreakBefore w:val="0"/>
        <w:kinsoku/>
        <w:wordWrap/>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本期资产支持商业票据的投资人应遵守我国有关税务方面的法律、法规。本税务分析是依据我国现行的税务法律、法规及国家税务总局有关规范性文件的规定做出的。如果相关的法律、法规发生变更，本税务分析中所提及的税务事项将按变更后的法律法规执行。</w:t>
      </w:r>
    </w:p>
    <w:p>
      <w:pPr>
        <w:keepNext w:val="0"/>
        <w:keepLines w:val="0"/>
        <w:pageBreakBefore w:val="0"/>
        <w:kinsoku/>
        <w:wordWrap/>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下列这些说明仅供参考，不构成对投资人的法律或税务建议，也不涉及投资本期资产支持商业票据可能出现的税务后果。投资人如果准备购买本期资产支持商业票据，投资人应就有关事项咨询财税顾问，发起机构不承担由此产生的任何责任。</w:t>
      </w:r>
    </w:p>
    <w:p>
      <w:pPr>
        <w:keepNext w:val="0"/>
        <w:keepLines w:val="0"/>
        <w:pageBreakBefore w:val="0"/>
        <w:kinsoku/>
        <w:wordWrap/>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投资人所应缴纳的下列税项不与定向资产支持商业票据的各项支出构成抵销。监管机关及自律组织另有规定的按规定执行。</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z w:val="24"/>
          <w:szCs w:val="24"/>
        </w:rPr>
      </w:pPr>
      <w:bookmarkStart w:id="3777" w:name="_Toc3002"/>
      <w:bookmarkStart w:id="3778" w:name="_Toc26506"/>
      <w:bookmarkStart w:id="3779" w:name="_Toc20715"/>
      <w:bookmarkStart w:id="3780" w:name="_Toc28785"/>
      <w:bookmarkStart w:id="3781" w:name="_Toc23870"/>
      <w:r>
        <w:rPr>
          <w:rFonts w:hint="eastAsia" w:ascii="楷体_GB2312" w:hAnsi="楷体_GB2312" w:eastAsia="楷体_GB2312" w:cs="楷体_GB2312"/>
          <w:b/>
          <w:bCs/>
          <w:sz w:val="24"/>
          <w:szCs w:val="24"/>
        </w:rPr>
        <w:t>一、 增值税</w:t>
      </w:r>
      <w:bookmarkEnd w:id="3777"/>
      <w:bookmarkEnd w:id="3778"/>
      <w:bookmarkEnd w:id="3779"/>
      <w:bookmarkEnd w:id="3780"/>
      <w:bookmarkEnd w:id="3781"/>
    </w:p>
    <w:p>
      <w:pPr>
        <w:keepNext w:val="0"/>
        <w:keepLines w:val="0"/>
        <w:pageBreakBefore w:val="0"/>
        <w:kinsoku/>
        <w:wordWrap/>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bookmarkStart w:id="3782" w:name="_Toc8606"/>
      <w:bookmarkStart w:id="3783" w:name="_Toc2169"/>
      <w:bookmarkStart w:id="3784" w:name="_Toc8794"/>
      <w:bookmarkStart w:id="3785" w:name="_Toc8396"/>
      <w:bookmarkStart w:id="3786" w:name="_Toc26562"/>
      <w:r>
        <w:rPr>
          <w:rFonts w:hint="eastAsia" w:ascii="楷体_GB2312" w:hAnsi="楷体_GB2312" w:eastAsia="楷体_GB2312" w:cs="楷体_GB2312"/>
          <w:snapToGrid w:val="0"/>
          <w:kern w:val="0"/>
          <w:sz w:val="24"/>
          <w:szCs w:val="24"/>
        </w:rPr>
        <w:t>根据财税〔2016〕140号文件，金融商品持有期间（含到期）取得的非保本收益，不属于利息或利息性质的收入，不征收增值税；纳税人购入基金、信托、理财产品等各类资产管理产品持有至到期，不属于财税〔2016〕36号文件中规定的金融商品转让行为。</w:t>
      </w:r>
    </w:p>
    <w:p>
      <w:pPr>
        <w:keepNext w:val="0"/>
        <w:keepLines w:val="0"/>
        <w:pageBreakBefore w:val="0"/>
        <w:kinsoku/>
        <w:wordWrap/>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根据财税〔2017〕2号文件、财税〔2017〕56号文件及其补充性文件规定，2018年1月1日（含）以后，资管产品运营过程中发生的增值税应税行为，以资管产品管理人为增值税纳税人，按照现行规定缴纳增值税。资管产品运营过程中发生增值税应税行为的具体征收管理办法，由国家税务总局另行制定。截止至本募集说明书发布之日，国家税务总局尚未发布前文所述的资管产品发生增值税应税行为的具体征收管理办法。</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二、 所得税</w:t>
      </w:r>
      <w:bookmarkEnd w:id="3782"/>
      <w:bookmarkEnd w:id="3783"/>
      <w:bookmarkEnd w:id="3784"/>
      <w:bookmarkEnd w:id="3785"/>
      <w:bookmarkEnd w:id="3786"/>
    </w:p>
    <w:p>
      <w:pPr>
        <w:keepNext w:val="0"/>
        <w:keepLines w:val="0"/>
        <w:pageBreakBefore w:val="0"/>
        <w:kinsoku/>
        <w:wordWrap/>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根据2008年1月1日起执行的《中华人民共和国企业所得税法实施条例》及其他相关的法律、法规，一般企业投资人来源于定向资产支持商业票据的利息所得应缴纳企业所得税。企业应将当期应收取的定向资产支持商业票据利息计入当期收入，核算当期损益后缴纳企业所得税。</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z w:val="24"/>
          <w:szCs w:val="24"/>
        </w:rPr>
      </w:pPr>
      <w:bookmarkStart w:id="3787" w:name="_Toc26944"/>
      <w:bookmarkStart w:id="3788" w:name="_Toc20538"/>
      <w:bookmarkStart w:id="3789" w:name="_Toc4020"/>
      <w:bookmarkStart w:id="3790" w:name="_Toc29444"/>
      <w:bookmarkStart w:id="3791" w:name="_Toc4479"/>
      <w:r>
        <w:rPr>
          <w:rFonts w:hint="eastAsia" w:ascii="楷体_GB2312" w:hAnsi="楷体_GB2312" w:eastAsia="楷体_GB2312" w:cs="楷体_GB2312"/>
          <w:b/>
          <w:bCs/>
          <w:sz w:val="24"/>
          <w:szCs w:val="24"/>
        </w:rPr>
        <w:t>三、 印花税</w:t>
      </w:r>
      <w:bookmarkEnd w:id="3787"/>
      <w:bookmarkEnd w:id="3788"/>
      <w:bookmarkEnd w:id="3789"/>
      <w:bookmarkEnd w:id="3790"/>
      <w:bookmarkEnd w:id="3791"/>
    </w:p>
    <w:p>
      <w:pPr>
        <w:keepNext w:val="0"/>
        <w:keepLines w:val="0"/>
        <w:pageBreakBefore w:val="0"/>
        <w:kinsoku/>
        <w:wordWrap/>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根据1988年10月1日生效的《中华人民共和国印花税暂行条例》及其实施细则，在我国境内买卖、继承、赠与、交换、分割等所书立的产权转移书据，均应缴纳印花税。对定向资产支持商业票据在银行间市场进行的交易，我国目前还没有具体规定。发起机构无法预测国家是否或将会于何时决定对有关定向资产支持商业票据交易征收印花税，也无法预测将会适用的税率水平。</w:t>
      </w:r>
    </w:p>
    <w:p>
      <w:pPr>
        <w:keepNext w:val="0"/>
        <w:keepLines w:val="0"/>
        <w:pageBreakBefore w:val="0"/>
        <w:kinsoku/>
        <w:wordWrap/>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kern w:val="0"/>
          <w:sz w:val="24"/>
          <w:szCs w:val="24"/>
        </w:rPr>
        <w:sectPr>
          <w:footerReference r:id="rId15" w:type="default"/>
          <w:footnotePr>
            <w:numRestart w:val="eachPage"/>
          </w:footnotePr>
          <w:pgSz w:w="11906" w:h="16839"/>
          <w:pgMar w:top="1440" w:right="1800" w:bottom="1440" w:left="1800" w:header="0"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kinsoku/>
        <w:wordWrap/>
        <w:topLinePunct w:val="0"/>
        <w:autoSpaceDE w:val="0"/>
        <w:autoSpaceDN w:val="0"/>
        <w:bidi w:val="0"/>
        <w:adjustRightInd w:val="0"/>
        <w:spacing w:before="157" w:beforeLines="50" w:after="157" w:afterLines="50" w:line="240" w:lineRule="atLeast"/>
        <w:jc w:val="both"/>
        <w:textAlignment w:val="auto"/>
        <w:rPr>
          <w:rFonts w:hint="eastAsia" w:ascii="楷体_GB2312" w:hAnsi="楷体_GB2312" w:eastAsia="楷体_GB2312" w:cs="楷体_GB2312"/>
          <w:b/>
          <w:bCs/>
          <w:kern w:val="0"/>
          <w:sz w:val="24"/>
          <w:szCs w:val="24"/>
        </w:rPr>
      </w:pP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792" w:name="_Toc31232"/>
      <w:bookmarkStart w:id="3793" w:name="_Toc13826"/>
      <w:bookmarkStart w:id="3794" w:name="_Toc19415"/>
      <w:bookmarkStart w:id="3795" w:name="_Toc3247"/>
      <w:bookmarkStart w:id="3796" w:name="_Toc11559"/>
      <w:bookmarkStart w:id="3797" w:name="_Toc25085"/>
      <w:bookmarkStart w:id="3798" w:name="_Toc20929"/>
      <w:bookmarkStart w:id="3799" w:name="_Toc12221"/>
      <w:bookmarkStart w:id="3800" w:name="_Toc23590"/>
      <w:bookmarkStart w:id="3801" w:name="_Toc32026"/>
      <w:r>
        <w:rPr>
          <w:rFonts w:hint="eastAsia" w:ascii="楷体_GB2312" w:hAnsi="楷体_GB2312" w:eastAsia="楷体_GB2312" w:cs="楷体_GB2312"/>
          <w:b/>
          <w:bCs/>
          <w:kern w:val="0"/>
          <w:sz w:val="30"/>
          <w:szCs w:val="30"/>
        </w:rPr>
        <w:t>主要交易文件摘要</w:t>
      </w:r>
      <w:bookmarkEnd w:id="3792"/>
      <w:bookmarkEnd w:id="3793"/>
      <w:bookmarkEnd w:id="3794"/>
      <w:bookmarkEnd w:id="3795"/>
      <w:bookmarkEnd w:id="3796"/>
      <w:bookmarkEnd w:id="3797"/>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snapToGrid w:val="0"/>
          <w:kern w:val="0"/>
          <w:sz w:val="24"/>
          <w:szCs w:val="24"/>
        </w:rPr>
      </w:pPr>
      <w:bookmarkStart w:id="3802" w:name="_Toc4362"/>
      <w:bookmarkStart w:id="3803" w:name="_Toc13750"/>
      <w:bookmarkStart w:id="3804" w:name="_Toc5217"/>
      <w:bookmarkStart w:id="3805" w:name="_Toc17070"/>
      <w:bookmarkStart w:id="3806" w:name="_Toc17704"/>
      <w:r>
        <w:rPr>
          <w:rFonts w:hint="eastAsia" w:ascii="楷体_GB2312" w:hAnsi="楷体_GB2312" w:eastAsia="楷体_GB2312" w:cs="楷体_GB2312"/>
          <w:b/>
          <w:bCs/>
          <w:sz w:val="24"/>
          <w:szCs w:val="24"/>
        </w:rPr>
        <w:t>一、《信托合同》摘要</w:t>
      </w:r>
      <w:bookmarkEnd w:id="3798"/>
      <w:bookmarkEnd w:id="3799"/>
      <w:bookmarkEnd w:id="3800"/>
      <w:bookmarkEnd w:id="3801"/>
      <w:bookmarkEnd w:id="3802"/>
      <w:bookmarkEnd w:id="3803"/>
      <w:bookmarkEnd w:id="3804"/>
      <w:bookmarkEnd w:id="3805"/>
      <w:bookmarkEnd w:id="3806"/>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807" w:name="_Toc14671"/>
      <w:bookmarkStart w:id="3808" w:name="_Toc23001"/>
      <w:bookmarkStart w:id="3809" w:name="_Toc15052"/>
      <w:bookmarkStart w:id="3810" w:name="_Toc27156"/>
      <w:bookmarkStart w:id="3811" w:name="_Toc1352"/>
      <w:bookmarkStart w:id="3812" w:name="_Toc28336"/>
      <w:bookmarkStart w:id="3813" w:name="_Toc20059"/>
      <w:bookmarkStart w:id="3814" w:name="_Toc24863"/>
      <w:r>
        <w:rPr>
          <w:rFonts w:hint="eastAsia" w:ascii="楷体_GB2312" w:hAnsi="楷体_GB2312" w:eastAsia="楷体_GB2312" w:cs="楷体_GB2312"/>
          <w:b/>
          <w:bCs/>
          <w:sz w:val="24"/>
          <w:szCs w:val="24"/>
        </w:rPr>
        <w:t>二、《服务合同》摘要</w:t>
      </w:r>
      <w:bookmarkEnd w:id="3807"/>
      <w:bookmarkEnd w:id="3808"/>
      <w:bookmarkEnd w:id="3809"/>
      <w:r>
        <w:rPr>
          <w:rFonts w:hint="eastAsia" w:ascii="楷体_GB2312" w:hAnsi="楷体_GB2312" w:eastAsia="楷体_GB2312" w:cs="楷体_GB2312"/>
          <w:b/>
          <w:bCs/>
          <w:sz w:val="24"/>
          <w:szCs w:val="24"/>
        </w:rPr>
        <w:t>（如有）</w:t>
      </w:r>
      <w:bookmarkEnd w:id="3810"/>
      <w:bookmarkEnd w:id="3811"/>
      <w:bookmarkEnd w:id="3812"/>
      <w:bookmarkEnd w:id="3813"/>
      <w:bookmarkEnd w:id="3814"/>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815" w:name="_Toc31805"/>
      <w:bookmarkStart w:id="3816" w:name="_Toc6723"/>
      <w:bookmarkStart w:id="3817" w:name="_Toc15873"/>
      <w:bookmarkStart w:id="3818" w:name="_Toc31836"/>
      <w:bookmarkStart w:id="3819" w:name="_Toc20217"/>
      <w:bookmarkStart w:id="3820" w:name="_Toc24606"/>
      <w:bookmarkStart w:id="3821" w:name="_Toc8633"/>
      <w:bookmarkStart w:id="3822" w:name="_Toc24056"/>
      <w:bookmarkStart w:id="3823" w:name="_Toc20309"/>
      <w:r>
        <w:rPr>
          <w:rFonts w:hint="eastAsia" w:ascii="楷体_GB2312" w:hAnsi="楷体_GB2312" w:eastAsia="楷体_GB2312" w:cs="楷体_GB2312"/>
          <w:b/>
          <w:bCs/>
          <w:sz w:val="24"/>
          <w:szCs w:val="24"/>
        </w:rPr>
        <w:t>三、《资金保管合同》摘要</w:t>
      </w:r>
      <w:bookmarkEnd w:id="3815"/>
      <w:bookmarkEnd w:id="3816"/>
      <w:bookmarkEnd w:id="3817"/>
      <w:bookmarkEnd w:id="3818"/>
      <w:bookmarkEnd w:id="3819"/>
      <w:bookmarkEnd w:id="3820"/>
      <w:bookmarkEnd w:id="3821"/>
      <w:bookmarkEnd w:id="3822"/>
      <w:bookmarkEnd w:id="3823"/>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824" w:name="_Toc24234"/>
      <w:bookmarkStart w:id="3825" w:name="_Toc28059"/>
      <w:bookmarkStart w:id="3826" w:name="_Toc6367"/>
      <w:bookmarkStart w:id="3827" w:name="_Toc11762"/>
      <w:bookmarkStart w:id="3828" w:name="_Toc3001"/>
      <w:bookmarkStart w:id="3829" w:name="_Toc12531"/>
      <w:bookmarkStart w:id="3830" w:name="_Toc27447"/>
      <w:bookmarkStart w:id="3831" w:name="_Toc7394"/>
      <w:r>
        <w:rPr>
          <w:rFonts w:hint="eastAsia" w:ascii="楷体_GB2312" w:hAnsi="楷体_GB2312" w:eastAsia="楷体_GB2312" w:cs="楷体_GB2312"/>
          <w:b/>
          <w:bCs/>
          <w:sz w:val="24"/>
          <w:szCs w:val="24"/>
        </w:rPr>
        <w:t>四、《资金监管合同》摘要（如有）</w:t>
      </w:r>
      <w:bookmarkEnd w:id="3824"/>
      <w:bookmarkEnd w:id="3825"/>
      <w:bookmarkEnd w:id="3826"/>
      <w:bookmarkEnd w:id="3827"/>
      <w:bookmarkEnd w:id="3828"/>
      <w:bookmarkEnd w:id="3829"/>
      <w:bookmarkEnd w:id="3830"/>
      <w:bookmarkEnd w:id="3831"/>
    </w:p>
    <w:p>
      <w:pPr>
        <w:keepNext w:val="0"/>
        <w:keepLines w:val="0"/>
        <w:pageBreakBefore w:val="0"/>
        <w:kinsoku/>
        <w:wordWrap/>
        <w:topLinePunct w:val="0"/>
        <w:autoSpaceDE w:val="0"/>
        <w:autoSpaceDN w:val="0"/>
        <w:bidi w:val="0"/>
        <w:adjustRightInd w:val="0"/>
        <w:spacing w:before="157" w:beforeLines="50" w:after="157" w:afterLines="50" w:line="240" w:lineRule="atLeast"/>
        <w:jc w:val="both"/>
        <w:textAlignment w:val="auto"/>
        <w:rPr>
          <w:rFonts w:hint="eastAsia" w:ascii="楷体_GB2312" w:hAnsi="楷体_GB2312" w:eastAsia="楷体_GB2312" w:cs="楷体_GB2312"/>
          <w:kern w:val="0"/>
          <w:sz w:val="24"/>
          <w:szCs w:val="24"/>
          <w:lang w:val="zh-CN"/>
        </w:rPr>
      </w:pPr>
      <w:r>
        <w:rPr>
          <w:rFonts w:hint="eastAsia" w:ascii="楷体_GB2312" w:hAnsi="楷体_GB2312" w:eastAsia="楷体_GB2312" w:cs="楷体_GB2312"/>
          <w:kern w:val="0"/>
          <w:sz w:val="24"/>
          <w:szCs w:val="24"/>
          <w:lang w:val="zh-CN"/>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832" w:name="_Toc4764"/>
      <w:bookmarkStart w:id="3833" w:name="_Toc27269"/>
      <w:bookmarkStart w:id="3834" w:name="_Toc22724"/>
      <w:bookmarkStart w:id="3835" w:name="_Toc13915"/>
      <w:bookmarkStart w:id="3836" w:name="_Toc16943"/>
      <w:bookmarkStart w:id="3837" w:name="_Toc29596"/>
      <w:bookmarkStart w:id="3838" w:name="_Toc2293"/>
      <w:bookmarkStart w:id="3839" w:name="_Toc31009"/>
      <w:bookmarkStart w:id="3840" w:name="_Toc28090"/>
      <w:bookmarkStart w:id="3841" w:name="_Toc13351"/>
      <w:bookmarkStart w:id="3842" w:name="_Toc10745"/>
      <w:bookmarkStart w:id="3843" w:name="_Toc6128"/>
      <w:r>
        <w:rPr>
          <w:rFonts w:hint="eastAsia" w:ascii="楷体_GB2312" w:hAnsi="楷体_GB2312" w:eastAsia="楷体_GB2312" w:cs="楷体_GB2312"/>
          <w:b/>
          <w:bCs/>
          <w:kern w:val="0"/>
          <w:sz w:val="30"/>
          <w:szCs w:val="30"/>
        </w:rPr>
        <w:t>评级状况（如有）</w:t>
      </w:r>
      <w:bookmarkEnd w:id="3832"/>
      <w:bookmarkEnd w:id="3833"/>
      <w:bookmarkEnd w:id="3834"/>
      <w:bookmarkEnd w:id="3835"/>
      <w:bookmarkEnd w:id="3836"/>
      <w:bookmarkEnd w:id="3837"/>
      <w:bookmarkEnd w:id="3838"/>
      <w:bookmarkEnd w:id="3839"/>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844" w:name="_Toc13202"/>
      <w:bookmarkStart w:id="3845" w:name="_Toc20430"/>
      <w:bookmarkStart w:id="3846" w:name="_Toc9063"/>
      <w:bookmarkStart w:id="3847" w:name="_Toc6215"/>
      <w:bookmarkStart w:id="3848" w:name="_Toc18951"/>
      <w:r>
        <w:rPr>
          <w:rFonts w:hint="eastAsia" w:ascii="楷体_GB2312" w:hAnsi="楷体_GB2312" w:eastAsia="楷体_GB2312" w:cs="楷体_GB2312"/>
          <w:b/>
          <w:bCs/>
          <w:sz w:val="24"/>
          <w:szCs w:val="24"/>
        </w:rPr>
        <w:t>一、定向资产支持商业票据评级（如有）</w:t>
      </w:r>
      <w:bookmarkEnd w:id="3840"/>
      <w:bookmarkEnd w:id="3841"/>
      <w:bookmarkEnd w:id="3842"/>
      <w:bookmarkEnd w:id="3843"/>
      <w:bookmarkEnd w:id="3844"/>
      <w:bookmarkEnd w:id="3845"/>
      <w:bookmarkEnd w:id="3846"/>
      <w:bookmarkEnd w:id="3847"/>
      <w:bookmarkEnd w:id="3848"/>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849" w:name="_Toc28698"/>
      <w:bookmarkStart w:id="3850" w:name="_Toc5579"/>
      <w:bookmarkStart w:id="3851" w:name="_Toc16355"/>
      <w:bookmarkStart w:id="3852" w:name="_Toc10940"/>
      <w:bookmarkStart w:id="3853" w:name="_Toc19865"/>
      <w:bookmarkStart w:id="3854" w:name="_Toc11285"/>
      <w:bookmarkStart w:id="3855" w:name="_Toc32584"/>
      <w:bookmarkStart w:id="3856" w:name="_Toc31220"/>
      <w:bookmarkStart w:id="3857" w:name="_Toc15055"/>
      <w:r>
        <w:rPr>
          <w:rFonts w:hint="eastAsia" w:ascii="楷体_GB2312" w:hAnsi="楷体_GB2312" w:eastAsia="楷体_GB2312" w:cs="楷体_GB2312"/>
          <w:b/>
          <w:bCs/>
          <w:sz w:val="24"/>
          <w:szCs w:val="24"/>
        </w:rPr>
        <w:t>二、发起机构主体评级（如有）</w:t>
      </w:r>
      <w:bookmarkEnd w:id="3849"/>
      <w:bookmarkEnd w:id="3850"/>
      <w:bookmarkEnd w:id="3851"/>
      <w:bookmarkEnd w:id="3852"/>
      <w:bookmarkEnd w:id="3853"/>
      <w:bookmarkEnd w:id="3854"/>
      <w:bookmarkEnd w:id="3855"/>
      <w:bookmarkEnd w:id="3856"/>
      <w:bookmarkEnd w:id="3857"/>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3858" w:name="_Toc21515"/>
      <w:bookmarkStart w:id="3859" w:name="_Toc262"/>
      <w:bookmarkStart w:id="3860" w:name="_Toc9788"/>
      <w:bookmarkStart w:id="3861" w:name="_Toc6320"/>
      <w:bookmarkStart w:id="3862" w:name="_Toc2549"/>
      <w:bookmarkStart w:id="3863" w:name="_Toc29866"/>
      <w:bookmarkStart w:id="3864" w:name="_Toc1918"/>
      <w:bookmarkStart w:id="3865" w:name="_Toc24127"/>
      <w:bookmarkStart w:id="3866" w:name="_Toc15857"/>
      <w:r>
        <w:rPr>
          <w:rFonts w:hint="eastAsia" w:ascii="楷体_GB2312" w:hAnsi="楷体_GB2312" w:eastAsia="楷体_GB2312" w:cs="楷体_GB2312"/>
          <w:b/>
          <w:bCs/>
          <w:sz w:val="24"/>
          <w:szCs w:val="24"/>
        </w:rPr>
        <w:t>三、信用增级机构主体评级（如有）</w:t>
      </w:r>
      <w:bookmarkEnd w:id="3858"/>
      <w:bookmarkEnd w:id="3859"/>
      <w:bookmarkEnd w:id="3860"/>
      <w:bookmarkEnd w:id="3861"/>
      <w:bookmarkEnd w:id="3862"/>
      <w:bookmarkEnd w:id="3863"/>
      <w:bookmarkEnd w:id="3864"/>
      <w:bookmarkEnd w:id="3865"/>
      <w:bookmarkEnd w:id="3866"/>
    </w:p>
    <w:p>
      <w:pPr>
        <w:pStyle w:val="2"/>
        <w:keepNext w:val="0"/>
        <w:keepLines w:val="0"/>
        <w:pageBreakBefore w:val="0"/>
        <w:kinsoku/>
        <w:wordWrap/>
        <w:topLinePunct w:val="0"/>
        <w:bidi w:val="0"/>
        <w:spacing w:before="157" w:beforeLines="50" w:after="157" w:afterLines="50" w:line="240" w:lineRule="atLeast"/>
        <w:ind w:firstLine="482"/>
        <w:textAlignment w:val="auto"/>
        <w:rPr>
          <w:rFonts w:hint="eastAsia" w:ascii="Times New Roman" w:hAnsi="Times New Roman" w:eastAsia="楷体_GB2312" w:cs="Times New Roman"/>
          <w:b/>
          <w:i/>
          <w:color w:val="FF0000"/>
          <w:sz w:val="24"/>
          <w:szCs w:val="28"/>
          <w:u w:val="single"/>
        </w:rPr>
      </w:pPr>
      <w:r>
        <w:rPr>
          <w:rFonts w:hint="eastAsia" w:ascii="Times New Roman" w:hAnsi="Times New Roman" w:eastAsia="楷体_GB2312" w:cs="Times New Roman"/>
          <w:b/>
          <w:i/>
          <w:color w:val="FF0000"/>
          <w:sz w:val="24"/>
          <w:szCs w:val="28"/>
          <w:u w:val="single"/>
          <w:lang w:val="en-US" w:eastAsia="zh-CN"/>
        </w:rPr>
        <w:t>应</w:t>
      </w:r>
      <w:r>
        <w:rPr>
          <w:rFonts w:hint="eastAsia" w:ascii="Times New Roman" w:hAnsi="Times New Roman" w:eastAsia="楷体_GB2312" w:cs="Times New Roman"/>
          <w:b/>
          <w:i/>
          <w:color w:val="FF0000"/>
          <w:sz w:val="24"/>
          <w:szCs w:val="28"/>
          <w:u w:val="single"/>
        </w:rPr>
        <w:t>披露评级机构、评级结论及标识所代表的涵义。</w:t>
      </w:r>
    </w:p>
    <w:p>
      <w:pPr>
        <w:keepNext w:val="0"/>
        <w:keepLines w:val="0"/>
        <w:pageBreakBefore w:val="0"/>
        <w:kinsoku/>
        <w:wordWrap/>
        <w:topLinePunct w:val="0"/>
        <w:autoSpaceDE w:val="0"/>
        <w:autoSpaceDN w:val="0"/>
        <w:bidi w:val="0"/>
        <w:adjustRightInd w:val="0"/>
        <w:spacing w:before="157" w:beforeLines="50" w:after="157" w:afterLines="50" w:line="240" w:lineRule="atLeast"/>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867" w:name="_Toc14172"/>
      <w:bookmarkStart w:id="3868" w:name="_Toc11919"/>
      <w:bookmarkStart w:id="3869" w:name="_Toc5304"/>
      <w:bookmarkStart w:id="3870" w:name="_Toc20353"/>
      <w:bookmarkStart w:id="3871" w:name="_Toc9713"/>
      <w:bookmarkStart w:id="3872" w:name="_Toc10825"/>
      <w:bookmarkStart w:id="3873" w:name="_Toc21997"/>
      <w:bookmarkStart w:id="3874" w:name="_Toc22046"/>
      <w:bookmarkStart w:id="3875" w:name="_Toc15155"/>
      <w:bookmarkStart w:id="3876" w:name="_Toc18886"/>
      <w:r>
        <w:rPr>
          <w:rFonts w:hint="eastAsia" w:ascii="楷体_GB2312" w:hAnsi="楷体_GB2312" w:eastAsia="楷体_GB2312" w:cs="楷体_GB2312"/>
          <w:b/>
          <w:bCs/>
          <w:kern w:val="0"/>
          <w:sz w:val="30"/>
          <w:szCs w:val="30"/>
        </w:rPr>
        <w:t>备查文件</w:t>
      </w:r>
      <w:bookmarkEnd w:id="3867"/>
      <w:bookmarkEnd w:id="3868"/>
      <w:bookmarkEnd w:id="3869"/>
      <w:bookmarkEnd w:id="3870"/>
      <w:bookmarkEnd w:id="3871"/>
      <w:bookmarkEnd w:id="3872"/>
      <w:bookmarkEnd w:id="3873"/>
      <w:bookmarkEnd w:id="3874"/>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outlineLvl w:val="2"/>
        <w:rPr>
          <w:rFonts w:hint="eastAsia" w:ascii="楷体_GB2312" w:hAnsi="楷体_GB2312" w:eastAsia="楷体_GB2312" w:cs="楷体_GB2312"/>
          <w:b/>
          <w:bCs/>
          <w:snapToGrid w:val="0"/>
          <w:kern w:val="0"/>
          <w:sz w:val="24"/>
          <w:szCs w:val="24"/>
        </w:rPr>
      </w:pPr>
      <w:bookmarkStart w:id="3877" w:name="_Toc26830"/>
      <w:r>
        <w:rPr>
          <w:rFonts w:hint="eastAsia" w:ascii="楷体_GB2312" w:hAnsi="楷体_GB2312" w:eastAsia="楷体_GB2312" w:cs="楷体_GB2312"/>
          <w:b/>
          <w:bCs/>
          <w:snapToGrid w:val="0"/>
          <w:kern w:val="0"/>
          <w:sz w:val="24"/>
          <w:szCs w:val="24"/>
        </w:rPr>
        <w:t>一、备查文件</w:t>
      </w:r>
      <w:bookmarkEnd w:id="3875"/>
      <w:bookmarkEnd w:id="3876"/>
      <w:bookmarkEnd w:id="3877"/>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本募集说明书的附录和备查文件包括以下文件，该等文件是本募集说明书不可分割的有机组成部分：</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snapToGrid w:val="0"/>
          <w:sz w:val="24"/>
          <w:szCs w:val="24"/>
        </w:rPr>
      </w:pPr>
      <w:r>
        <w:rPr>
          <w:rFonts w:hint="eastAsia" w:ascii="楷体_GB2312" w:hAnsi="楷体_GB2312" w:eastAsia="楷体_GB2312" w:cs="楷体_GB2312"/>
          <w:snapToGrid w:val="0"/>
          <w:sz w:val="24"/>
          <w:szCs w:val="24"/>
        </w:rPr>
        <w:t>1.《【</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】期资产支持商业票据定向募集说明书》</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】期定向资产支持商业票据</w:t>
      </w:r>
      <w:r>
        <w:rPr>
          <w:rFonts w:hint="eastAsia" w:ascii="楷体_GB2312" w:hAnsi="楷体_GB2312" w:eastAsia="楷体_GB2312" w:cs="楷体_GB2312"/>
          <w:kern w:val="0"/>
          <w:sz w:val="24"/>
          <w:szCs w:val="24"/>
        </w:rPr>
        <w:t>法律意见书》</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3.《</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】期定向资产支持商业票据</w:t>
      </w:r>
      <w:r>
        <w:rPr>
          <w:rFonts w:hint="eastAsia" w:ascii="楷体_GB2312" w:hAnsi="楷体_GB2312" w:eastAsia="楷体_GB2312" w:cs="楷体_GB2312"/>
          <w:kern w:val="0"/>
          <w:sz w:val="24"/>
          <w:szCs w:val="24"/>
        </w:rPr>
        <w:t>信用评级报告》（如有）</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4.《</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】期定向资产支持商业票据</w:t>
      </w:r>
      <w:r>
        <w:rPr>
          <w:rFonts w:hint="eastAsia" w:ascii="楷体_GB2312" w:hAnsi="楷体_GB2312" w:eastAsia="楷体_GB2312" w:cs="楷体_GB2312"/>
          <w:kern w:val="0"/>
          <w:sz w:val="24"/>
          <w:szCs w:val="24"/>
        </w:rPr>
        <w:t>现金流预测分析咨询报告》（如有）</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5.《</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】定向资产支持商业票据信托</w:t>
      </w:r>
      <w:r>
        <w:rPr>
          <w:rFonts w:hint="eastAsia" w:ascii="楷体_GB2312" w:hAnsi="楷体_GB2312" w:eastAsia="楷体_GB2312" w:cs="楷体_GB2312"/>
          <w:kern w:val="0"/>
          <w:sz w:val="24"/>
          <w:szCs w:val="24"/>
        </w:rPr>
        <w:t>信托合同》</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6.《</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】定向资产支持商业票据信托</w:t>
      </w:r>
      <w:r>
        <w:rPr>
          <w:rFonts w:hint="eastAsia" w:ascii="楷体_GB2312" w:hAnsi="楷体_GB2312" w:eastAsia="楷体_GB2312" w:cs="楷体_GB2312"/>
          <w:kern w:val="0"/>
          <w:sz w:val="24"/>
          <w:szCs w:val="24"/>
        </w:rPr>
        <w:t>主定义表》</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7.《</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】定向资产支持商业票据信托</w:t>
      </w:r>
      <w:r>
        <w:rPr>
          <w:rFonts w:hint="eastAsia" w:ascii="楷体_GB2312" w:hAnsi="楷体_GB2312" w:eastAsia="楷体_GB2312" w:cs="楷体_GB2312"/>
          <w:kern w:val="0"/>
          <w:sz w:val="24"/>
          <w:szCs w:val="24"/>
        </w:rPr>
        <w:t>资金保管合同》</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8.《</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】定向资产支持商业票据信托</w:t>
      </w:r>
      <w:r>
        <w:rPr>
          <w:rFonts w:hint="eastAsia" w:ascii="楷体_GB2312" w:hAnsi="楷体_GB2312" w:eastAsia="楷体_GB2312" w:cs="楷体_GB2312"/>
          <w:kern w:val="0"/>
          <w:sz w:val="24"/>
          <w:szCs w:val="24"/>
        </w:rPr>
        <w:t>资产服务合同》（如有）</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9.《</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】公司【</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】定向资产支持商业票据信托</w:t>
      </w:r>
      <w:r>
        <w:rPr>
          <w:rFonts w:hint="eastAsia" w:ascii="楷体_GB2312" w:hAnsi="楷体_GB2312" w:eastAsia="楷体_GB2312" w:cs="楷体_GB2312"/>
          <w:kern w:val="0"/>
          <w:sz w:val="24"/>
          <w:szCs w:val="24"/>
        </w:rPr>
        <w:t>差额支付承诺函》（如有）</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10.发行载体管理机构的业务资格批件、营业执照和公司章程</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11.发起机构的营业执照和公司章程</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12.资金保管机构的业务资格批件和营业执照</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13.中国银行间市场交易商协会《接受注册通知书》（中市协注[  ]ABN【  】号）</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14.</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kern w:val="0"/>
          <w:sz w:val="24"/>
          <w:szCs w:val="24"/>
        </w:rPr>
        <w:t>公司关于本次发行定向资产支持商业票据的股东决定（如有）</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15.</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kern w:val="0"/>
          <w:sz w:val="24"/>
          <w:szCs w:val="24"/>
        </w:rPr>
        <w:t>公司关于本次发行定向资产支持商业票据的董事会决议</w:t>
      </w:r>
    </w:p>
    <w:p>
      <w:pPr>
        <w:pStyle w:val="156"/>
        <w:keepNext w:val="0"/>
        <w:keepLines w:val="0"/>
        <w:pageBreakBefore w:val="0"/>
        <w:kinsoku/>
        <w:wordWrap/>
        <w:topLinePunct w:val="0"/>
        <w:autoSpaceDE w:val="0"/>
        <w:autoSpaceDN w:val="0"/>
        <w:bidi w:val="0"/>
        <w:adjustRightInd w:val="0"/>
        <w:spacing w:before="157" w:beforeLines="50" w:after="157" w:afterLines="50" w:line="240" w:lineRule="atLeast"/>
        <w:ind w:firstLine="0" w:firstLine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16.</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kern w:val="0"/>
          <w:sz w:val="24"/>
          <w:szCs w:val="24"/>
        </w:rPr>
        <w:t>公司【  】年-【  】年经审计的财务报告及【  】年半年度未经审计的财务报表（如有）</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outlineLvl w:val="2"/>
        <w:rPr>
          <w:rFonts w:hint="eastAsia" w:ascii="楷体_GB2312" w:hAnsi="楷体_GB2312" w:eastAsia="楷体_GB2312" w:cs="楷体_GB2312"/>
          <w:b/>
          <w:bCs/>
          <w:snapToGrid w:val="0"/>
          <w:kern w:val="0"/>
          <w:sz w:val="24"/>
          <w:szCs w:val="24"/>
        </w:rPr>
      </w:pPr>
      <w:bookmarkStart w:id="3878" w:name="_Toc6919"/>
      <w:bookmarkStart w:id="3879" w:name="_Toc26233"/>
      <w:bookmarkStart w:id="3880" w:name="_Toc25084"/>
      <w:r>
        <w:rPr>
          <w:rFonts w:hint="eastAsia" w:ascii="楷体_GB2312" w:hAnsi="楷体_GB2312" w:eastAsia="楷体_GB2312" w:cs="楷体_GB2312"/>
          <w:b/>
          <w:bCs/>
          <w:snapToGrid w:val="0"/>
          <w:kern w:val="0"/>
          <w:sz w:val="24"/>
          <w:szCs w:val="24"/>
        </w:rPr>
        <w:t>二、查询地址</w:t>
      </w:r>
      <w:bookmarkEnd w:id="3878"/>
      <w:bookmarkEnd w:id="3879"/>
      <w:bookmarkEnd w:id="3880"/>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如对本募集说明书或上述备查文件有任何疑问，可以咨询发起机构和主承销商。</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（一）发起机构</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法定代表人：</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联系人：</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联系电话：</w:t>
      </w:r>
    </w:p>
    <w:p>
      <w:pPr>
        <w:keepNext w:val="0"/>
        <w:keepLines w:val="0"/>
        <w:pageBreakBefore w:val="0"/>
        <w:kinsoku/>
        <w:wordWrap/>
        <w:topLinePunct w:val="0"/>
        <w:bidi w:val="0"/>
        <w:spacing w:before="157" w:beforeLines="50" w:after="157" w:afterLines="50" w:line="240" w:lineRule="atLeast"/>
        <w:ind w:firstLine="480" w:firstLineChars="200"/>
        <w:jc w:val="both"/>
        <w:textAlignment w:val="auto"/>
        <w:rPr>
          <w:rFonts w:hint="eastAsia" w:ascii="楷体_GB2312" w:hAnsi="楷体_GB2312" w:eastAsia="楷体_GB2312" w:cs="楷体_GB2312"/>
          <w:b/>
          <w:bCs/>
        </w:rPr>
      </w:pPr>
      <w:r>
        <w:rPr>
          <w:rFonts w:hint="eastAsia" w:ascii="楷体_GB2312" w:hAnsi="楷体_GB2312" w:eastAsia="楷体_GB2312" w:cs="楷体_GB2312"/>
          <w:kern w:val="0"/>
          <w:sz w:val="24"/>
          <w:szCs w:val="24"/>
        </w:rPr>
        <w:t>传真：</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（二）牵头主承销商</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法定代表人：</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联系人：</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联系电话：</w:t>
      </w:r>
    </w:p>
    <w:p>
      <w:pPr>
        <w:keepNext w:val="0"/>
        <w:keepLines w:val="0"/>
        <w:pageBreakBefore w:val="0"/>
        <w:kinsoku/>
        <w:wordWrap/>
        <w:topLinePunct w:val="0"/>
        <w:bidi w:val="0"/>
        <w:spacing w:before="157" w:beforeLines="50" w:after="157" w:afterLines="50" w:line="240" w:lineRule="atLeast"/>
        <w:ind w:firstLine="480" w:firstLineChars="200"/>
        <w:jc w:val="both"/>
        <w:textAlignment w:val="auto"/>
        <w:rPr>
          <w:rFonts w:hint="eastAsia" w:ascii="楷体_GB2312" w:hAnsi="楷体_GB2312" w:eastAsia="楷体_GB2312" w:cs="楷体_GB2312"/>
          <w:b/>
          <w:bCs/>
        </w:rPr>
      </w:pPr>
      <w:r>
        <w:rPr>
          <w:rFonts w:hint="eastAsia" w:ascii="楷体_GB2312" w:hAnsi="楷体_GB2312" w:eastAsia="楷体_GB2312" w:cs="楷体_GB2312"/>
          <w:kern w:val="0"/>
          <w:sz w:val="24"/>
          <w:szCs w:val="24"/>
        </w:rPr>
        <w:t>传真：</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（三）联席主承销商（如有）</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法定代表人：</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联系人：</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联系电话：</w:t>
      </w:r>
    </w:p>
    <w:p>
      <w:pPr>
        <w:keepNext w:val="0"/>
        <w:keepLines w:val="0"/>
        <w:pageBreakBefore w:val="0"/>
        <w:kinsoku/>
        <w:wordWrap/>
        <w:topLinePunct w:val="0"/>
        <w:bidi w:val="0"/>
        <w:spacing w:before="157" w:beforeLines="50" w:after="157" w:afterLines="50" w:line="240" w:lineRule="atLeast"/>
        <w:ind w:firstLine="480" w:firstLineChars="200"/>
        <w:jc w:val="both"/>
        <w:textAlignment w:val="auto"/>
        <w:rPr>
          <w:rFonts w:hint="eastAsia" w:ascii="楷体_GB2312" w:hAnsi="楷体_GB2312" w:eastAsia="楷体_GB2312" w:cs="楷体_GB2312"/>
          <w:b/>
          <w:bCs/>
        </w:rPr>
      </w:pPr>
      <w:r>
        <w:rPr>
          <w:rFonts w:hint="eastAsia" w:ascii="楷体_GB2312" w:hAnsi="楷体_GB2312" w:eastAsia="楷体_GB2312" w:cs="楷体_GB2312"/>
          <w:kern w:val="0"/>
          <w:sz w:val="24"/>
          <w:szCs w:val="24"/>
        </w:rPr>
        <w:t>传真：</w:t>
      </w: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outlineLvl w:val="2"/>
        <w:rPr>
          <w:rFonts w:hint="eastAsia" w:ascii="楷体_GB2312" w:hAnsi="楷体_GB2312" w:eastAsia="楷体_GB2312" w:cs="楷体_GB2312"/>
          <w:b/>
          <w:bCs/>
          <w:snapToGrid w:val="0"/>
          <w:kern w:val="0"/>
          <w:sz w:val="24"/>
          <w:szCs w:val="24"/>
        </w:rPr>
      </w:pPr>
      <w:bookmarkStart w:id="3881" w:name="_Toc27384"/>
      <w:bookmarkStart w:id="3882" w:name="_Toc9439"/>
      <w:bookmarkStart w:id="3883" w:name="_Toc20010"/>
      <w:r>
        <w:rPr>
          <w:rFonts w:hint="eastAsia" w:ascii="楷体_GB2312" w:hAnsi="楷体_GB2312" w:eastAsia="楷体_GB2312" w:cs="楷体_GB2312"/>
          <w:b/>
          <w:bCs/>
          <w:snapToGrid w:val="0"/>
          <w:kern w:val="0"/>
          <w:sz w:val="24"/>
          <w:szCs w:val="24"/>
        </w:rPr>
        <w:t>三、网站</w:t>
      </w:r>
      <w:bookmarkEnd w:id="3881"/>
      <w:bookmarkEnd w:id="3882"/>
      <w:bookmarkEnd w:id="3883"/>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投资人可通过中国银行间市场交易商协会综合业务和信息服务平台下载本募集说明书，或者在本期资产支持商业票据发行期内工作日的一般办公时间，到上述地点查阅本募集说明书全文及上述备查文件。</w:t>
      </w:r>
    </w:p>
    <w:p>
      <w:pPr>
        <w:pStyle w:val="2"/>
        <w:keepNext w:val="0"/>
        <w:keepLines w:val="0"/>
        <w:pageBreakBefore w:val="0"/>
        <w:kinsoku/>
        <w:wordWrap/>
        <w:topLinePunct w:val="0"/>
        <w:bidi w:val="0"/>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项目实际情况调整备查文件安排。</w:t>
      </w:r>
    </w:p>
    <w:p>
      <w:pPr>
        <w:keepNext w:val="0"/>
        <w:keepLines w:val="0"/>
        <w:pageBreakBefore w:val="0"/>
        <w:kinsoku/>
        <w:wordWrap/>
        <w:topLinePunct w:val="0"/>
        <w:autoSpaceDE w:val="0"/>
        <w:autoSpaceDN w:val="0"/>
        <w:bidi w:val="0"/>
        <w:adjustRightInd w:val="0"/>
        <w:spacing w:before="157" w:beforeLines="50" w:after="157" w:afterLines="50" w:line="240" w:lineRule="atLeast"/>
        <w:jc w:val="both"/>
        <w:textAlignment w:val="auto"/>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br w:type="page"/>
      </w:r>
    </w:p>
    <w:p>
      <w:pPr>
        <w:pStyle w:val="156"/>
        <w:keepNext w:val="0"/>
        <w:keepLines w:val="0"/>
        <w:pageBreakBefore w:val="0"/>
        <w:numPr>
          <w:ilvl w:val="0"/>
          <w:numId w:val="2"/>
        </w:numPr>
        <w:kinsoku/>
        <w:wordWrap/>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3884" w:name="_Toc4174"/>
      <w:bookmarkStart w:id="3885" w:name="_Toc20120"/>
      <w:bookmarkStart w:id="3886" w:name="_Toc29258"/>
      <w:bookmarkStart w:id="3887" w:name="_Toc5969"/>
      <w:bookmarkStart w:id="3888" w:name="_Toc14042"/>
      <w:bookmarkStart w:id="3889" w:name="_Toc13056"/>
      <w:bookmarkStart w:id="3890" w:name="_Toc19712"/>
      <w:bookmarkStart w:id="3891" w:name="_Toc17558"/>
      <w:bookmarkStart w:id="3892" w:name="_Toc17728"/>
      <w:bookmarkStart w:id="3893" w:name="_Toc15882"/>
      <w:r>
        <w:rPr>
          <w:rFonts w:hint="eastAsia" w:ascii="楷体_GB2312" w:hAnsi="楷体_GB2312" w:eastAsia="楷体_GB2312" w:cs="楷体_GB2312"/>
          <w:b/>
          <w:bCs/>
          <w:kern w:val="0"/>
          <w:sz w:val="30"/>
          <w:szCs w:val="30"/>
        </w:rPr>
        <w:t>发行有关机构</w:t>
      </w:r>
      <w:bookmarkEnd w:id="3884"/>
      <w:bookmarkEnd w:id="3885"/>
      <w:bookmarkEnd w:id="3886"/>
      <w:bookmarkEnd w:id="3887"/>
      <w:bookmarkEnd w:id="3888"/>
      <w:bookmarkEnd w:id="3889"/>
      <w:bookmarkEnd w:id="3890"/>
      <w:bookmarkEnd w:id="3891"/>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r>
        <w:rPr>
          <w:rFonts w:hint="eastAsia" w:ascii="楷体_GB2312" w:hAnsi="楷体_GB2312" w:eastAsia="楷体_GB2312" w:cs="楷体_GB2312"/>
          <w:b/>
          <w:bCs/>
          <w:snapToGrid w:val="0"/>
          <w:kern w:val="0"/>
          <w:sz w:val="24"/>
          <w:szCs w:val="24"/>
        </w:rPr>
        <w:t>一、发起机构</w:t>
      </w:r>
      <w:bookmarkEnd w:id="3892"/>
      <w:bookmarkEnd w:id="3893"/>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法定代表人：</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联系人：</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电话：</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hAnsi="楷体_GB2312"/>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3894" w:name="_Toc31980"/>
      <w:bookmarkStart w:id="3895" w:name="_Toc20613"/>
      <w:r>
        <w:rPr>
          <w:rFonts w:hint="eastAsia" w:ascii="楷体_GB2312" w:hAnsi="楷体_GB2312" w:eastAsia="楷体_GB2312" w:cs="楷体_GB2312"/>
          <w:b/>
          <w:bCs/>
          <w:snapToGrid w:val="0"/>
          <w:kern w:val="0"/>
          <w:sz w:val="24"/>
          <w:szCs w:val="24"/>
        </w:rPr>
        <w:t>二、发行载体管理机构</w:t>
      </w:r>
      <w:bookmarkEnd w:id="3894"/>
      <w:bookmarkEnd w:id="3895"/>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hAnsi="楷体_GB2312"/>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3896" w:name="_Toc9596"/>
      <w:bookmarkStart w:id="3897" w:name="_Toc14951"/>
      <w:r>
        <w:rPr>
          <w:rFonts w:hint="eastAsia" w:ascii="楷体_GB2312" w:hAnsi="楷体_GB2312" w:eastAsia="楷体_GB2312" w:cs="楷体_GB2312"/>
          <w:b/>
          <w:bCs/>
          <w:snapToGrid w:val="0"/>
          <w:kern w:val="0"/>
          <w:sz w:val="24"/>
          <w:szCs w:val="24"/>
        </w:rPr>
        <w:t>三、牵头主承销商/簿记管理人/存续期管理机构</w:t>
      </w:r>
      <w:bookmarkEnd w:id="3896"/>
      <w:bookmarkEnd w:id="3897"/>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keepNext w:val="0"/>
        <w:keepLines w:val="0"/>
        <w:pageBreakBefore w:val="0"/>
        <w:kinsoku/>
        <w:wordWrap/>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3898" w:name="_Toc8385"/>
      <w:bookmarkStart w:id="3899" w:name="_Toc2359"/>
      <w:r>
        <w:rPr>
          <w:rFonts w:hint="eastAsia" w:ascii="楷体_GB2312" w:hAnsi="楷体_GB2312" w:eastAsia="楷体_GB2312" w:cs="楷体_GB2312"/>
          <w:b/>
          <w:bCs/>
          <w:snapToGrid w:val="0"/>
          <w:kern w:val="0"/>
          <w:sz w:val="24"/>
          <w:szCs w:val="24"/>
        </w:rPr>
        <w:t>四、联席主承销商（如有）</w:t>
      </w:r>
      <w:bookmarkEnd w:id="3898"/>
      <w:bookmarkEnd w:id="3899"/>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hAnsi="楷体_GB2312"/>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3900" w:name="_Toc8530"/>
      <w:bookmarkStart w:id="3901" w:name="_Toc10689"/>
      <w:r>
        <w:rPr>
          <w:rFonts w:hint="eastAsia" w:ascii="楷体_GB2312" w:hAnsi="楷体_GB2312" w:eastAsia="楷体_GB2312" w:cs="楷体_GB2312"/>
          <w:b/>
          <w:bCs/>
          <w:snapToGrid w:val="0"/>
          <w:kern w:val="0"/>
          <w:sz w:val="24"/>
          <w:szCs w:val="24"/>
        </w:rPr>
        <w:t>五、资金保管</w:t>
      </w:r>
      <w:r>
        <w:rPr>
          <w:rFonts w:hint="eastAsia" w:ascii="楷体_GB2312" w:hAnsi="楷体_GB2312" w:eastAsia="楷体_GB2312" w:cs="楷体_GB2312"/>
          <w:b/>
          <w:bCs/>
          <w:sz w:val="24"/>
          <w:szCs w:val="24"/>
        </w:rPr>
        <w:t>机构</w:t>
      </w:r>
      <w:bookmarkEnd w:id="3900"/>
      <w:bookmarkEnd w:id="3901"/>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hAnsi="楷体_GB2312"/>
          <w:snapToGrid w:val="0"/>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3902" w:name="_Toc28434"/>
      <w:bookmarkStart w:id="3903" w:name="_Toc3467"/>
      <w:r>
        <w:rPr>
          <w:rFonts w:hint="eastAsia" w:ascii="楷体_GB2312" w:hAnsi="楷体_GB2312" w:eastAsia="楷体_GB2312" w:cs="楷体_GB2312"/>
          <w:b/>
          <w:bCs/>
          <w:snapToGrid w:val="0"/>
          <w:kern w:val="0"/>
          <w:sz w:val="24"/>
          <w:szCs w:val="24"/>
        </w:rPr>
        <w:t>六</w:t>
      </w:r>
      <w:r>
        <w:rPr>
          <w:rFonts w:hint="eastAsia" w:ascii="楷体_GB2312" w:hAnsi="楷体_GB2312" w:eastAsia="楷体_GB2312" w:cs="楷体_GB2312"/>
          <w:b/>
          <w:bCs/>
          <w:sz w:val="24"/>
          <w:szCs w:val="24"/>
        </w:rPr>
        <w:t>、资金</w:t>
      </w:r>
      <w:r>
        <w:rPr>
          <w:rFonts w:hint="eastAsia" w:ascii="楷体_GB2312" w:hAnsi="楷体_GB2312" w:eastAsia="楷体_GB2312" w:cs="楷体_GB2312"/>
          <w:b/>
          <w:bCs/>
          <w:snapToGrid w:val="0"/>
          <w:kern w:val="0"/>
          <w:sz w:val="24"/>
          <w:szCs w:val="24"/>
        </w:rPr>
        <w:t>监管机构（如有）</w:t>
      </w:r>
      <w:bookmarkEnd w:id="3902"/>
      <w:bookmarkEnd w:id="3903"/>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76"/>
        <w:keepNext w:val="0"/>
        <w:keepLines w:val="0"/>
        <w:pageBreakBefore w:val="0"/>
        <w:kinsoku/>
        <w:wordWrap/>
        <w:topLinePunct w:val="0"/>
        <w:bidi w:val="0"/>
        <w:snapToGrid w:val="0"/>
        <w:spacing w:before="157" w:beforeLines="50" w:after="157" w:afterLines="50" w:line="240" w:lineRule="atLeast"/>
        <w:textAlignment w:val="auto"/>
        <w:rPr>
          <w:rFonts w:hint="eastAsia"/>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napToGrid w:val="0"/>
          <w:kern w:val="0"/>
          <w:sz w:val="24"/>
          <w:szCs w:val="24"/>
        </w:rPr>
      </w:pPr>
      <w:bookmarkStart w:id="3904" w:name="_Toc28660"/>
      <w:bookmarkStart w:id="3905" w:name="_Toc1225"/>
      <w:r>
        <w:rPr>
          <w:rFonts w:hint="eastAsia" w:ascii="楷体_GB2312" w:hAnsi="楷体_GB2312" w:eastAsia="楷体_GB2312" w:cs="楷体_GB2312"/>
          <w:b/>
          <w:bCs/>
          <w:sz w:val="24"/>
          <w:szCs w:val="24"/>
        </w:rPr>
        <w:t>七</w:t>
      </w:r>
      <w:r>
        <w:rPr>
          <w:rFonts w:hint="eastAsia" w:ascii="楷体_GB2312" w:hAnsi="楷体_GB2312" w:eastAsia="楷体_GB2312" w:cs="楷体_GB2312"/>
          <w:b/>
          <w:bCs/>
          <w:snapToGrid w:val="0"/>
          <w:kern w:val="0"/>
          <w:sz w:val="24"/>
          <w:szCs w:val="24"/>
        </w:rPr>
        <w:t>、</w:t>
      </w:r>
      <w:r>
        <w:rPr>
          <w:rFonts w:hint="eastAsia" w:ascii="楷体_GB2312" w:hAnsi="楷体_GB2312" w:eastAsia="楷体_GB2312" w:cs="楷体_GB2312"/>
          <w:b/>
          <w:bCs/>
          <w:sz w:val="24"/>
          <w:szCs w:val="24"/>
        </w:rPr>
        <w:t>资产服务机构（如有）</w:t>
      </w:r>
      <w:bookmarkEnd w:id="3904"/>
      <w:bookmarkEnd w:id="3905"/>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keepNext w:val="0"/>
        <w:keepLines w:val="0"/>
        <w:pageBreakBefore w:val="0"/>
        <w:kinsoku/>
        <w:wordWrap/>
        <w:topLinePunct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sz w:val="24"/>
          <w:szCs w:val="24"/>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z w:val="24"/>
          <w:szCs w:val="24"/>
        </w:rPr>
      </w:pPr>
      <w:bookmarkStart w:id="3906" w:name="_Toc17773"/>
      <w:bookmarkStart w:id="3907" w:name="_Toc12750"/>
      <w:r>
        <w:rPr>
          <w:rFonts w:hint="eastAsia" w:ascii="楷体_GB2312" w:hAnsi="楷体_GB2312" w:eastAsia="楷体_GB2312" w:cs="楷体_GB2312"/>
          <w:b/>
          <w:bCs/>
          <w:sz w:val="24"/>
          <w:szCs w:val="24"/>
        </w:rPr>
        <w:t>八、律师事务所</w:t>
      </w:r>
      <w:bookmarkEnd w:id="3906"/>
      <w:bookmarkEnd w:id="3907"/>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hAnsi="楷体_GB2312"/>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z w:val="24"/>
          <w:szCs w:val="24"/>
        </w:rPr>
      </w:pPr>
      <w:bookmarkStart w:id="3908" w:name="_Toc14611"/>
      <w:bookmarkStart w:id="3909" w:name="_Toc28151"/>
      <w:r>
        <w:rPr>
          <w:rFonts w:hint="eastAsia" w:ascii="楷体_GB2312" w:hAnsi="楷体_GB2312" w:eastAsia="楷体_GB2312" w:cs="楷体_GB2312"/>
          <w:b/>
          <w:bCs/>
          <w:sz w:val="24"/>
          <w:szCs w:val="24"/>
        </w:rPr>
        <w:t>九、会计师事务所、现金流评估预测机构（如有）</w:t>
      </w:r>
      <w:bookmarkEnd w:id="3908"/>
      <w:bookmarkEnd w:id="3909"/>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hAnsi="楷体_GB2312"/>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z w:val="24"/>
          <w:szCs w:val="24"/>
        </w:rPr>
      </w:pPr>
      <w:bookmarkStart w:id="3910" w:name="_Toc1728"/>
      <w:r>
        <w:rPr>
          <w:rFonts w:hint="eastAsia" w:ascii="楷体_GB2312" w:hAnsi="楷体_GB2312" w:eastAsia="楷体_GB2312" w:cs="楷体_GB2312"/>
          <w:b/>
          <w:bCs/>
          <w:sz w:val="24"/>
          <w:szCs w:val="24"/>
        </w:rPr>
        <w:t>十、信用评级机构（如有）</w:t>
      </w:r>
      <w:bookmarkEnd w:id="3910"/>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hAnsi="楷体_GB2312"/>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z w:val="24"/>
          <w:szCs w:val="24"/>
        </w:rPr>
      </w:pPr>
      <w:bookmarkStart w:id="3911" w:name="_Toc28798"/>
      <w:bookmarkStart w:id="3912" w:name="_Toc20424"/>
      <w:r>
        <w:rPr>
          <w:rFonts w:hint="eastAsia" w:ascii="楷体_GB2312" w:hAnsi="楷体_GB2312" w:eastAsia="楷体_GB2312" w:cs="楷体_GB2312"/>
          <w:b/>
          <w:bCs/>
          <w:sz w:val="24"/>
          <w:szCs w:val="24"/>
        </w:rPr>
        <w:t>十一、信用增级机构（如有）</w:t>
      </w:r>
      <w:bookmarkEnd w:id="3911"/>
      <w:bookmarkEnd w:id="3912"/>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z w:val="24"/>
          <w:szCs w:val="24"/>
        </w:rPr>
      </w:pPr>
      <w:bookmarkStart w:id="3913" w:name="_Toc2301"/>
      <w:bookmarkStart w:id="3914" w:name="_Toc21006"/>
      <w:r>
        <w:rPr>
          <w:rFonts w:hint="eastAsia" w:ascii="楷体_GB2312" w:hAnsi="楷体_GB2312" w:eastAsia="楷体_GB2312" w:cs="楷体_GB2312"/>
          <w:b/>
          <w:bCs/>
          <w:sz w:val="24"/>
          <w:szCs w:val="24"/>
        </w:rPr>
        <w:t>十二、资产评估机构（如有）</w:t>
      </w:r>
      <w:bookmarkEnd w:id="3913"/>
      <w:bookmarkEnd w:id="3914"/>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hAnsi="楷体_GB2312"/>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z w:val="24"/>
          <w:szCs w:val="24"/>
        </w:rPr>
      </w:pPr>
      <w:bookmarkStart w:id="3915" w:name="_Toc29988"/>
      <w:bookmarkStart w:id="3916" w:name="_Toc19378"/>
      <w:r>
        <w:rPr>
          <w:rFonts w:hint="eastAsia" w:ascii="楷体_GB2312" w:hAnsi="楷体_GB2312" w:eastAsia="楷体_GB2312" w:cs="楷体_GB2312"/>
          <w:b/>
          <w:bCs/>
          <w:sz w:val="24"/>
          <w:szCs w:val="24"/>
        </w:rPr>
        <w:t>十三、登记、托管、结算机构</w:t>
      </w:r>
      <w:bookmarkEnd w:id="3915"/>
      <w:bookmarkEnd w:id="3916"/>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kinsoku/>
        <w:wordWrap/>
        <w:topLinePunct w:val="0"/>
        <w:bidi w:val="0"/>
        <w:spacing w:before="157" w:beforeLines="50" w:after="157" w:afterLines="50" w:line="240" w:lineRule="atLeast"/>
        <w:textAlignment w:val="auto"/>
        <w:rPr>
          <w:rFonts w:hint="eastAsia" w:hAnsi="楷体_GB2312"/>
        </w:rPr>
      </w:pPr>
    </w:p>
    <w:p>
      <w:pPr>
        <w:keepNext w:val="0"/>
        <w:keepLines w:val="0"/>
        <w:pageBreakBefore w:val="0"/>
        <w:kinsoku/>
        <w:wordWrap/>
        <w:topLinePunct w:val="0"/>
        <w:autoSpaceDE w:val="0"/>
        <w:autoSpaceDN w:val="0"/>
        <w:bidi w:val="0"/>
        <w:adjustRightInd w:val="0"/>
        <w:snapToGrid w:val="0"/>
        <w:spacing w:before="157" w:beforeLines="50" w:after="157" w:afterLines="50" w:line="240" w:lineRule="atLeast"/>
        <w:ind w:firstLine="482" w:firstLineChars="200"/>
        <w:textAlignment w:val="auto"/>
        <w:rPr>
          <w:rFonts w:hint="eastAsia" w:ascii="楷体_GB2312" w:hAnsi="楷体_GB2312" w:eastAsia="楷体_GB2312" w:cs="楷体_GB2312"/>
          <w:b/>
          <w:bCs/>
          <w:sz w:val="24"/>
          <w:szCs w:val="24"/>
        </w:rPr>
      </w:pPr>
      <w:bookmarkStart w:id="3917" w:name="_Toc30782"/>
      <w:bookmarkStart w:id="3918" w:name="_Toc11079"/>
      <w:r>
        <w:rPr>
          <w:rFonts w:hint="eastAsia" w:ascii="楷体_GB2312" w:hAnsi="楷体_GB2312" w:eastAsia="楷体_GB2312" w:cs="楷体_GB2312"/>
          <w:b/>
          <w:bCs/>
          <w:sz w:val="24"/>
          <w:szCs w:val="24"/>
        </w:rPr>
        <w:t>十四、集中簿记建档系统技术支持机构</w:t>
      </w:r>
      <w:bookmarkEnd w:id="3917"/>
      <w:bookmarkEnd w:id="3918"/>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kinsoku/>
        <w:wordWrap/>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2"/>
        <w:keepNext w:val="0"/>
        <w:keepLines w:val="0"/>
        <w:pageBreakBefore w:val="0"/>
        <w:kinsoku/>
        <w:wordWrap/>
        <w:topLinePunct w:val="0"/>
        <w:bidi w:val="0"/>
        <w:spacing w:before="157" w:beforeLines="50" w:after="157" w:afterLines="50" w:line="240" w:lineRule="atLeast"/>
        <w:ind w:firstLine="482"/>
        <w:textAlignment w:val="auto"/>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项目实际情况调整发行有关机构的披露情况。</w:t>
      </w:r>
    </w:p>
    <w:p>
      <w:pPr>
        <w:pStyle w:val="169"/>
        <w:keepNext w:val="0"/>
        <w:keepLines w:val="0"/>
        <w:pageBreakBefore w:val="0"/>
        <w:kinsoku/>
        <w:wordWrap/>
        <w:overflowPunct/>
        <w:topLinePunct w:val="0"/>
        <w:autoSpaceDE/>
        <w:autoSpaceDN/>
        <w:bidi w:val="0"/>
        <w:adjustRightInd w:val="0"/>
        <w:snapToGrid w:val="0"/>
        <w:spacing w:before="157" w:beforeLines="50" w:after="157" w:afterLines="50" w:line="240" w:lineRule="atLeast"/>
        <w:ind w:firstLine="0" w:firstLineChars="0"/>
        <w:jc w:val="both"/>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br w:type="page"/>
      </w:r>
      <w:r>
        <w:rPr>
          <w:rFonts w:hint="eastAsia" w:ascii="楷体_GB2312" w:hAnsi="楷体_GB2312" w:eastAsia="楷体_GB2312" w:cs="楷体_GB2312"/>
          <w:snapToGrid w:val="0"/>
          <w:kern w:val="0"/>
          <w:sz w:val="24"/>
          <w:szCs w:val="24"/>
        </w:rPr>
        <w:t>（本页无正文，为《【</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】期资产支持商业票据定向募集说明书》之盖章页）</w:t>
      </w: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】公司</w:t>
      </w: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wordWrap w:val="0"/>
        <w:overflowPunct/>
        <w:topLinePunct w:val="0"/>
        <w:autoSpaceDE/>
        <w:autoSpaceDN/>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】年【</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】月【</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】日</w:t>
      </w:r>
    </w:p>
    <w:p>
      <w:pPr>
        <w:keepNext w:val="0"/>
        <w:keepLines w:val="0"/>
        <w:pageBreakBefore w:val="0"/>
        <w:widowControl/>
        <w:kinsoku/>
        <w:overflowPunct/>
        <w:topLinePunct w:val="0"/>
        <w:autoSpaceDE/>
        <w:autoSpaceDN/>
        <w:bidi w:val="0"/>
        <w:spacing w:before="157" w:beforeLines="50" w:after="157" w:afterLines="50" w:line="240" w:lineRule="atLeas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br w:type="page"/>
      </w:r>
      <w:r>
        <w:rPr>
          <w:rFonts w:hint="eastAsia" w:ascii="楷体_GB2312" w:hAnsi="楷体_GB2312" w:eastAsia="楷体_GB2312" w:cs="楷体_GB2312"/>
          <w:snapToGrid w:val="0"/>
          <w:kern w:val="0"/>
          <w:sz w:val="24"/>
          <w:szCs w:val="24"/>
        </w:rPr>
        <w:t>（本页无正文，为《【</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】公司【  】年度【</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】第【</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】期资产支持商业票据定向募集说明书》之盖章页）</w:t>
      </w: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both"/>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snapToGrid w:val="0"/>
          <w:kern w:val="0"/>
          <w:sz w:val="24"/>
          <w:szCs w:val="24"/>
        </w:rPr>
        <w:t>】公司</w:t>
      </w: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p>
    <w:p>
      <w:pPr>
        <w:pStyle w:val="169"/>
        <w:keepNext w:val="0"/>
        <w:keepLines w:val="0"/>
        <w:pageBreakBefore w:val="0"/>
        <w:kinsoku/>
        <w:wordWrap w:val="0"/>
        <w:overflowPunct/>
        <w:topLinePunct w:val="0"/>
        <w:autoSpaceDE/>
        <w:autoSpaceDN/>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r>
        <w:rPr>
          <w:rFonts w:hint="eastAsia" w:ascii="楷体_GB2312" w:hAnsi="楷体_GB2312" w:eastAsia="楷体_GB2312" w:cs="楷体_GB2312"/>
          <w:snapToGrid w:val="0"/>
          <w:kern w:val="0"/>
          <w:sz w:val="24"/>
          <w:szCs w:val="24"/>
        </w:rPr>
        <w:t>【</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】年【</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】月【</w:t>
      </w:r>
      <w:r>
        <w:rPr>
          <w:rFonts w:hint="eastAsia" w:ascii="楷体_GB2312" w:hAnsi="楷体_GB2312" w:eastAsia="楷体_GB2312" w:cs="楷体_GB2312"/>
          <w:color w:val="000000"/>
          <w:kern w:val="0"/>
          <w:sz w:val="24"/>
          <w:szCs w:val="24"/>
        </w:rPr>
        <w:t xml:space="preserve">  </w:t>
      </w:r>
      <w:r>
        <w:rPr>
          <w:rFonts w:hint="eastAsia" w:ascii="楷体_GB2312" w:hAnsi="楷体_GB2312" w:eastAsia="楷体_GB2312" w:cs="楷体_GB2312"/>
          <w:snapToGrid w:val="0"/>
          <w:kern w:val="0"/>
          <w:sz w:val="24"/>
          <w:szCs w:val="24"/>
        </w:rPr>
        <w:t>】日</w:t>
      </w:r>
    </w:p>
    <w:p>
      <w:pPr>
        <w:pStyle w:val="169"/>
        <w:keepNext w:val="0"/>
        <w:keepLines w:val="0"/>
        <w:pageBreakBefore w:val="0"/>
        <w:kinsoku/>
        <w:overflowPunct/>
        <w:topLinePunct w:val="0"/>
        <w:autoSpaceDE/>
        <w:autoSpaceDN/>
        <w:bidi w:val="0"/>
        <w:adjustRightInd w:val="0"/>
        <w:snapToGrid w:val="0"/>
        <w:spacing w:before="157" w:beforeLines="50" w:after="157" w:afterLines="50" w:line="240" w:lineRule="atLeast"/>
        <w:ind w:firstLine="480"/>
        <w:jc w:val="right"/>
        <w:textAlignment w:val="auto"/>
        <w:rPr>
          <w:rFonts w:hint="eastAsia" w:ascii="楷体_GB2312" w:hAnsi="楷体_GB2312" w:eastAsia="楷体_GB2312" w:cs="楷体_GB2312"/>
          <w:snapToGrid w:val="0"/>
          <w:kern w:val="0"/>
          <w:sz w:val="24"/>
          <w:szCs w:val="24"/>
        </w:rPr>
      </w:pPr>
    </w:p>
    <w:p>
      <w:pPr>
        <w:pStyle w:val="2"/>
        <w:keepNext w:val="0"/>
        <w:keepLines w:val="0"/>
        <w:pageBreakBefore w:val="0"/>
        <w:kinsoku/>
        <w:overflowPunct/>
        <w:topLinePunct w:val="0"/>
        <w:autoSpaceDE/>
        <w:autoSpaceDN/>
        <w:bidi w:val="0"/>
        <w:spacing w:before="157" w:beforeLines="50" w:after="157" w:afterLines="50" w:line="240" w:lineRule="atLeast"/>
        <w:ind w:firstLine="480"/>
        <w:jc w:val="both"/>
        <w:textAlignment w:val="auto"/>
        <w:rPr>
          <w:rFonts w:hint="eastAsia" w:ascii="楷体_GB2312" w:hAnsi="楷体_GB2312" w:eastAsia="楷体_GB2312" w:cs="楷体_GB2312"/>
          <w:bCs/>
          <w:kern w:val="2"/>
          <w:sz w:val="24"/>
          <w:szCs w:val="24"/>
        </w:rPr>
        <w:sectPr>
          <w:footerReference r:id="rId16" w:type="default"/>
          <w:footnotePr>
            <w:numFmt w:val="decimal"/>
            <w:numRestart w:val="eachPage"/>
          </w:footnotePr>
          <w:pgSz w:w="11906" w:h="16838"/>
          <w:pgMar w:top="1440" w:right="1800" w:bottom="1440" w:left="1800" w:header="851" w:footer="992" w:gutter="0"/>
          <w:pgNumType w:fmt="decimal"/>
          <w:cols w:space="720" w:num="1"/>
          <w:docGrid w:type="lines" w:linePitch="312" w:charSpace="0"/>
        </w:sectPr>
      </w:pPr>
    </w:p>
    <w:p>
      <w:pPr>
        <w:pStyle w:val="2"/>
        <w:ind w:firstLine="480"/>
        <w:jc w:val="both"/>
        <w:rPr>
          <w:rFonts w:hint="eastAsia" w:ascii="楷体_GB2312" w:hAnsi="楷体_GB2312" w:eastAsia="楷体_GB2312" w:cs="楷体_GB2312"/>
          <w:bCs/>
          <w:kern w:val="2"/>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pStyle w:val="2"/>
        <w:rPr>
          <w:rFonts w:ascii="楷体_GB2312" w:hAnsi="楷体_GB2312" w:eastAsia="楷体_GB2312" w:cs="楷体_GB2312"/>
          <w:b/>
          <w:sz w:val="24"/>
          <w:szCs w:val="24"/>
        </w:rPr>
      </w:pPr>
    </w:p>
    <w:p>
      <w:pPr>
        <w:pStyle w:val="2"/>
        <w:rPr>
          <w:rFonts w:ascii="楷体_GB2312" w:hAnsi="楷体_GB2312" w:eastAsia="楷体_GB2312" w:cs="楷体_GB2312"/>
          <w:b/>
          <w:sz w:val="24"/>
          <w:szCs w:val="24"/>
        </w:rPr>
      </w:pPr>
    </w:p>
    <w:p>
      <w:pPr>
        <w:spacing w:line="560" w:lineRule="exact"/>
        <w:jc w:val="center"/>
        <w:rPr>
          <w:rFonts w:ascii="楷体_GB2312" w:hAnsi="楷体_GB2312" w:eastAsia="楷体_GB2312" w:cs="楷体_GB2312"/>
          <w:b/>
          <w:sz w:val="24"/>
          <w:szCs w:val="24"/>
        </w:rPr>
      </w:pPr>
    </w:p>
    <w:p>
      <w:pPr>
        <w:keepNext w:val="0"/>
        <w:keepLines w:val="0"/>
        <w:pageBreakBefore w:val="0"/>
        <w:widowControl w:val="0"/>
        <w:kinsoku/>
        <w:wordWrap/>
        <w:overflowPunct/>
        <w:topLinePunct w:val="0"/>
        <w:autoSpaceDE w:val="0"/>
        <w:autoSpaceDN w:val="0"/>
        <w:bidi w:val="0"/>
        <w:adjustRightInd w:val="0"/>
        <w:snapToGrid/>
        <w:spacing w:before="156" w:beforeLines="50" w:after="156" w:afterLines="50" w:line="240" w:lineRule="atLeast"/>
        <w:jc w:val="center"/>
        <w:textAlignment w:val="auto"/>
        <w:outlineLvl w:val="0"/>
        <w:rPr>
          <w:rFonts w:hint="eastAsia" w:ascii="楷体_GB2312" w:hAnsi="楷体_GB2312" w:eastAsia="楷体_GB2312" w:cs="楷体_GB2312"/>
          <w:b/>
          <w:bCs/>
          <w:kern w:val="0"/>
          <w:sz w:val="44"/>
          <w:szCs w:val="44"/>
        </w:rPr>
      </w:pPr>
      <w:bookmarkStart w:id="3919" w:name="_Toc14509"/>
      <w:bookmarkStart w:id="3920" w:name="_Toc19273"/>
      <w:bookmarkStart w:id="3921" w:name="_Toc21075"/>
      <w:bookmarkStart w:id="3922" w:name="_Toc13356"/>
      <w:r>
        <w:rPr>
          <w:rFonts w:hint="eastAsia" w:ascii="楷体_GB2312" w:hAnsi="楷体_GB2312" w:eastAsia="楷体_GB2312" w:cs="楷体_GB2312"/>
          <w:b/>
          <w:bCs/>
          <w:kern w:val="0"/>
          <w:sz w:val="44"/>
          <w:szCs w:val="44"/>
          <w:lang w:val="en-US" w:eastAsia="zh-CN"/>
        </w:rPr>
        <w:t>第四部分 定向发行协议</w:t>
      </w:r>
      <w:bookmarkEnd w:id="3919"/>
      <w:bookmarkEnd w:id="3920"/>
      <w:bookmarkEnd w:id="3921"/>
      <w:r>
        <w:rPr>
          <w:rFonts w:hint="eastAsia" w:ascii="楷体_GB2312" w:hAnsi="楷体_GB2312" w:eastAsia="楷体_GB2312" w:cs="楷体_GB2312"/>
          <w:b/>
          <w:bCs/>
          <w:kern w:val="0"/>
          <w:sz w:val="44"/>
          <w:szCs w:val="44"/>
          <w:lang w:val="en-US" w:eastAsia="zh-CN"/>
        </w:rPr>
        <w:t>（参考文本）</w:t>
      </w:r>
      <w:bookmarkEnd w:id="3922"/>
    </w:p>
    <w:p>
      <w:pPr>
        <w:pStyle w:val="2"/>
        <w:ind w:firstLine="480"/>
        <w:jc w:val="both"/>
        <w:rPr>
          <w:rFonts w:ascii="楷体_GB2312" w:hAnsi="楷体_GB2312" w:eastAsia="楷体_GB2312" w:cs="楷体_GB2312"/>
          <w:b/>
          <w:sz w:val="24"/>
          <w:szCs w:val="24"/>
        </w:rPr>
      </w:pPr>
    </w:p>
    <w:p>
      <w:pPr>
        <w:spacing w:line="240" w:lineRule="auto"/>
        <w:jc w:val="center"/>
        <w:rPr>
          <w:rFonts w:hint="eastAsia" w:ascii="楷体_GB2312" w:hAnsi="楷体_GB2312" w:eastAsia="楷体_GB2312" w:cs="楷体_GB2312"/>
          <w:b/>
          <w:color w:val="000000"/>
          <w:kern w:val="2"/>
          <w:sz w:val="40"/>
          <w:szCs w:val="22"/>
          <w:u w:val="none"/>
          <w:lang w:val="en-US" w:eastAsia="zh-CN"/>
        </w:rPr>
        <w:sectPr>
          <w:footerReference r:id="rId17" w:type="default"/>
          <w:footnotePr>
            <w:numFmt w:val="decimal"/>
            <w:numRestart w:val="eachPage"/>
          </w:footnote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jc w:val="center"/>
        <w:textAlignment w:val="auto"/>
        <w:rPr>
          <w:rFonts w:hint="eastAsia" w:ascii="楷体_GB2312" w:hAnsi="楷体_GB2312" w:eastAsia="楷体_GB2312" w:cs="楷体_GB2312"/>
          <w:b/>
          <w:bCs w:val="0"/>
          <w:color w:val="000000"/>
          <w:sz w:val="40"/>
          <w:szCs w:val="22"/>
          <w:lang w:eastAsia="zh-CN"/>
        </w:rPr>
      </w:pPr>
      <w:r>
        <w:rPr>
          <w:rFonts w:hint="eastAsia" w:ascii="楷体_GB2312" w:hAnsi="楷体_GB2312" w:eastAsia="楷体_GB2312" w:cs="楷体_GB2312"/>
          <w:b/>
          <w:color w:val="000000"/>
          <w:kern w:val="2"/>
          <w:sz w:val="40"/>
          <w:szCs w:val="22"/>
          <w:u w:val="none"/>
          <w:lang w:val="en-US" w:eastAsia="zh-CN"/>
        </w:rPr>
        <w:t>【</w:t>
      </w:r>
      <w:r>
        <w:rPr>
          <w:rFonts w:hint="eastAsia" w:ascii="楷体_GB2312" w:hAnsi="楷体_GB2312" w:eastAsia="楷体_GB2312" w:cs="楷体_GB2312"/>
          <w:b/>
          <w:i/>
          <w:iCs/>
          <w:color w:val="FF0000"/>
          <w:kern w:val="2"/>
          <w:sz w:val="40"/>
          <w:szCs w:val="22"/>
          <w:u w:val="single"/>
          <w:lang w:val="en-US" w:eastAsia="zh-CN"/>
        </w:rPr>
        <w:t>发起机构</w:t>
      </w:r>
      <w:r>
        <w:rPr>
          <w:rFonts w:hint="eastAsia" w:ascii="楷体_GB2312" w:hAnsi="楷体_GB2312" w:eastAsia="楷体_GB2312" w:cs="楷体_GB2312"/>
          <w:b/>
          <w:color w:val="000000"/>
          <w:kern w:val="2"/>
          <w:sz w:val="40"/>
          <w:szCs w:val="22"/>
          <w:u w:val="none"/>
          <w:lang w:val="en-US" w:eastAsia="zh-CN"/>
        </w:rPr>
        <w:t>】公司</w:t>
      </w:r>
      <w:r>
        <w:rPr>
          <w:rFonts w:hint="eastAsia" w:ascii="楷体_GB2312" w:hAnsi="楷体_GB2312" w:eastAsia="楷体_GB2312" w:cs="楷体_GB2312"/>
          <w:b/>
          <w:bCs w:val="0"/>
          <w:color w:val="000000"/>
          <w:sz w:val="40"/>
          <w:szCs w:val="22"/>
          <w:lang w:eastAsia="zh-CN"/>
        </w:rPr>
        <w:t>【</w:t>
      </w:r>
      <w:r>
        <w:rPr>
          <w:rFonts w:hint="eastAsia" w:ascii="楷体_GB2312" w:hAnsi="楷体_GB2312" w:eastAsia="楷体_GB2312" w:cs="楷体_GB2312"/>
          <w:b/>
          <w:bCs w:val="0"/>
          <w:color w:val="000000"/>
          <w:sz w:val="40"/>
          <w:szCs w:val="22"/>
          <w:lang w:val="en-US" w:eastAsia="zh-CN"/>
        </w:rPr>
        <w:t xml:space="preserve">  </w:t>
      </w:r>
      <w:r>
        <w:rPr>
          <w:rFonts w:hint="eastAsia" w:ascii="楷体_GB2312" w:hAnsi="楷体_GB2312" w:eastAsia="楷体_GB2312" w:cs="楷体_GB2312"/>
          <w:b/>
          <w:bCs w:val="0"/>
          <w:color w:val="000000"/>
          <w:sz w:val="40"/>
          <w:szCs w:val="22"/>
          <w:lang w:eastAsia="zh-CN"/>
        </w:rPr>
        <w:t>】—【</w:t>
      </w:r>
      <w:r>
        <w:rPr>
          <w:rFonts w:hint="eastAsia" w:ascii="楷体_GB2312" w:hAnsi="楷体_GB2312" w:eastAsia="楷体_GB2312" w:cs="楷体_GB2312"/>
          <w:b/>
          <w:bCs w:val="0"/>
          <w:color w:val="000000"/>
          <w:sz w:val="40"/>
          <w:szCs w:val="22"/>
          <w:lang w:val="en-US" w:eastAsia="zh-CN"/>
        </w:rPr>
        <w:t xml:space="preserve">  </w:t>
      </w:r>
      <w:r>
        <w:rPr>
          <w:rFonts w:hint="eastAsia" w:ascii="楷体_GB2312" w:hAnsi="楷体_GB2312" w:eastAsia="楷体_GB2312" w:cs="楷体_GB2312"/>
          <w:b/>
          <w:bCs w:val="0"/>
          <w:color w:val="000000"/>
          <w:sz w:val="40"/>
          <w:szCs w:val="22"/>
          <w:lang w:eastAsia="zh-CN"/>
        </w:rPr>
        <w:t>】年度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jc w:val="center"/>
        <w:textAlignment w:val="auto"/>
        <w:rPr>
          <w:rFonts w:hint="eastAsia" w:ascii="楷体_GB2312" w:hAnsi="楷体_GB2312" w:eastAsia="楷体_GB2312" w:cs="楷体_GB2312"/>
          <w:b/>
          <w:color w:val="000000"/>
          <w:sz w:val="40"/>
          <w:lang w:val="en-US" w:eastAsia="zh-CN"/>
        </w:rPr>
      </w:pPr>
      <w:r>
        <w:rPr>
          <w:rFonts w:hint="eastAsia" w:ascii="楷体_GB2312" w:hAnsi="楷体_GB2312" w:eastAsia="楷体_GB2312" w:cs="楷体_GB2312"/>
          <w:b/>
          <w:color w:val="000000"/>
          <w:kern w:val="2"/>
          <w:sz w:val="40"/>
          <w:szCs w:val="22"/>
          <w:u w:val="none"/>
          <w:lang w:val="en-US" w:eastAsia="zh-CN"/>
        </w:rPr>
        <w:t>【</w:t>
      </w:r>
      <w:r>
        <w:rPr>
          <w:rFonts w:hint="eastAsia" w:ascii="楷体_GB2312" w:hAnsi="楷体_GB2312" w:eastAsia="楷体_GB2312" w:cs="楷体_GB2312"/>
          <w:b/>
          <w:i/>
          <w:iCs/>
          <w:color w:val="FF0000"/>
          <w:kern w:val="2"/>
          <w:sz w:val="40"/>
          <w:szCs w:val="22"/>
          <w:u w:val="single"/>
          <w:lang w:val="en-US" w:eastAsia="zh-CN"/>
        </w:rPr>
        <w:t>项目标识</w:t>
      </w:r>
      <w:r>
        <w:rPr>
          <w:rFonts w:hint="eastAsia" w:ascii="楷体_GB2312" w:hAnsi="楷体_GB2312" w:eastAsia="楷体_GB2312" w:cs="楷体_GB2312"/>
          <w:b/>
          <w:color w:val="000000"/>
          <w:kern w:val="2"/>
          <w:sz w:val="40"/>
          <w:szCs w:val="22"/>
          <w:u w:val="none"/>
          <w:lang w:val="en-US" w:eastAsia="zh-CN"/>
        </w:rPr>
        <w:t>】</w:t>
      </w:r>
      <w:r>
        <w:rPr>
          <w:rFonts w:hint="eastAsia" w:ascii="楷体_GB2312" w:hAnsi="楷体_GB2312" w:eastAsia="楷体_GB2312" w:cs="楷体_GB2312"/>
          <w:b/>
          <w:bCs w:val="0"/>
          <w:color w:val="000000"/>
          <w:sz w:val="40"/>
          <w:szCs w:val="22"/>
          <w:lang w:eastAsia="zh-CN"/>
        </w:rPr>
        <w:t>资产支持商业票据</w:t>
      </w:r>
      <w:r>
        <w:rPr>
          <w:rFonts w:hint="eastAsia" w:ascii="楷体_GB2312" w:hAnsi="楷体_GB2312" w:eastAsia="楷体_GB2312" w:cs="楷体_GB2312"/>
          <w:b/>
          <w:color w:val="000000"/>
          <w:sz w:val="40"/>
          <w:lang w:val="en-US" w:eastAsia="zh-CN"/>
        </w:rPr>
        <w:t>定向发行协议</w:t>
      </w:r>
      <w:r>
        <w:rPr>
          <w:rStyle w:val="48"/>
          <w:rFonts w:hint="eastAsia" w:ascii="楷体_GB2312" w:hAnsi="楷体_GB2312" w:eastAsia="楷体_GB2312" w:cs="楷体_GB2312"/>
          <w:b/>
          <w:bCs w:val="0"/>
          <w:color w:val="000000"/>
          <w:sz w:val="40"/>
          <w:szCs w:val="22"/>
          <w:lang w:eastAsia="zh-CN"/>
        </w:rPr>
        <w:footnoteReference w:id="59"/>
      </w:r>
    </w:p>
    <w:tbl>
      <w:tblPr>
        <w:tblStyle w:val="41"/>
        <w:tblW w:w="8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94"/>
        <w:gridCol w:w="56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发起机构</w:t>
            </w:r>
          </w:p>
        </w:tc>
        <w:tc>
          <w:tcPr>
            <w:tcW w:w="5638" w:type="dxa"/>
            <w:noWrap w:val="0"/>
            <w:vAlign w:val="center"/>
          </w:tcPr>
          <w:p>
            <w:pPr>
              <w:widowControl/>
              <w:spacing w:after="0" w:line="240" w:lineRule="auto"/>
              <w:jc w:val="center"/>
              <w:rPr>
                <w:rFonts w:hint="default" w:ascii="楷体_GB2312" w:hAnsi="楷体_GB2312" w:eastAsia="楷体_GB2312" w:cs="楷体_GB2312"/>
                <w:color w:val="000000"/>
                <w:kern w:val="0"/>
                <w:sz w:val="24"/>
                <w:szCs w:val="24"/>
                <w:lang w:val="en-US"/>
              </w:rPr>
            </w:pP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发行载体管理机构</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lang w:eastAsia="zh-CN"/>
              </w:rPr>
              <w:t>牵头</w:t>
            </w:r>
            <w:r>
              <w:rPr>
                <w:rFonts w:hint="eastAsia" w:ascii="楷体_GB2312" w:hAnsi="楷体_GB2312" w:eastAsia="楷体_GB2312" w:cs="楷体_GB2312"/>
                <w:b/>
                <w:bCs/>
                <w:color w:val="000000"/>
                <w:kern w:val="0"/>
                <w:sz w:val="24"/>
                <w:szCs w:val="24"/>
              </w:rPr>
              <w:t>主承销商</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default" w:ascii="楷体_GB2312" w:hAnsi="楷体_GB2312" w:eastAsia="楷体_GB2312" w:cs="楷体_GB2312"/>
                <w:b/>
                <w:bCs/>
                <w:color w:val="000000"/>
                <w:kern w:val="0"/>
                <w:sz w:val="24"/>
                <w:szCs w:val="24"/>
                <w:lang w:val="en-US" w:eastAsia="zh-CN"/>
              </w:rPr>
            </w:pPr>
            <w:r>
              <w:rPr>
                <w:rFonts w:hint="eastAsia" w:ascii="楷体_GB2312" w:hAnsi="楷体_GB2312" w:eastAsia="楷体_GB2312" w:cs="楷体_GB2312"/>
                <w:b/>
                <w:bCs/>
                <w:color w:val="000000"/>
                <w:kern w:val="0"/>
                <w:sz w:val="24"/>
                <w:szCs w:val="24"/>
                <w:lang w:eastAsia="zh-CN"/>
              </w:rPr>
              <w:t>联席主承销商（</w:t>
            </w:r>
            <w:r>
              <w:rPr>
                <w:rFonts w:hint="eastAsia" w:ascii="楷体_GB2312" w:hAnsi="楷体_GB2312" w:eastAsia="楷体_GB2312" w:cs="楷体_GB2312"/>
                <w:b/>
                <w:bCs/>
                <w:color w:val="000000"/>
                <w:kern w:val="0"/>
                <w:sz w:val="24"/>
                <w:szCs w:val="24"/>
                <w:lang w:val="en-US" w:eastAsia="zh-CN"/>
              </w:rPr>
              <w:t>如有</w:t>
            </w:r>
            <w:r>
              <w:rPr>
                <w:rFonts w:hint="eastAsia" w:ascii="楷体_GB2312" w:hAnsi="楷体_GB2312" w:eastAsia="楷体_GB2312" w:cs="楷体_GB2312"/>
                <w:b/>
                <w:bCs/>
                <w:color w:val="000000"/>
                <w:kern w:val="0"/>
                <w:sz w:val="24"/>
                <w:szCs w:val="24"/>
                <w:lang w:eastAsia="zh-CN"/>
              </w:rPr>
              <w:t>）</w:t>
            </w:r>
            <w:r>
              <w:rPr>
                <w:rStyle w:val="48"/>
                <w:rFonts w:hint="eastAsia" w:ascii="楷体_GB2312" w:hAnsi="楷体_GB2312" w:eastAsia="楷体_GB2312" w:cs="楷体_GB2312"/>
                <w:b/>
                <w:bCs/>
                <w:color w:val="000000"/>
                <w:kern w:val="0"/>
                <w:sz w:val="24"/>
                <w:szCs w:val="24"/>
                <w:lang w:eastAsia="zh-CN"/>
              </w:rPr>
              <w:footnoteReference w:id="60"/>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lang w:val="en-US" w:eastAsia="zh-CN"/>
              </w:rPr>
            </w:pPr>
            <w:r>
              <w:rPr>
                <w:rFonts w:hint="eastAsia" w:ascii="楷体_GB2312" w:hAnsi="楷体_GB2312" w:eastAsia="楷体_GB2312" w:cs="楷体_GB2312"/>
                <w:b/>
                <w:bCs/>
                <w:color w:val="000000"/>
                <w:kern w:val="0"/>
                <w:sz w:val="24"/>
                <w:szCs w:val="24"/>
                <w:lang w:val="en-US" w:eastAsia="zh-CN"/>
              </w:rPr>
              <w:t>簿记管理人</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注册金额</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人民币</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rPr>
              <w:t>亿元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本期发行金额</w:t>
            </w:r>
            <w:r>
              <w:rPr>
                <w:rStyle w:val="48"/>
                <w:rFonts w:hint="eastAsia" w:ascii="楷体_GB2312" w:hAnsi="楷体_GB2312" w:eastAsia="楷体_GB2312" w:cs="楷体_GB2312"/>
                <w:b/>
                <w:bCs/>
                <w:color w:val="000000"/>
                <w:kern w:val="0"/>
                <w:sz w:val="24"/>
                <w:szCs w:val="24"/>
              </w:rPr>
              <w:footnoteReference w:id="61"/>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人民币</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rPr>
              <w:t>亿元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rPr>
            </w:pPr>
            <w:r>
              <w:rPr>
                <w:rFonts w:hint="eastAsia" w:ascii="楷体_GB2312" w:hAnsi="楷体_GB2312" w:eastAsia="楷体_GB2312" w:cs="楷体_GB2312"/>
                <w:b/>
                <w:bCs/>
                <w:color w:val="000000"/>
                <w:kern w:val="0"/>
                <w:sz w:val="24"/>
                <w:szCs w:val="24"/>
              </w:rPr>
              <w:t>基础资产类型</w:t>
            </w:r>
          </w:p>
        </w:tc>
        <w:tc>
          <w:tcPr>
            <w:tcW w:w="5638" w:type="dxa"/>
            <w:noWrap w:val="0"/>
            <w:vAlign w:val="center"/>
          </w:tcPr>
          <w:p>
            <w:pPr>
              <w:widowControl/>
              <w:spacing w:after="0" w:line="240" w:lineRule="auto"/>
              <w:jc w:val="center"/>
              <w:rPr>
                <w:rFonts w:hint="default" w:ascii="楷体_GB2312" w:hAnsi="楷体_GB2312" w:eastAsia="楷体_GB2312" w:cs="楷体_GB2312"/>
                <w:color w:val="000000"/>
                <w:kern w:val="0"/>
                <w:sz w:val="24"/>
                <w:szCs w:val="24"/>
                <w:u w:val="dash"/>
                <w:lang w:val="en-US" w:eastAsia="zh-CN"/>
              </w:rPr>
            </w:pP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应收账款/租赁债权/（其他）</w:t>
            </w:r>
            <w:r>
              <w:rPr>
                <w:rFonts w:hint="eastAsia" w:ascii="楷体_GB2312" w:hAnsi="楷体_GB2312" w:eastAsia="楷体_GB2312" w:cs="楷体_GB2312"/>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lang w:eastAsia="zh-CN"/>
              </w:rPr>
            </w:pPr>
            <w:r>
              <w:rPr>
                <w:rFonts w:hint="eastAsia" w:ascii="楷体_GB2312" w:hAnsi="楷体_GB2312" w:eastAsia="楷体_GB2312" w:cs="楷体_GB2312"/>
                <w:b/>
                <w:bCs/>
                <w:color w:val="000000"/>
                <w:kern w:val="0"/>
                <w:sz w:val="24"/>
                <w:szCs w:val="24"/>
                <w:lang w:eastAsia="zh-CN"/>
              </w:rPr>
              <w:t>资产池类型</w:t>
            </w:r>
          </w:p>
        </w:tc>
        <w:tc>
          <w:tcPr>
            <w:tcW w:w="5638" w:type="dxa"/>
            <w:noWrap w:val="0"/>
            <w:vAlign w:val="center"/>
          </w:tcPr>
          <w:p>
            <w:pPr>
              <w:widowControl/>
              <w:spacing w:after="0" w:line="240" w:lineRule="auto"/>
              <w:jc w:val="center"/>
              <w:rPr>
                <w:rFonts w:hint="default" w:ascii="楷体_GB2312" w:hAnsi="楷体_GB2312" w:eastAsia="楷体_GB2312" w:cs="楷体_GB2312"/>
                <w:color w:val="000000"/>
                <w:kern w:val="0"/>
                <w:sz w:val="24"/>
                <w:szCs w:val="24"/>
                <w:lang w:val="en-US" w:eastAsia="zh-CN"/>
              </w:rPr>
            </w:pPr>
            <w:r>
              <w:rPr>
                <w:rFonts w:hint="eastAsia" w:ascii="楷体_GB2312" w:hAnsi="楷体_GB2312" w:eastAsia="楷体_GB2312" w:cs="楷体_GB2312"/>
                <w:color w:val="000000"/>
                <w:kern w:val="0"/>
                <w:sz w:val="24"/>
                <w:szCs w:val="24"/>
                <w:u w:val="none"/>
                <w:lang w:val="en-US" w:eastAsia="zh-CN"/>
              </w:rPr>
              <w:t>【</w:t>
            </w:r>
            <w:r>
              <w:rPr>
                <w:rFonts w:hint="eastAsia" w:ascii="楷体_GB2312" w:hAnsi="楷体_GB2312" w:eastAsia="楷体_GB2312" w:cs="楷体_GB2312"/>
                <w:color w:val="000000"/>
                <w:kern w:val="0"/>
                <w:sz w:val="24"/>
                <w:szCs w:val="24"/>
                <w:u w:val="single"/>
                <w:lang w:val="en-US" w:eastAsia="zh-CN"/>
              </w:rPr>
              <w:t>静态池/动态池</w:t>
            </w:r>
            <w:r>
              <w:rPr>
                <w:rFonts w:hint="eastAsia" w:ascii="楷体_GB2312" w:hAnsi="楷体_GB2312" w:eastAsia="楷体_GB2312" w:cs="楷体_GB2312"/>
                <w:color w:val="000000"/>
                <w:kern w:val="0"/>
                <w:sz w:val="24"/>
                <w:szCs w:val="24"/>
                <w:u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lang w:val="en-US" w:eastAsia="zh-CN"/>
              </w:rPr>
            </w:pPr>
            <w:r>
              <w:rPr>
                <w:rFonts w:hint="eastAsia" w:ascii="楷体_GB2312" w:hAnsi="楷体_GB2312" w:eastAsia="楷体_GB2312" w:cs="楷体_GB2312"/>
                <w:b/>
                <w:bCs/>
                <w:color w:val="000000"/>
                <w:kern w:val="0"/>
                <w:sz w:val="24"/>
                <w:szCs w:val="24"/>
                <w:lang w:val="en-US" w:eastAsia="zh-CN"/>
              </w:rPr>
              <w:t>信用增级机构</w:t>
            </w:r>
            <w:r>
              <w:rPr>
                <w:rStyle w:val="48"/>
                <w:rFonts w:hint="eastAsia" w:ascii="楷体_GB2312" w:hAnsi="楷体_GB2312" w:eastAsia="楷体_GB2312" w:cs="楷体_GB2312"/>
                <w:b/>
                <w:bCs/>
                <w:color w:val="000000"/>
                <w:kern w:val="0"/>
                <w:sz w:val="24"/>
                <w:szCs w:val="24"/>
                <w:lang w:val="en-US" w:eastAsia="zh-CN"/>
              </w:rPr>
              <w:footnoteReference w:id="62"/>
            </w:r>
            <w:r>
              <w:rPr>
                <w:rFonts w:hint="eastAsia" w:ascii="楷体_GB2312" w:hAnsi="楷体_GB2312" w:eastAsia="楷体_GB2312" w:cs="楷体_GB2312"/>
                <w:b/>
                <w:bCs/>
                <w:color w:val="000000"/>
                <w:kern w:val="0"/>
                <w:sz w:val="24"/>
                <w:szCs w:val="24"/>
                <w:lang w:val="en-US" w:eastAsia="zh-CN"/>
              </w:rPr>
              <w:t>（如有）</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2994" w:type="dxa"/>
            <w:noWrap w:val="0"/>
            <w:vAlign w:val="center"/>
          </w:tcPr>
          <w:p>
            <w:pPr>
              <w:widowControl/>
              <w:spacing w:after="0" w:line="240" w:lineRule="auto"/>
              <w:jc w:val="center"/>
              <w:rPr>
                <w:rFonts w:hint="eastAsia" w:ascii="楷体_GB2312" w:hAnsi="楷体_GB2312" w:eastAsia="楷体_GB2312" w:cs="楷体_GB2312"/>
                <w:b/>
                <w:bCs/>
                <w:color w:val="000000"/>
                <w:kern w:val="0"/>
                <w:sz w:val="24"/>
                <w:szCs w:val="24"/>
                <w:lang w:val="en-US" w:eastAsia="zh-CN" w:bidi="ar-SA"/>
              </w:rPr>
            </w:pPr>
            <w:r>
              <w:rPr>
                <w:rFonts w:hint="eastAsia" w:ascii="楷体_GB2312" w:hAnsi="楷体_GB2312" w:eastAsia="楷体_GB2312" w:cs="楷体_GB2312"/>
                <w:b/>
                <w:bCs/>
                <w:color w:val="000000"/>
                <w:kern w:val="0"/>
                <w:sz w:val="24"/>
                <w:szCs w:val="24"/>
                <w:lang w:val="en-US" w:eastAsia="zh-CN"/>
              </w:rPr>
              <w:t>定向投资人范围</w:t>
            </w:r>
          </w:p>
        </w:tc>
        <w:tc>
          <w:tcPr>
            <w:tcW w:w="5638" w:type="dxa"/>
            <w:noWrap w:val="0"/>
            <w:vAlign w:val="center"/>
          </w:tcPr>
          <w:p>
            <w:pPr>
              <w:widowControl/>
              <w:spacing w:after="0" w:line="240" w:lineRule="auto"/>
              <w:jc w:val="center"/>
              <w:rPr>
                <w:rFonts w:hint="eastAsia" w:ascii="楷体_GB2312" w:hAnsi="楷体_GB2312" w:eastAsia="楷体_GB2312" w:cs="楷体_GB2312"/>
                <w:color w:val="000000"/>
                <w:kern w:val="0"/>
                <w:sz w:val="24"/>
                <w:szCs w:val="24"/>
                <w:lang w:val="en-US" w:eastAsia="zh-CN" w:bidi="ar-SA"/>
              </w:rPr>
            </w:pPr>
            <w:r>
              <w:rPr>
                <w:rFonts w:hint="eastAsia" w:ascii="楷体_GB2312" w:hAnsi="楷体_GB2312" w:eastAsia="楷体_GB2312" w:cs="楷体_GB2312"/>
                <w:b w:val="0"/>
                <w:color w:val="000000"/>
                <w:kern w:val="0"/>
                <w:sz w:val="24"/>
                <w:szCs w:val="24"/>
                <w:u w:val="single"/>
              </w:rPr>
              <w:t>经遴选的特定机构投资人</w:t>
            </w:r>
          </w:p>
        </w:tc>
      </w:tr>
    </w:tbl>
    <w:p>
      <w:pPr>
        <w:spacing w:line="240" w:lineRule="auto"/>
        <w:rPr>
          <w:rFonts w:hint="eastAsia" w:ascii="楷体_GB2312" w:hAnsi="楷体_GB2312" w:eastAsia="楷体_GB2312" w:cs="楷体_GB2312"/>
        </w:rPr>
      </w:pPr>
    </w:p>
    <w:tbl>
      <w:tblPr>
        <w:tblStyle w:val="41"/>
        <w:tblW w:w="111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1"/>
        <w:gridCol w:w="1304"/>
        <w:gridCol w:w="1020"/>
        <w:gridCol w:w="1020"/>
        <w:gridCol w:w="737"/>
        <w:gridCol w:w="2438"/>
        <w:gridCol w:w="1701"/>
        <w:gridCol w:w="1020"/>
        <w:gridCol w:w="7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default" w:ascii="楷体_GB2312" w:hAnsi="楷体_GB2312" w:eastAsia="楷体_GB2312" w:cs="楷体_GB2312"/>
                <w:b/>
                <w:color w:val="000000"/>
                <w:kern w:val="0"/>
                <w:sz w:val="21"/>
                <w:szCs w:val="21"/>
                <w:highlight w:val="none"/>
                <w:lang w:val="en-US"/>
              </w:rPr>
            </w:pPr>
            <w:r>
              <w:rPr>
                <w:rFonts w:hint="eastAsia" w:ascii="楷体_GB2312" w:hAnsi="楷体_GB2312" w:eastAsia="楷体_GB2312" w:cs="楷体_GB2312"/>
                <w:b/>
                <w:color w:val="000000"/>
                <w:kern w:val="0"/>
                <w:sz w:val="21"/>
                <w:szCs w:val="21"/>
                <w:highlight w:val="none"/>
                <w:lang w:val="en-US" w:eastAsia="zh-CN"/>
              </w:rPr>
              <w:t>各档名称</w:t>
            </w:r>
            <w:r>
              <w:rPr>
                <w:rStyle w:val="48"/>
                <w:rFonts w:hint="eastAsia" w:ascii="楷体_GB2312" w:hAnsi="楷体_GB2312" w:eastAsia="楷体_GB2312" w:cs="楷体_GB2312"/>
                <w:b/>
                <w:color w:val="000000"/>
                <w:kern w:val="0"/>
                <w:sz w:val="21"/>
                <w:szCs w:val="21"/>
                <w:highlight w:val="none"/>
                <w:lang w:val="en-US" w:eastAsia="zh-CN"/>
              </w:rPr>
              <w:footnoteReference w:id="63"/>
            </w:r>
          </w:p>
        </w:tc>
        <w:tc>
          <w:tcPr>
            <w:tcW w:w="1304" w:type="dxa"/>
            <w:noWrap w:val="0"/>
            <w:vAlign w:val="center"/>
          </w:tcPr>
          <w:p>
            <w:pPr>
              <w:widowControl/>
              <w:spacing w:after="0" w:line="240" w:lineRule="auto"/>
              <w:jc w:val="center"/>
              <w:rPr>
                <w:rFonts w:hint="eastAsia" w:ascii="楷体_GB2312" w:hAnsi="楷体_GB2312" w:eastAsia="楷体_GB2312" w:cs="楷体_GB2312"/>
                <w:b/>
                <w:color w:val="000000"/>
                <w:kern w:val="0"/>
                <w:sz w:val="21"/>
                <w:szCs w:val="21"/>
                <w:highlight w:val="none"/>
                <w:lang w:val="en-US" w:eastAsia="zh-CN"/>
              </w:rPr>
            </w:pPr>
            <w:r>
              <w:rPr>
                <w:rFonts w:hint="eastAsia" w:ascii="楷体_GB2312" w:hAnsi="楷体_GB2312" w:eastAsia="楷体_GB2312" w:cs="楷体_GB2312"/>
                <w:b/>
                <w:color w:val="000000"/>
                <w:kern w:val="0"/>
                <w:sz w:val="21"/>
                <w:szCs w:val="21"/>
                <w:highlight w:val="none"/>
                <w:lang w:val="en-US" w:eastAsia="zh-CN"/>
              </w:rPr>
              <w:t>是否本期</w:t>
            </w:r>
          </w:p>
          <w:p>
            <w:pPr>
              <w:widowControl/>
              <w:spacing w:after="0" w:line="240" w:lineRule="auto"/>
              <w:jc w:val="center"/>
              <w:rPr>
                <w:rFonts w:hint="default"/>
                <w:sz w:val="21"/>
                <w:szCs w:val="21"/>
                <w:lang w:val="en-US" w:eastAsia="zh-CN"/>
              </w:rPr>
            </w:pPr>
            <w:r>
              <w:rPr>
                <w:rFonts w:hint="eastAsia" w:ascii="楷体_GB2312" w:hAnsi="楷体_GB2312" w:eastAsia="楷体_GB2312" w:cs="楷体_GB2312"/>
                <w:b/>
                <w:color w:val="000000"/>
                <w:kern w:val="0"/>
                <w:sz w:val="21"/>
                <w:szCs w:val="21"/>
                <w:highlight w:val="none"/>
                <w:lang w:val="en-US" w:eastAsia="zh-CN"/>
              </w:rPr>
              <w:t>发行</w:t>
            </w:r>
          </w:p>
        </w:tc>
        <w:tc>
          <w:tcPr>
            <w:tcW w:w="1020" w:type="dxa"/>
            <w:noWrap w:val="0"/>
            <w:vAlign w:val="center"/>
          </w:tcPr>
          <w:p>
            <w:pPr>
              <w:widowControl/>
              <w:spacing w:after="0" w:line="240" w:lineRule="auto"/>
              <w:jc w:val="center"/>
              <w:rPr>
                <w:rFonts w:hint="eastAsia" w:ascii="楷体_GB2312" w:hAnsi="楷体_GB2312" w:eastAsia="楷体_GB2312" w:cs="楷体_GB2312"/>
                <w:b/>
                <w:color w:val="000000"/>
                <w:kern w:val="0"/>
                <w:sz w:val="21"/>
                <w:szCs w:val="21"/>
                <w:highlight w:val="none"/>
              </w:rPr>
            </w:pPr>
            <w:r>
              <w:rPr>
                <w:rFonts w:hint="eastAsia" w:ascii="楷体_GB2312" w:hAnsi="楷体_GB2312" w:eastAsia="楷体_GB2312" w:cs="楷体_GB2312"/>
                <w:b/>
                <w:color w:val="000000"/>
                <w:kern w:val="0"/>
                <w:sz w:val="21"/>
                <w:szCs w:val="21"/>
                <w:highlight w:val="none"/>
              </w:rPr>
              <w:t>金额</w:t>
            </w:r>
          </w:p>
          <w:p>
            <w:pPr>
              <w:widowControl/>
              <w:spacing w:after="0" w:line="240" w:lineRule="auto"/>
              <w:jc w:val="center"/>
              <w:rPr>
                <w:rFonts w:hint="eastAsia" w:ascii="楷体_GB2312" w:hAnsi="楷体_GB2312" w:eastAsia="楷体_GB2312" w:cs="楷体_GB2312"/>
                <w:b/>
                <w:color w:val="000000"/>
                <w:kern w:val="0"/>
                <w:sz w:val="21"/>
                <w:szCs w:val="21"/>
                <w:highlight w:val="none"/>
              </w:rPr>
            </w:pPr>
            <w:r>
              <w:rPr>
                <w:rFonts w:hint="eastAsia" w:ascii="楷体_GB2312" w:hAnsi="楷体_GB2312" w:eastAsia="楷体_GB2312" w:cs="楷体_GB2312"/>
                <w:b/>
                <w:color w:val="000000"/>
                <w:kern w:val="0"/>
                <w:sz w:val="21"/>
                <w:szCs w:val="21"/>
                <w:highlight w:val="none"/>
              </w:rPr>
              <w:t>（亿元）</w:t>
            </w:r>
          </w:p>
        </w:tc>
        <w:tc>
          <w:tcPr>
            <w:tcW w:w="1020" w:type="dxa"/>
            <w:noWrap w:val="0"/>
            <w:vAlign w:val="center"/>
          </w:tcPr>
          <w:p>
            <w:pPr>
              <w:widowControl/>
              <w:spacing w:after="0" w:line="240" w:lineRule="auto"/>
              <w:jc w:val="center"/>
              <w:rPr>
                <w:rFonts w:hint="eastAsia" w:ascii="楷体_GB2312" w:hAnsi="楷体_GB2312" w:eastAsia="楷体_GB2312" w:cs="楷体_GB2312"/>
                <w:b/>
                <w:color w:val="000000"/>
                <w:kern w:val="0"/>
                <w:sz w:val="21"/>
                <w:szCs w:val="21"/>
                <w:highlight w:val="none"/>
              </w:rPr>
            </w:pPr>
            <w:r>
              <w:rPr>
                <w:rFonts w:hint="eastAsia" w:ascii="楷体_GB2312" w:hAnsi="楷体_GB2312" w:eastAsia="楷体_GB2312" w:cs="楷体_GB2312"/>
                <w:b/>
                <w:color w:val="000000"/>
                <w:kern w:val="0"/>
                <w:sz w:val="21"/>
                <w:szCs w:val="21"/>
                <w:highlight w:val="none"/>
              </w:rPr>
              <w:t>占比</w:t>
            </w:r>
          </w:p>
          <w:p>
            <w:pPr>
              <w:widowControl/>
              <w:spacing w:after="0" w:line="240" w:lineRule="auto"/>
              <w:jc w:val="center"/>
              <w:rPr>
                <w:rFonts w:hint="eastAsia" w:ascii="楷体_GB2312" w:hAnsi="楷体_GB2312" w:eastAsia="楷体_GB2312" w:cs="楷体_GB2312"/>
                <w:b/>
                <w:color w:val="000000"/>
                <w:kern w:val="0"/>
                <w:sz w:val="21"/>
                <w:szCs w:val="21"/>
                <w:highlight w:val="none"/>
              </w:rPr>
            </w:pPr>
            <w:r>
              <w:rPr>
                <w:rFonts w:hint="eastAsia" w:ascii="楷体_GB2312" w:hAnsi="楷体_GB2312" w:eastAsia="楷体_GB2312" w:cs="楷体_GB2312"/>
                <w:b/>
                <w:color w:val="000000"/>
                <w:kern w:val="0"/>
                <w:sz w:val="21"/>
                <w:szCs w:val="21"/>
                <w:highlight w:val="none"/>
              </w:rPr>
              <w:t>（%）</w:t>
            </w:r>
          </w:p>
        </w:tc>
        <w:tc>
          <w:tcPr>
            <w:tcW w:w="737" w:type="dxa"/>
            <w:noWrap w:val="0"/>
            <w:vAlign w:val="center"/>
          </w:tcPr>
          <w:p>
            <w:pPr>
              <w:widowControl/>
              <w:spacing w:after="0" w:line="240" w:lineRule="auto"/>
              <w:jc w:val="center"/>
              <w:rPr>
                <w:rFonts w:hint="eastAsia" w:ascii="楷体_GB2312" w:hAnsi="楷体_GB2312" w:eastAsia="楷体_GB2312" w:cs="楷体_GB2312"/>
                <w:b/>
                <w:color w:val="000000"/>
                <w:kern w:val="0"/>
                <w:sz w:val="21"/>
                <w:szCs w:val="21"/>
                <w:highlight w:val="none"/>
                <w:lang w:val="en-US" w:eastAsia="zh-CN"/>
              </w:rPr>
            </w:pPr>
            <w:r>
              <w:rPr>
                <w:rFonts w:hint="eastAsia" w:ascii="楷体_GB2312" w:hAnsi="楷体_GB2312" w:eastAsia="楷体_GB2312" w:cs="楷体_GB2312"/>
                <w:b/>
                <w:color w:val="000000"/>
                <w:kern w:val="0"/>
                <w:sz w:val="21"/>
                <w:szCs w:val="21"/>
                <w:highlight w:val="none"/>
                <w:lang w:val="en-US" w:eastAsia="zh-CN"/>
              </w:rPr>
              <w:t>期限</w:t>
            </w:r>
          </w:p>
        </w:tc>
        <w:tc>
          <w:tcPr>
            <w:tcW w:w="2438" w:type="dxa"/>
            <w:noWrap w:val="0"/>
            <w:vAlign w:val="center"/>
          </w:tcPr>
          <w:p>
            <w:pPr>
              <w:widowControl/>
              <w:spacing w:after="0" w:line="240" w:lineRule="auto"/>
              <w:jc w:val="center"/>
              <w:rPr>
                <w:rFonts w:hint="eastAsia" w:ascii="楷体_GB2312" w:hAnsi="楷体_GB2312" w:eastAsia="楷体_GB2312" w:cs="楷体_GB2312"/>
                <w:b/>
                <w:color w:val="000000"/>
                <w:kern w:val="0"/>
                <w:sz w:val="21"/>
                <w:szCs w:val="21"/>
                <w:highlight w:val="none"/>
              </w:rPr>
            </w:pPr>
            <w:r>
              <w:rPr>
                <w:rFonts w:hint="eastAsia" w:ascii="楷体_GB2312" w:hAnsi="楷体_GB2312" w:eastAsia="楷体_GB2312" w:cs="楷体_GB2312"/>
                <w:b/>
                <w:color w:val="000000"/>
                <w:kern w:val="0"/>
                <w:sz w:val="21"/>
                <w:szCs w:val="21"/>
                <w:highlight w:val="none"/>
                <w:lang w:val="en-US" w:eastAsia="zh-CN"/>
              </w:rPr>
              <w:t>【</w:t>
            </w:r>
            <w:r>
              <w:rPr>
                <w:rFonts w:hint="eastAsia" w:ascii="楷体_GB2312" w:hAnsi="楷体_GB2312" w:eastAsia="楷体_GB2312" w:cs="楷体_GB2312"/>
                <w:b/>
                <w:color w:val="000000"/>
                <w:kern w:val="0"/>
                <w:sz w:val="21"/>
                <w:szCs w:val="21"/>
                <w:highlight w:val="none"/>
                <w:u w:val="single"/>
                <w:lang w:val="en-US" w:eastAsia="zh-CN"/>
              </w:rPr>
              <w:t>预期</w:t>
            </w:r>
            <w:r>
              <w:rPr>
                <w:rFonts w:hint="eastAsia" w:ascii="楷体_GB2312" w:hAnsi="楷体_GB2312" w:eastAsia="楷体_GB2312" w:cs="楷体_GB2312"/>
                <w:b/>
                <w:color w:val="000000"/>
                <w:kern w:val="0"/>
                <w:sz w:val="21"/>
                <w:szCs w:val="21"/>
                <w:highlight w:val="none"/>
                <w:u w:val="single"/>
              </w:rPr>
              <w:t>到期日</w:t>
            </w:r>
            <w:r>
              <w:rPr>
                <w:rFonts w:hint="eastAsia" w:ascii="楷体_GB2312" w:hAnsi="楷体_GB2312" w:eastAsia="楷体_GB2312" w:cs="楷体_GB2312"/>
                <w:b/>
                <w:color w:val="000000"/>
                <w:kern w:val="0"/>
                <w:sz w:val="21"/>
                <w:szCs w:val="21"/>
                <w:highlight w:val="none"/>
                <w:u w:val="single"/>
                <w:lang w:val="en-US" w:eastAsia="zh-CN"/>
              </w:rPr>
              <w:t>/到期日</w:t>
            </w:r>
            <w:r>
              <w:rPr>
                <w:rFonts w:hint="eastAsia" w:ascii="楷体_GB2312" w:hAnsi="楷体_GB2312" w:eastAsia="楷体_GB2312" w:cs="楷体_GB2312"/>
                <w:b/>
                <w:color w:val="000000"/>
                <w:kern w:val="0"/>
                <w:sz w:val="21"/>
                <w:szCs w:val="21"/>
                <w:highlight w:val="none"/>
                <w:lang w:eastAsia="zh-CN"/>
              </w:rPr>
              <w:t>】</w:t>
            </w:r>
            <w:r>
              <w:rPr>
                <w:rStyle w:val="48"/>
                <w:rFonts w:hint="eastAsia" w:ascii="楷体_GB2312" w:hAnsi="楷体_GB2312" w:eastAsia="楷体_GB2312" w:cs="楷体_GB2312"/>
                <w:b/>
                <w:color w:val="000000"/>
                <w:kern w:val="0"/>
                <w:sz w:val="21"/>
                <w:szCs w:val="21"/>
                <w:highlight w:val="none"/>
                <w:lang w:eastAsia="zh-CN"/>
              </w:rPr>
              <w:footnoteReference w:id="64"/>
            </w:r>
          </w:p>
        </w:tc>
        <w:tc>
          <w:tcPr>
            <w:tcW w:w="1701" w:type="dxa"/>
            <w:noWrap w:val="0"/>
            <w:vAlign w:val="center"/>
          </w:tcPr>
          <w:p>
            <w:pPr>
              <w:widowControl/>
              <w:spacing w:after="0" w:line="240" w:lineRule="auto"/>
              <w:jc w:val="center"/>
              <w:rPr>
                <w:rFonts w:hint="eastAsia" w:ascii="楷体_GB2312" w:hAnsi="楷体_GB2312" w:eastAsia="楷体_GB2312" w:cs="楷体_GB2312"/>
                <w:b/>
                <w:color w:val="000000"/>
                <w:kern w:val="0"/>
                <w:sz w:val="21"/>
                <w:szCs w:val="21"/>
                <w:highlight w:val="none"/>
                <w:lang w:eastAsia="zh-CN"/>
              </w:rPr>
            </w:pPr>
            <w:r>
              <w:rPr>
                <w:rFonts w:hint="eastAsia" w:ascii="楷体_GB2312" w:hAnsi="楷体_GB2312" w:eastAsia="楷体_GB2312" w:cs="楷体_GB2312"/>
                <w:b/>
                <w:color w:val="000000"/>
                <w:kern w:val="0"/>
                <w:sz w:val="21"/>
                <w:szCs w:val="21"/>
                <w:highlight w:val="none"/>
                <w:lang w:eastAsia="zh-CN"/>
              </w:rPr>
              <w:t>还本付息方式</w:t>
            </w:r>
          </w:p>
        </w:tc>
        <w:tc>
          <w:tcPr>
            <w:tcW w:w="1020" w:type="dxa"/>
            <w:noWrap w:val="0"/>
            <w:vAlign w:val="center"/>
          </w:tcPr>
          <w:p>
            <w:pPr>
              <w:widowControl/>
              <w:spacing w:after="0" w:line="240" w:lineRule="auto"/>
              <w:jc w:val="center"/>
              <w:rPr>
                <w:rFonts w:hint="eastAsia" w:ascii="楷体_GB2312" w:hAnsi="楷体_GB2312" w:eastAsia="楷体_GB2312" w:cs="楷体_GB2312"/>
                <w:b/>
                <w:color w:val="000000"/>
                <w:kern w:val="0"/>
                <w:sz w:val="21"/>
                <w:szCs w:val="21"/>
                <w:highlight w:val="none"/>
              </w:rPr>
            </w:pPr>
            <w:r>
              <w:rPr>
                <w:rFonts w:hint="eastAsia" w:ascii="楷体_GB2312" w:hAnsi="楷体_GB2312" w:eastAsia="楷体_GB2312" w:cs="楷体_GB2312"/>
                <w:b/>
                <w:color w:val="000000"/>
                <w:kern w:val="0"/>
                <w:sz w:val="21"/>
                <w:szCs w:val="21"/>
                <w:highlight w:val="none"/>
              </w:rPr>
              <w:t>评级</w:t>
            </w:r>
          </w:p>
          <w:p>
            <w:pPr>
              <w:widowControl/>
              <w:spacing w:after="0" w:line="240" w:lineRule="auto"/>
              <w:jc w:val="center"/>
              <w:rPr>
                <w:rFonts w:hint="eastAsia" w:eastAsia="楷体_GB2312"/>
                <w:sz w:val="21"/>
                <w:szCs w:val="21"/>
                <w:lang w:eastAsia="zh-CN"/>
              </w:rPr>
            </w:pPr>
            <w:r>
              <w:rPr>
                <w:rFonts w:hint="eastAsia" w:ascii="楷体_GB2312" w:hAnsi="楷体_GB2312" w:eastAsia="楷体_GB2312" w:cs="楷体_GB2312"/>
                <w:b/>
                <w:color w:val="000000"/>
                <w:kern w:val="0"/>
                <w:sz w:val="21"/>
                <w:szCs w:val="21"/>
                <w:highlight w:val="none"/>
                <w:lang w:eastAsia="zh-CN"/>
              </w:rPr>
              <w:t>（</w:t>
            </w:r>
            <w:r>
              <w:rPr>
                <w:rFonts w:hint="eastAsia" w:ascii="楷体_GB2312" w:hAnsi="楷体_GB2312" w:eastAsia="楷体_GB2312" w:cs="楷体_GB2312"/>
                <w:b/>
                <w:color w:val="000000"/>
                <w:kern w:val="0"/>
                <w:sz w:val="21"/>
                <w:szCs w:val="21"/>
                <w:highlight w:val="none"/>
                <w:lang w:val="en-US" w:eastAsia="zh-CN"/>
              </w:rPr>
              <w:t>如有</w:t>
            </w:r>
            <w:r>
              <w:rPr>
                <w:rFonts w:hint="eastAsia" w:ascii="楷体_GB2312" w:hAnsi="楷体_GB2312" w:eastAsia="楷体_GB2312" w:cs="楷体_GB2312"/>
                <w:b/>
                <w:color w:val="000000"/>
                <w:kern w:val="0"/>
                <w:sz w:val="21"/>
                <w:szCs w:val="21"/>
                <w:highlight w:val="none"/>
                <w:lang w:eastAsia="zh-CN"/>
              </w:rPr>
              <w:t>）</w:t>
            </w:r>
          </w:p>
        </w:tc>
        <w:tc>
          <w:tcPr>
            <w:tcW w:w="737" w:type="dxa"/>
            <w:noWrap w:val="0"/>
            <w:vAlign w:val="center"/>
          </w:tcPr>
          <w:p>
            <w:pPr>
              <w:widowControl/>
              <w:spacing w:after="0" w:line="240" w:lineRule="auto"/>
              <w:jc w:val="center"/>
              <w:rPr>
                <w:rFonts w:hint="eastAsia" w:ascii="楷体_GB2312" w:hAnsi="楷体_GB2312" w:eastAsia="楷体_GB2312" w:cs="楷体_GB2312"/>
                <w:b/>
                <w:color w:val="000000"/>
                <w:kern w:val="0"/>
                <w:sz w:val="21"/>
                <w:szCs w:val="21"/>
                <w:highlight w:val="none"/>
              </w:rPr>
            </w:pPr>
            <w:r>
              <w:rPr>
                <w:rFonts w:hint="eastAsia" w:ascii="楷体_GB2312" w:hAnsi="楷体_GB2312" w:eastAsia="楷体_GB2312" w:cs="楷体_GB2312"/>
                <w:b/>
                <w:color w:val="000000"/>
                <w:kern w:val="0"/>
                <w:sz w:val="21"/>
                <w:szCs w:val="21"/>
                <w:highlight w:val="none"/>
              </w:rPr>
              <w:t>利率类型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rPr>
            </w:pPr>
            <w:r>
              <w:rPr>
                <w:rFonts w:hint="eastAsia" w:ascii="楷体_GB2312" w:hAnsi="楷体_GB2312" w:eastAsia="楷体_GB2312" w:cs="楷体_GB2312"/>
                <w:color w:val="000000"/>
                <w:kern w:val="0"/>
                <w:sz w:val="21"/>
                <w:szCs w:val="21"/>
                <w:highlight w:val="none"/>
              </w:rPr>
              <w:t>优先级</w:t>
            </w:r>
          </w:p>
        </w:tc>
        <w:tc>
          <w:tcPr>
            <w:tcW w:w="1304" w:type="dxa"/>
            <w:noWrap w:val="0"/>
            <w:vAlign w:val="center"/>
          </w:tcPr>
          <w:p>
            <w:pPr>
              <w:widowControl/>
              <w:spacing w:after="0" w:line="240" w:lineRule="auto"/>
              <w:jc w:val="center"/>
              <w:rPr>
                <w:rFonts w:hint="default"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lang w:val="en-US" w:eastAsia="zh-CN"/>
              </w:rPr>
              <w:t>【</w:t>
            </w:r>
            <w:r>
              <w:rPr>
                <w:rFonts w:hint="eastAsia" w:ascii="楷体_GB2312" w:hAnsi="楷体_GB2312" w:eastAsia="楷体_GB2312" w:cs="楷体_GB2312"/>
                <w:color w:val="000000"/>
                <w:kern w:val="0"/>
                <w:sz w:val="21"/>
                <w:szCs w:val="21"/>
                <w:u w:val="single"/>
                <w:lang w:val="en-US" w:eastAsia="zh-CN"/>
              </w:rPr>
              <w:t>本期发行/存续</w:t>
            </w:r>
            <w:r>
              <w:rPr>
                <w:rFonts w:hint="eastAsia" w:ascii="楷体_GB2312" w:hAnsi="楷体_GB2312" w:eastAsia="楷体_GB2312" w:cs="楷体_GB2312"/>
                <w:color w:val="000000"/>
                <w:kern w:val="0"/>
                <w:sz w:val="21"/>
                <w:szCs w:val="21"/>
                <w:lang w:val="en-US" w:eastAsia="zh-CN"/>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highlight w:val="none"/>
                <w:lang w:val="en-US" w:eastAsia="zh-CN"/>
              </w:rPr>
              <w:t xml:space="preserve">【  】  </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highlight w:val="none"/>
                <w:lang w:val="en-US" w:eastAsia="zh-CN"/>
              </w:rPr>
              <w:t xml:space="preserve">【  】  </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lang w:eastAsia="zh-CN"/>
              </w:rPr>
              <w:t>【</w:t>
            </w:r>
            <w:r>
              <w:rPr>
                <w:rFonts w:hint="eastAsia" w:ascii="楷体_GB2312" w:hAnsi="楷体_GB2312" w:eastAsia="楷体_GB2312" w:cs="楷体_GB2312"/>
                <w:color w:val="000000"/>
                <w:kern w:val="0"/>
                <w:sz w:val="21"/>
                <w:szCs w:val="21"/>
                <w:u w:val="single"/>
                <w:lang w:val="en-US" w:eastAsia="zh-CN"/>
              </w:rPr>
              <w:t xml:space="preserve"> </w:t>
            </w:r>
            <w:r>
              <w:rPr>
                <w:rFonts w:hint="eastAsia" w:ascii="楷体_GB2312" w:hAnsi="楷体_GB2312" w:eastAsia="楷体_GB2312" w:cs="楷体_GB2312"/>
                <w:color w:val="000000"/>
                <w:kern w:val="0"/>
                <w:sz w:val="21"/>
                <w:szCs w:val="21"/>
                <w:lang w:eastAsia="zh-CN"/>
              </w:rPr>
              <w:t>】</w:t>
            </w:r>
          </w:p>
        </w:tc>
        <w:tc>
          <w:tcPr>
            <w:tcW w:w="2438"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rPr>
            </w:pPr>
            <w:r>
              <w:rPr>
                <w:rFonts w:hint="eastAsia" w:ascii="楷体_GB2312" w:hAnsi="楷体_GB2312" w:eastAsia="楷体_GB2312" w:cs="楷体_GB2312"/>
                <w:color w:val="000000"/>
                <w:kern w:val="0"/>
                <w:sz w:val="21"/>
                <w:szCs w:val="21"/>
                <w:highlight w:val="none"/>
              </w:rPr>
              <w:t>【</w:t>
            </w:r>
            <w:r>
              <w:rPr>
                <w:rFonts w:hint="eastAsia" w:ascii="楷体_GB2312" w:hAnsi="楷体_GB2312" w:eastAsia="楷体_GB2312" w:cs="楷体_GB2312"/>
                <w:color w:val="000000"/>
                <w:kern w:val="0"/>
                <w:sz w:val="21"/>
                <w:szCs w:val="21"/>
                <w:highlight w:val="none"/>
                <w:lang w:val="en-US" w:eastAsia="zh-CN"/>
              </w:rPr>
              <w:t xml:space="preserve">  </w:t>
            </w:r>
            <w:r>
              <w:rPr>
                <w:rFonts w:hint="eastAsia" w:ascii="楷体_GB2312" w:hAnsi="楷体_GB2312" w:eastAsia="楷体_GB2312" w:cs="楷体_GB2312"/>
                <w:color w:val="000000"/>
                <w:kern w:val="0"/>
                <w:sz w:val="21"/>
                <w:szCs w:val="21"/>
                <w:highlight w:val="none"/>
              </w:rPr>
              <w:t>】年</w:t>
            </w:r>
            <w:r>
              <w:rPr>
                <w:rFonts w:hint="eastAsia" w:ascii="楷体_GB2312" w:hAnsi="楷体_GB2312" w:eastAsia="楷体_GB2312" w:cs="楷体_GB2312"/>
                <w:color w:val="000000"/>
                <w:kern w:val="0"/>
                <w:sz w:val="21"/>
                <w:szCs w:val="21"/>
                <w:highlight w:val="none"/>
                <w:lang w:val="en-US" w:eastAsia="zh-CN"/>
              </w:rPr>
              <w:t>【 】</w:t>
            </w:r>
            <w:r>
              <w:rPr>
                <w:rFonts w:hint="eastAsia" w:ascii="楷体_GB2312" w:hAnsi="楷体_GB2312" w:eastAsia="楷体_GB2312" w:cs="楷体_GB2312"/>
                <w:color w:val="000000"/>
                <w:kern w:val="0"/>
                <w:sz w:val="21"/>
                <w:szCs w:val="21"/>
                <w:highlight w:val="none"/>
              </w:rPr>
              <w:t>月【</w:t>
            </w:r>
            <w:r>
              <w:rPr>
                <w:rFonts w:hint="eastAsia" w:ascii="楷体_GB2312" w:hAnsi="楷体_GB2312" w:eastAsia="楷体_GB2312" w:cs="楷体_GB2312"/>
                <w:color w:val="000000"/>
                <w:kern w:val="0"/>
                <w:sz w:val="21"/>
                <w:szCs w:val="21"/>
                <w:highlight w:val="none"/>
                <w:lang w:val="en-US" w:eastAsia="zh-CN"/>
              </w:rPr>
              <w:t xml:space="preserve"> </w:t>
            </w:r>
            <w:r>
              <w:rPr>
                <w:rFonts w:hint="eastAsia" w:ascii="楷体_GB2312" w:hAnsi="楷体_GB2312" w:eastAsia="楷体_GB2312" w:cs="楷体_GB2312"/>
                <w:color w:val="000000"/>
                <w:kern w:val="0"/>
                <w:sz w:val="21"/>
                <w:szCs w:val="21"/>
                <w:highlight w:val="none"/>
              </w:rPr>
              <w:t>】日</w:t>
            </w:r>
          </w:p>
        </w:tc>
        <w:tc>
          <w:tcPr>
            <w:tcW w:w="1701"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eastAsia="zh-CN"/>
              </w:rPr>
            </w:pPr>
            <w:r>
              <w:rPr>
                <w:rFonts w:hint="eastAsia" w:ascii="楷体_GB2312" w:hAnsi="楷体_GB2312" w:eastAsia="楷体_GB2312" w:cs="楷体_GB2312"/>
                <w:color w:val="000000"/>
                <w:kern w:val="0"/>
                <w:sz w:val="21"/>
                <w:szCs w:val="21"/>
                <w:lang w:eastAsia="zh-CN"/>
              </w:rPr>
              <w:t>【</w:t>
            </w:r>
            <w:r>
              <w:rPr>
                <w:rFonts w:hint="eastAsia" w:ascii="楷体_GB2312" w:hAnsi="楷体_GB2312" w:eastAsia="楷体_GB2312" w:cs="楷体_GB2312"/>
                <w:color w:val="000000"/>
                <w:kern w:val="0"/>
                <w:sz w:val="21"/>
                <w:szCs w:val="21"/>
                <w:u w:val="single"/>
                <w:lang w:val="en-US" w:eastAsia="zh-CN"/>
              </w:rPr>
              <w:t xml:space="preserve">  </w:t>
            </w:r>
            <w:r>
              <w:rPr>
                <w:rFonts w:hint="eastAsia" w:ascii="楷体_GB2312" w:hAnsi="楷体_GB2312" w:eastAsia="楷体_GB2312" w:cs="楷体_GB2312"/>
                <w:color w:val="000000"/>
                <w:kern w:val="0"/>
                <w:sz w:val="21"/>
                <w:szCs w:val="21"/>
                <w:lang w:eastAsia="zh-CN"/>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rPr>
            </w:pPr>
            <w:r>
              <w:rPr>
                <w:rFonts w:hint="eastAsia" w:ascii="楷体_GB2312" w:hAnsi="楷体_GB2312" w:eastAsia="楷体_GB2312" w:cs="楷体_GB2312"/>
                <w:color w:val="000000"/>
                <w:kern w:val="0"/>
                <w:sz w:val="21"/>
                <w:szCs w:val="21"/>
                <w:lang w:eastAsia="zh-CN"/>
              </w:rPr>
              <w:t>【</w:t>
            </w:r>
            <w:r>
              <w:rPr>
                <w:rFonts w:hint="eastAsia" w:ascii="楷体_GB2312" w:hAnsi="楷体_GB2312" w:eastAsia="楷体_GB2312" w:cs="楷体_GB2312"/>
                <w:color w:val="000000"/>
                <w:kern w:val="0"/>
                <w:sz w:val="21"/>
                <w:szCs w:val="21"/>
                <w:u w:val="single"/>
                <w:lang w:val="en-US" w:eastAsia="zh-CN"/>
              </w:rPr>
              <w:t xml:space="preserve">  </w:t>
            </w:r>
            <w:r>
              <w:rPr>
                <w:rFonts w:hint="eastAsia" w:ascii="楷体_GB2312" w:hAnsi="楷体_GB2312" w:eastAsia="楷体_GB2312" w:cs="楷体_GB2312"/>
                <w:color w:val="000000"/>
                <w:kern w:val="0"/>
                <w:sz w:val="21"/>
                <w:szCs w:val="21"/>
                <w:lang w:eastAsia="zh-CN"/>
              </w:rPr>
              <w:t>】</w:t>
            </w:r>
          </w:p>
        </w:tc>
        <w:tc>
          <w:tcPr>
            <w:tcW w:w="737" w:type="dxa"/>
            <w:noWrap w:val="0"/>
            <w:vAlign w:val="center"/>
          </w:tcPr>
          <w:p>
            <w:pPr>
              <w:widowControl/>
              <w:spacing w:after="0" w:line="240" w:lineRule="auto"/>
              <w:jc w:val="center"/>
              <w:rPr>
                <w:rFonts w:hint="default"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highlight w:val="none"/>
                <w:lang w:val="en-US" w:eastAsia="zh-CN"/>
              </w:rPr>
              <w:t>固定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rPr>
            </w:pPr>
            <w:r>
              <w:rPr>
                <w:rFonts w:hint="eastAsia" w:ascii="楷体_GB2312" w:hAnsi="楷体_GB2312" w:eastAsia="楷体_GB2312" w:cs="楷体_GB2312"/>
                <w:color w:val="000000"/>
                <w:kern w:val="0"/>
                <w:sz w:val="21"/>
                <w:szCs w:val="21"/>
                <w:highlight w:val="none"/>
              </w:rPr>
              <w:t>次级</w:t>
            </w:r>
          </w:p>
        </w:tc>
        <w:tc>
          <w:tcPr>
            <w:tcW w:w="1304" w:type="dxa"/>
            <w:noWrap w:val="0"/>
            <w:vAlign w:val="center"/>
          </w:tcPr>
          <w:p>
            <w:pPr>
              <w:widowControl/>
              <w:spacing w:after="0" w:line="240" w:lineRule="auto"/>
              <w:jc w:val="center"/>
              <w:rPr>
                <w:rFonts w:hint="default"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lang w:val="en-US" w:eastAsia="zh-CN"/>
              </w:rPr>
              <w:t>【</w:t>
            </w:r>
            <w:r>
              <w:rPr>
                <w:rFonts w:hint="eastAsia" w:ascii="楷体_GB2312" w:hAnsi="楷体_GB2312" w:eastAsia="楷体_GB2312" w:cs="楷体_GB2312"/>
                <w:color w:val="000000"/>
                <w:kern w:val="0"/>
                <w:sz w:val="21"/>
                <w:szCs w:val="21"/>
                <w:u w:val="single"/>
                <w:lang w:val="en-US" w:eastAsia="zh-CN"/>
              </w:rPr>
              <w:t>本期发行/存续</w:t>
            </w:r>
            <w:r>
              <w:rPr>
                <w:rFonts w:hint="eastAsia" w:ascii="楷体_GB2312" w:hAnsi="楷体_GB2312" w:eastAsia="楷体_GB2312" w:cs="楷体_GB2312"/>
                <w:color w:val="000000"/>
                <w:kern w:val="0"/>
                <w:sz w:val="21"/>
                <w:szCs w:val="21"/>
                <w:lang w:val="en-US" w:eastAsia="zh-CN"/>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highlight w:val="none"/>
                <w:lang w:val="en-US" w:eastAsia="zh-CN"/>
              </w:rPr>
              <w:t xml:space="preserve">【  】  </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highlight w:val="none"/>
                <w:lang w:val="en-US" w:eastAsia="zh-CN"/>
              </w:rPr>
              <w:t xml:space="preserve">【  】  </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lang w:eastAsia="zh-CN"/>
              </w:rPr>
              <w:t>【</w:t>
            </w:r>
            <w:r>
              <w:rPr>
                <w:rFonts w:hint="eastAsia" w:ascii="楷体_GB2312" w:hAnsi="楷体_GB2312" w:eastAsia="楷体_GB2312" w:cs="楷体_GB2312"/>
                <w:color w:val="000000"/>
                <w:kern w:val="0"/>
                <w:sz w:val="21"/>
                <w:szCs w:val="21"/>
                <w:u w:val="single"/>
                <w:lang w:val="en-US" w:eastAsia="zh-CN"/>
              </w:rPr>
              <w:t xml:space="preserve"> </w:t>
            </w:r>
            <w:r>
              <w:rPr>
                <w:rFonts w:hint="eastAsia" w:ascii="楷体_GB2312" w:hAnsi="楷体_GB2312" w:eastAsia="楷体_GB2312" w:cs="楷体_GB2312"/>
                <w:color w:val="000000"/>
                <w:kern w:val="0"/>
                <w:sz w:val="21"/>
                <w:szCs w:val="21"/>
                <w:lang w:eastAsia="zh-CN"/>
              </w:rPr>
              <w:t>】</w:t>
            </w:r>
          </w:p>
        </w:tc>
        <w:tc>
          <w:tcPr>
            <w:tcW w:w="2438"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rPr>
            </w:pPr>
            <w:r>
              <w:rPr>
                <w:rFonts w:hint="eastAsia" w:ascii="楷体_GB2312" w:hAnsi="楷体_GB2312" w:eastAsia="楷体_GB2312" w:cs="楷体_GB2312"/>
                <w:color w:val="000000"/>
                <w:kern w:val="0"/>
                <w:sz w:val="21"/>
                <w:szCs w:val="21"/>
                <w:highlight w:val="none"/>
              </w:rPr>
              <w:t>【</w:t>
            </w:r>
            <w:r>
              <w:rPr>
                <w:rFonts w:hint="eastAsia" w:ascii="楷体_GB2312" w:hAnsi="楷体_GB2312" w:eastAsia="楷体_GB2312" w:cs="楷体_GB2312"/>
                <w:color w:val="000000"/>
                <w:kern w:val="0"/>
                <w:sz w:val="21"/>
                <w:szCs w:val="21"/>
                <w:highlight w:val="none"/>
                <w:lang w:val="en-US" w:eastAsia="zh-CN"/>
              </w:rPr>
              <w:t xml:space="preserve">  </w:t>
            </w:r>
            <w:r>
              <w:rPr>
                <w:rFonts w:hint="eastAsia" w:ascii="楷体_GB2312" w:hAnsi="楷体_GB2312" w:eastAsia="楷体_GB2312" w:cs="楷体_GB2312"/>
                <w:color w:val="000000"/>
                <w:kern w:val="0"/>
                <w:sz w:val="21"/>
                <w:szCs w:val="21"/>
                <w:highlight w:val="none"/>
              </w:rPr>
              <w:t>】年</w:t>
            </w:r>
            <w:r>
              <w:rPr>
                <w:rFonts w:hint="eastAsia" w:ascii="楷体_GB2312" w:hAnsi="楷体_GB2312" w:eastAsia="楷体_GB2312" w:cs="楷体_GB2312"/>
                <w:color w:val="000000"/>
                <w:kern w:val="0"/>
                <w:sz w:val="21"/>
                <w:szCs w:val="21"/>
                <w:highlight w:val="none"/>
                <w:lang w:val="en-US" w:eastAsia="zh-CN"/>
              </w:rPr>
              <w:t>【 】</w:t>
            </w:r>
            <w:r>
              <w:rPr>
                <w:rFonts w:hint="eastAsia" w:ascii="楷体_GB2312" w:hAnsi="楷体_GB2312" w:eastAsia="楷体_GB2312" w:cs="楷体_GB2312"/>
                <w:color w:val="000000"/>
                <w:kern w:val="0"/>
                <w:sz w:val="21"/>
                <w:szCs w:val="21"/>
                <w:highlight w:val="none"/>
              </w:rPr>
              <w:t>月【</w:t>
            </w:r>
            <w:r>
              <w:rPr>
                <w:rFonts w:hint="eastAsia" w:ascii="楷体_GB2312" w:hAnsi="楷体_GB2312" w:eastAsia="楷体_GB2312" w:cs="楷体_GB2312"/>
                <w:color w:val="000000"/>
                <w:kern w:val="0"/>
                <w:sz w:val="21"/>
                <w:szCs w:val="21"/>
                <w:highlight w:val="none"/>
                <w:lang w:val="en-US" w:eastAsia="zh-CN"/>
              </w:rPr>
              <w:t xml:space="preserve"> </w:t>
            </w:r>
            <w:r>
              <w:rPr>
                <w:rFonts w:hint="eastAsia" w:ascii="楷体_GB2312" w:hAnsi="楷体_GB2312" w:eastAsia="楷体_GB2312" w:cs="楷体_GB2312"/>
                <w:color w:val="000000"/>
                <w:kern w:val="0"/>
                <w:sz w:val="21"/>
                <w:szCs w:val="21"/>
                <w:highlight w:val="none"/>
              </w:rPr>
              <w:t>】日</w:t>
            </w:r>
          </w:p>
        </w:tc>
        <w:tc>
          <w:tcPr>
            <w:tcW w:w="1701"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lang w:eastAsia="zh-CN"/>
              </w:rPr>
              <w:t>【</w:t>
            </w:r>
            <w:r>
              <w:rPr>
                <w:rFonts w:hint="eastAsia" w:ascii="楷体_GB2312" w:hAnsi="楷体_GB2312" w:eastAsia="楷体_GB2312" w:cs="楷体_GB2312"/>
                <w:color w:val="000000"/>
                <w:kern w:val="0"/>
                <w:sz w:val="21"/>
                <w:szCs w:val="21"/>
                <w:u w:val="single"/>
                <w:lang w:val="en-US" w:eastAsia="zh-CN"/>
              </w:rPr>
              <w:t xml:space="preserve">  </w:t>
            </w:r>
            <w:r>
              <w:rPr>
                <w:rFonts w:hint="eastAsia" w:ascii="楷体_GB2312" w:hAnsi="楷体_GB2312" w:eastAsia="楷体_GB2312" w:cs="楷体_GB2312"/>
                <w:color w:val="000000"/>
                <w:kern w:val="0"/>
                <w:sz w:val="21"/>
                <w:szCs w:val="21"/>
                <w:lang w:eastAsia="zh-CN"/>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rPr>
            </w:pPr>
            <w:r>
              <w:rPr>
                <w:rFonts w:hint="eastAsia" w:ascii="楷体_GB2312" w:hAnsi="楷体_GB2312" w:eastAsia="楷体_GB2312" w:cs="楷体_GB2312"/>
                <w:color w:val="000000"/>
                <w:kern w:val="0"/>
                <w:sz w:val="21"/>
                <w:szCs w:val="21"/>
                <w:highlight w:val="none"/>
                <w:lang w:val="en-US" w:eastAsia="zh-CN"/>
              </w:rPr>
              <w:t>-</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rPr>
            </w:pPr>
            <w:r>
              <w:rPr>
                <w:rFonts w:hint="eastAsia" w:ascii="楷体_GB2312" w:hAnsi="楷体_GB2312" w:eastAsia="楷体_GB2312" w:cs="楷体_GB2312"/>
                <w:color w:val="000000"/>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191"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b/>
                <w:bCs/>
                <w:color w:val="000000"/>
                <w:kern w:val="0"/>
                <w:sz w:val="21"/>
                <w:szCs w:val="21"/>
                <w:highlight w:val="none"/>
                <w:lang w:val="en-US" w:eastAsia="zh-CN"/>
              </w:rPr>
              <w:t>合计</w:t>
            </w:r>
          </w:p>
        </w:tc>
        <w:tc>
          <w:tcPr>
            <w:tcW w:w="1304" w:type="dxa"/>
            <w:noWrap w:val="0"/>
            <w:vAlign w:val="center"/>
          </w:tcPr>
          <w:p>
            <w:pPr>
              <w:widowControl/>
              <w:spacing w:after="0" w:line="240" w:lineRule="auto"/>
              <w:jc w:val="center"/>
              <w:rPr>
                <w:rFonts w:hint="default" w:ascii="楷体_GB2312" w:hAnsi="楷体_GB2312" w:eastAsia="楷体_GB2312" w:cs="楷体_GB2312"/>
                <w:color w:val="000000"/>
                <w:kern w:val="0"/>
                <w:sz w:val="21"/>
                <w:szCs w:val="21"/>
                <w:lang w:val="en-US" w:eastAsia="zh-CN"/>
              </w:rPr>
            </w:pPr>
            <w:r>
              <w:rPr>
                <w:rFonts w:hint="eastAsia" w:ascii="楷体_GB2312" w:hAnsi="楷体_GB2312" w:eastAsia="楷体_GB2312" w:cs="楷体_GB2312"/>
                <w:color w:val="000000"/>
                <w:kern w:val="0"/>
                <w:sz w:val="21"/>
                <w:szCs w:val="21"/>
                <w:lang w:val="en-US" w:eastAsia="zh-CN"/>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highlight w:val="none"/>
                <w:lang w:val="en-US" w:eastAsia="zh-CN"/>
              </w:rPr>
              <w:t>【    】</w:t>
            </w:r>
          </w:p>
        </w:tc>
        <w:tc>
          <w:tcPr>
            <w:tcW w:w="1020" w:type="dxa"/>
            <w:noWrap w:val="0"/>
            <w:vAlign w:val="center"/>
          </w:tcPr>
          <w:p>
            <w:pPr>
              <w:widowControl/>
              <w:spacing w:after="0" w:line="240" w:lineRule="auto"/>
              <w:jc w:val="center"/>
              <w:rPr>
                <w:rFonts w:hint="default"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highlight w:val="none"/>
                <w:lang w:val="en-US" w:eastAsia="zh-CN"/>
              </w:rPr>
              <w:t>100%</w:t>
            </w:r>
          </w:p>
        </w:tc>
        <w:tc>
          <w:tcPr>
            <w:tcW w:w="737" w:type="dxa"/>
            <w:noWrap w:val="0"/>
            <w:vAlign w:val="center"/>
          </w:tcPr>
          <w:p>
            <w:pPr>
              <w:widowControl/>
              <w:spacing w:after="0" w:line="240" w:lineRule="auto"/>
              <w:jc w:val="center"/>
              <w:rPr>
                <w:rFonts w:hint="default" w:ascii="楷体_GB2312" w:hAnsi="楷体_GB2312" w:eastAsia="楷体_GB2312" w:cs="楷体_GB2312"/>
                <w:color w:val="000000"/>
                <w:kern w:val="0"/>
                <w:sz w:val="21"/>
                <w:szCs w:val="21"/>
                <w:lang w:val="en-US" w:eastAsia="zh-CN"/>
              </w:rPr>
            </w:pPr>
            <w:r>
              <w:rPr>
                <w:rFonts w:hint="eastAsia" w:ascii="楷体_GB2312" w:hAnsi="楷体_GB2312" w:eastAsia="楷体_GB2312" w:cs="楷体_GB2312"/>
                <w:color w:val="000000"/>
                <w:kern w:val="0"/>
                <w:sz w:val="21"/>
                <w:szCs w:val="21"/>
                <w:lang w:val="en-US" w:eastAsia="zh-CN"/>
              </w:rPr>
              <w:t>-</w:t>
            </w:r>
          </w:p>
        </w:tc>
        <w:tc>
          <w:tcPr>
            <w:tcW w:w="2438"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rPr>
            </w:pPr>
            <w:r>
              <w:rPr>
                <w:rFonts w:hint="eastAsia" w:ascii="楷体_GB2312" w:hAnsi="楷体_GB2312" w:eastAsia="楷体_GB2312" w:cs="楷体_GB2312"/>
                <w:color w:val="000000"/>
                <w:kern w:val="0"/>
                <w:sz w:val="21"/>
                <w:szCs w:val="21"/>
                <w:lang w:val="en-US" w:eastAsia="zh-CN"/>
              </w:rPr>
              <w:t>-</w:t>
            </w:r>
          </w:p>
        </w:tc>
        <w:tc>
          <w:tcPr>
            <w:tcW w:w="1701"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lang w:eastAsia="zh-CN"/>
              </w:rPr>
            </w:pPr>
            <w:r>
              <w:rPr>
                <w:rFonts w:hint="eastAsia" w:ascii="楷体_GB2312" w:hAnsi="楷体_GB2312" w:eastAsia="楷体_GB2312" w:cs="楷体_GB2312"/>
                <w:color w:val="000000"/>
                <w:kern w:val="0"/>
                <w:sz w:val="21"/>
                <w:szCs w:val="21"/>
                <w:lang w:val="en-US" w:eastAsia="zh-CN"/>
              </w:rPr>
              <w:t>-</w:t>
            </w:r>
          </w:p>
        </w:tc>
        <w:tc>
          <w:tcPr>
            <w:tcW w:w="1020"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lang w:val="en-US" w:eastAsia="zh-CN"/>
              </w:rPr>
            </w:pPr>
            <w:r>
              <w:rPr>
                <w:rFonts w:hint="eastAsia" w:ascii="楷体_GB2312" w:hAnsi="楷体_GB2312" w:eastAsia="楷体_GB2312" w:cs="楷体_GB2312"/>
                <w:color w:val="000000"/>
                <w:kern w:val="0"/>
                <w:sz w:val="21"/>
                <w:szCs w:val="21"/>
                <w:lang w:val="en-US" w:eastAsia="zh-CN"/>
              </w:rPr>
              <w:t>-</w:t>
            </w:r>
          </w:p>
        </w:tc>
        <w:tc>
          <w:tcPr>
            <w:tcW w:w="737" w:type="dxa"/>
            <w:noWrap w:val="0"/>
            <w:vAlign w:val="center"/>
          </w:tcPr>
          <w:p>
            <w:pPr>
              <w:widowControl/>
              <w:spacing w:after="0" w:line="240" w:lineRule="auto"/>
              <w:jc w:val="center"/>
              <w:rPr>
                <w:rFonts w:hint="eastAsia" w:ascii="楷体_GB2312" w:hAnsi="楷体_GB2312" w:eastAsia="楷体_GB2312" w:cs="楷体_GB2312"/>
                <w:color w:val="000000"/>
                <w:kern w:val="0"/>
                <w:sz w:val="21"/>
                <w:szCs w:val="21"/>
                <w:highlight w:val="none"/>
              </w:rPr>
            </w:pPr>
            <w:r>
              <w:rPr>
                <w:rFonts w:hint="eastAsia" w:ascii="楷体_GB2312" w:hAnsi="楷体_GB2312" w:eastAsia="楷体_GB2312" w:cs="楷体_GB2312"/>
                <w:color w:val="000000"/>
                <w:kern w:val="0"/>
                <w:sz w:val="21"/>
                <w:szCs w:val="21"/>
                <w:lang w:val="en-US" w:eastAsia="zh-CN"/>
              </w:rPr>
              <w:t>-</w:t>
            </w:r>
          </w:p>
        </w:tc>
      </w:tr>
    </w:tbl>
    <w:p>
      <w:pPr>
        <w:keepNext w:val="0"/>
        <w:keepLines w:val="0"/>
        <w:pageBreakBefore w:val="0"/>
        <w:widowControl w:val="0"/>
        <w:kinsoku/>
        <w:wordWrap/>
        <w:overflowPunct/>
        <w:topLinePunct w:val="0"/>
        <w:bidi w:val="0"/>
        <w:snapToGrid/>
        <w:spacing w:before="157" w:beforeLines="50" w:after="157" w:afterLines="50" w:line="240" w:lineRule="atLeast"/>
        <w:jc w:val="center"/>
        <w:textAlignment w:val="auto"/>
        <w:rPr>
          <w:rFonts w:hint="eastAsia" w:ascii="楷体_GB2312" w:hAnsi="楷体_GB2312" w:eastAsia="楷体_GB2312" w:cs="楷体_GB2312"/>
          <w:kern w:val="0"/>
          <w:sz w:val="28"/>
          <w:szCs w:val="28"/>
        </w:rPr>
      </w:pPr>
    </w:p>
    <w:p>
      <w:pPr>
        <w:keepNext w:val="0"/>
        <w:keepLines w:val="0"/>
        <w:pageBreakBefore w:val="0"/>
        <w:widowControl w:val="0"/>
        <w:kinsoku/>
        <w:wordWrap/>
        <w:overflowPunct/>
        <w:topLinePunct w:val="0"/>
        <w:bidi w:val="0"/>
        <w:snapToGrid/>
        <w:spacing w:before="157" w:beforeLines="50" w:after="157" w:afterLines="50" w:line="240" w:lineRule="atLeast"/>
        <w:jc w:val="center"/>
        <w:textAlignment w:val="auto"/>
        <w:rPr>
          <w:rFonts w:hint="eastAsia" w:ascii="楷体_GB2312" w:hAnsi="楷体_GB2312" w:eastAsia="楷体_GB2312" w:cs="楷体_GB2312"/>
          <w:kern w:val="0"/>
          <w:sz w:val="28"/>
          <w:szCs w:val="28"/>
        </w:rPr>
        <w:sectPr>
          <w:footerReference r:id="rId18" w:type="default"/>
          <w:footnotePr>
            <w:numFmt w:val="decimal"/>
            <w:numRestart w:val="eachPage"/>
          </w:footnotePr>
          <w:pgSz w:w="11906" w:h="16838"/>
          <w:pgMar w:top="720" w:right="1803" w:bottom="720" w:left="1803" w:header="0" w:footer="0" w:gutter="0"/>
          <w:pgNumType w:fmt="decimal"/>
          <w:cols w:space="720" w:num="1"/>
          <w:docGrid w:type="lines" w:linePitch="312" w:charSpace="0"/>
        </w:sectPr>
      </w:pPr>
      <w:r>
        <w:rPr>
          <w:rFonts w:hint="eastAsia" w:ascii="楷体_GB2312" w:hAnsi="楷体_GB2312" w:eastAsia="楷体_GB2312" w:cs="楷体_GB2312"/>
          <w:kern w:val="0"/>
          <w:sz w:val="28"/>
          <w:szCs w:val="28"/>
        </w:rPr>
        <w:t>二</w:t>
      </w:r>
      <w:r>
        <w:rPr>
          <w:rFonts w:hint="eastAsia" w:ascii="楷体_GB2312" w:hAnsi="楷体_GB2312" w:eastAsia="楷体_GB2312" w:cs="楷体_GB2312"/>
          <w:kern w:val="0"/>
          <w:sz w:val="28"/>
          <w:szCs w:val="28"/>
          <w:lang w:eastAsia="zh-CN"/>
        </w:rPr>
        <w:t>〇</w:t>
      </w:r>
      <w:r>
        <w:rPr>
          <w:rFonts w:hint="eastAsia" w:ascii="楷体_GB2312" w:hAnsi="楷体_GB2312" w:eastAsia="楷体_GB2312" w:cs="楷体_GB2312"/>
          <w:kern w:val="0"/>
          <w:sz w:val="28"/>
          <w:szCs w:val="28"/>
        </w:rPr>
        <w:t>二【</w:t>
      </w:r>
      <w:r>
        <w:rPr>
          <w:rFonts w:hint="eastAsia" w:ascii="楷体_GB2312" w:hAnsi="楷体_GB2312" w:eastAsia="楷体_GB2312" w:cs="楷体_GB2312"/>
          <w:kern w:val="0"/>
          <w:sz w:val="28"/>
          <w:szCs w:val="28"/>
          <w:u w:val="single"/>
          <w:lang w:val="en-US" w:eastAsia="zh-CN"/>
        </w:rPr>
        <w:t xml:space="preserve"> </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kern w:val="0"/>
          <w:sz w:val="28"/>
          <w:szCs w:val="28"/>
        </w:rPr>
        <w:t>】年【</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kern w:val="0"/>
          <w:sz w:val="28"/>
          <w:szCs w:val="28"/>
        </w:rPr>
        <w:t>】月</w:t>
      </w:r>
      <w:bookmarkStart w:id="3923" w:name="_Toc26357"/>
    </w:p>
    <w:p>
      <w:pPr>
        <w:keepNext w:val="0"/>
        <w:keepLines w:val="0"/>
        <w:pageBreakBefore w:val="0"/>
        <w:kinsoku/>
        <w:wordWrap/>
        <w:overflowPunct/>
        <w:topLinePunct w:val="0"/>
        <w:autoSpaceDE/>
        <w:autoSpaceDN/>
        <w:bidi w:val="0"/>
        <w:adjustRightInd/>
        <w:snapToGrid/>
        <w:spacing w:after="0" w:line="240" w:lineRule="atLeast"/>
        <w:jc w:val="center"/>
        <w:textAlignment w:val="auto"/>
      </w:pPr>
      <w:r>
        <w:rPr>
          <w:rFonts w:hint="eastAsia" w:ascii="楷体_GB2312" w:hAnsi="楷体_GB2312" w:eastAsia="楷体_GB2312" w:cs="楷体_GB2312"/>
          <w:b/>
          <w:bCs/>
          <w:kern w:val="0"/>
          <w:sz w:val="30"/>
          <w:szCs w:val="30"/>
        </w:rPr>
        <w:t>目录</w:t>
      </w:r>
      <w:bookmarkEnd w:id="3923"/>
      <w:bookmarkStart w:id="3924" w:name="_Toc1191"/>
      <w:bookmarkStart w:id="3925" w:name="_Toc28421"/>
      <w:bookmarkStart w:id="3926" w:name="_Toc31447"/>
      <w:bookmarkStart w:id="3927" w:name="_Toc25032"/>
      <w:r>
        <w:fldChar w:fldCharType="begin"/>
      </w:r>
      <w:r>
        <w:instrText xml:space="preserve">TOC \o "1-3" \h \u </w:instrText>
      </w:r>
      <w:r>
        <w:fldChar w:fldCharType="separate"/>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_Toc11410 </w:instrText>
      </w:r>
      <w:r>
        <w:rPr>
          <w:b/>
          <w:bCs/>
        </w:rPr>
        <w:fldChar w:fldCharType="separate"/>
      </w:r>
      <w:r>
        <w:rPr>
          <w:rFonts w:hint="eastAsia" w:ascii="楷体_GB2312" w:hAnsi="楷体_GB2312" w:eastAsia="楷体_GB2312" w:cs="楷体_GB2312"/>
          <w:b/>
          <w:bCs/>
          <w:kern w:val="0"/>
          <w:szCs w:val="30"/>
        </w:rPr>
        <w:t>第一条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释义</w:t>
      </w:r>
      <w:r>
        <w:rPr>
          <w:b/>
          <w:bCs/>
        </w:rPr>
        <w:tab/>
      </w:r>
      <w:r>
        <w:rPr>
          <w:b/>
          <w:bCs/>
        </w:rPr>
        <w:fldChar w:fldCharType="begin"/>
      </w:r>
      <w:r>
        <w:rPr>
          <w:b/>
          <w:bCs/>
        </w:rPr>
        <w:instrText xml:space="preserve"> PAGEREF _Toc11410 \h </w:instrText>
      </w:r>
      <w:r>
        <w:rPr>
          <w:b/>
          <w:bCs/>
        </w:rPr>
        <w:fldChar w:fldCharType="separate"/>
      </w:r>
      <w:r>
        <w:rPr>
          <w:b/>
          <w:bCs/>
        </w:rPr>
        <w:t>1</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_Toc23306 </w:instrText>
      </w:r>
      <w:r>
        <w:rPr>
          <w:b/>
          <w:bCs/>
        </w:rPr>
        <w:fldChar w:fldCharType="separate"/>
      </w:r>
      <w:r>
        <w:rPr>
          <w:rFonts w:hint="eastAsia" w:ascii="楷体_GB2312" w:hAnsi="楷体_GB2312" w:eastAsia="楷体_GB2312" w:cs="楷体_GB2312"/>
          <w:b/>
          <w:bCs/>
          <w:kern w:val="0"/>
          <w:szCs w:val="30"/>
        </w:rPr>
        <w:t>第二条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协议的构成与效力等级</w:t>
      </w:r>
      <w:r>
        <w:rPr>
          <w:b/>
          <w:bCs/>
        </w:rPr>
        <w:tab/>
      </w:r>
      <w:r>
        <w:rPr>
          <w:b/>
          <w:bCs/>
        </w:rPr>
        <w:fldChar w:fldCharType="begin"/>
      </w:r>
      <w:r>
        <w:rPr>
          <w:b/>
          <w:bCs/>
        </w:rPr>
        <w:instrText xml:space="preserve"> PAGEREF _Toc23306 \h </w:instrText>
      </w:r>
      <w:r>
        <w:rPr>
          <w:b/>
          <w:bCs/>
        </w:rPr>
        <w:fldChar w:fldCharType="separate"/>
      </w:r>
      <w:r>
        <w:rPr>
          <w:b/>
          <w:bCs/>
        </w:rPr>
        <w:t>2</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_Toc1371 </w:instrText>
      </w:r>
      <w:r>
        <w:rPr>
          <w:b/>
          <w:bCs/>
        </w:rPr>
        <w:fldChar w:fldCharType="separate"/>
      </w:r>
      <w:r>
        <w:rPr>
          <w:rFonts w:hint="eastAsia" w:ascii="楷体_GB2312" w:hAnsi="楷体_GB2312" w:eastAsia="楷体_GB2312" w:cs="楷体_GB2312"/>
          <w:b/>
          <w:bCs/>
          <w:kern w:val="0"/>
          <w:szCs w:val="30"/>
        </w:rPr>
        <w:t>第三条</w:t>
      </w:r>
      <w:r>
        <w:rPr>
          <w:rFonts w:hint="eastAsia" w:ascii="楷体_GB2312" w:hAnsi="楷体_GB2312" w:eastAsia="楷体_GB2312" w:cs="楷体_GB2312"/>
          <w:b/>
          <w:bCs/>
          <w:kern w:val="0"/>
          <w:szCs w:val="30"/>
          <w:lang w:val="en-US" w:eastAsia="zh-CN"/>
        </w:rPr>
        <w:t xml:space="preserve"> 定向</w:t>
      </w:r>
      <w:r>
        <w:rPr>
          <w:rFonts w:hint="eastAsia" w:ascii="楷体_GB2312" w:hAnsi="楷体_GB2312" w:eastAsia="楷体_GB2312" w:cs="楷体_GB2312"/>
          <w:b/>
          <w:bCs/>
          <w:kern w:val="0"/>
          <w:szCs w:val="30"/>
          <w:lang w:eastAsia="zh-CN"/>
        </w:rPr>
        <w:t>资产支持商业票据</w:t>
      </w:r>
      <w:r>
        <w:rPr>
          <w:rFonts w:hint="eastAsia" w:ascii="楷体_GB2312" w:hAnsi="楷体_GB2312" w:eastAsia="楷体_GB2312" w:cs="楷体_GB2312"/>
          <w:b/>
          <w:bCs/>
          <w:kern w:val="0"/>
          <w:szCs w:val="30"/>
        </w:rPr>
        <w:t>的发行与认购</w:t>
      </w:r>
      <w:r>
        <w:rPr>
          <w:b/>
          <w:bCs/>
        </w:rPr>
        <w:tab/>
      </w:r>
      <w:r>
        <w:rPr>
          <w:b/>
          <w:bCs/>
        </w:rPr>
        <w:fldChar w:fldCharType="begin"/>
      </w:r>
      <w:r>
        <w:rPr>
          <w:b/>
          <w:bCs/>
        </w:rPr>
        <w:instrText xml:space="preserve"> PAGEREF _Toc1371 \h </w:instrText>
      </w:r>
      <w:r>
        <w:rPr>
          <w:b/>
          <w:bCs/>
        </w:rPr>
        <w:fldChar w:fldCharType="separate"/>
      </w:r>
      <w:r>
        <w:rPr>
          <w:b/>
          <w:bCs/>
        </w:rPr>
        <w:t>3</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_Toc10411 </w:instrText>
      </w:r>
      <w:r>
        <w:rPr>
          <w:b/>
          <w:bCs/>
        </w:rPr>
        <w:fldChar w:fldCharType="separate"/>
      </w:r>
      <w:r>
        <w:rPr>
          <w:rFonts w:hint="eastAsia" w:ascii="楷体_GB2312" w:hAnsi="楷体_GB2312" w:eastAsia="楷体_GB2312" w:cs="楷体_GB2312"/>
          <w:b/>
          <w:bCs/>
          <w:kern w:val="0"/>
          <w:szCs w:val="30"/>
        </w:rPr>
        <w:t>第四条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募集资金用途</w:t>
      </w:r>
      <w:r>
        <w:rPr>
          <w:b/>
          <w:bCs/>
        </w:rPr>
        <w:tab/>
      </w:r>
      <w:r>
        <w:rPr>
          <w:b/>
          <w:bCs/>
        </w:rPr>
        <w:fldChar w:fldCharType="begin"/>
      </w:r>
      <w:r>
        <w:rPr>
          <w:b/>
          <w:bCs/>
        </w:rPr>
        <w:instrText xml:space="preserve"> PAGEREF _Toc10411 \h </w:instrText>
      </w:r>
      <w:r>
        <w:rPr>
          <w:b/>
          <w:bCs/>
        </w:rPr>
        <w:fldChar w:fldCharType="separate"/>
      </w:r>
      <w:r>
        <w:rPr>
          <w:b/>
          <w:bCs/>
        </w:rPr>
        <w:t>4</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_Toc19877 </w:instrText>
      </w:r>
      <w:r>
        <w:rPr>
          <w:b/>
          <w:bCs/>
        </w:rPr>
        <w:fldChar w:fldCharType="separate"/>
      </w:r>
      <w:r>
        <w:rPr>
          <w:rFonts w:hint="eastAsia" w:ascii="楷体_GB2312" w:hAnsi="楷体_GB2312" w:eastAsia="楷体_GB2312" w:cs="楷体_GB2312"/>
          <w:b/>
          <w:bCs/>
          <w:kern w:val="0"/>
          <w:szCs w:val="30"/>
        </w:rPr>
        <w:t>第五条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信息披露</w:t>
      </w:r>
      <w:r>
        <w:rPr>
          <w:b/>
          <w:bCs/>
        </w:rPr>
        <w:tab/>
      </w:r>
      <w:r>
        <w:rPr>
          <w:b/>
          <w:bCs/>
        </w:rPr>
        <w:fldChar w:fldCharType="begin"/>
      </w:r>
      <w:r>
        <w:rPr>
          <w:b/>
          <w:bCs/>
        </w:rPr>
        <w:instrText xml:space="preserve"> PAGEREF _Toc19877 \h </w:instrText>
      </w:r>
      <w:r>
        <w:rPr>
          <w:b/>
          <w:bCs/>
        </w:rPr>
        <w:fldChar w:fldCharType="separate"/>
      </w:r>
      <w:r>
        <w:rPr>
          <w:b/>
          <w:bCs/>
        </w:rPr>
        <w:t>5</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_Toc4327 </w:instrText>
      </w:r>
      <w:r>
        <w:rPr>
          <w:b/>
          <w:bCs/>
        </w:rPr>
        <w:fldChar w:fldCharType="separate"/>
      </w:r>
      <w:r>
        <w:rPr>
          <w:rFonts w:hint="eastAsia" w:ascii="楷体_GB2312" w:hAnsi="楷体_GB2312" w:eastAsia="楷体_GB2312" w:cs="楷体_GB2312"/>
          <w:b/>
          <w:bCs/>
          <w:kern w:val="0"/>
          <w:szCs w:val="30"/>
        </w:rPr>
        <w:t>第六条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投资人保护</w:t>
      </w:r>
      <w:r>
        <w:rPr>
          <w:b/>
          <w:bCs/>
        </w:rPr>
        <w:tab/>
      </w:r>
      <w:r>
        <w:rPr>
          <w:b/>
          <w:bCs/>
        </w:rPr>
        <w:fldChar w:fldCharType="begin"/>
      </w:r>
      <w:r>
        <w:rPr>
          <w:b/>
          <w:bCs/>
        </w:rPr>
        <w:instrText xml:space="preserve"> PAGEREF _Toc4327 \h </w:instrText>
      </w:r>
      <w:r>
        <w:rPr>
          <w:b/>
          <w:bCs/>
        </w:rPr>
        <w:fldChar w:fldCharType="separate"/>
      </w:r>
      <w:r>
        <w:rPr>
          <w:b/>
          <w:bCs/>
        </w:rPr>
        <w:t>8</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_Toc21444 </w:instrText>
      </w:r>
      <w:r>
        <w:rPr>
          <w:b/>
          <w:bCs/>
        </w:rPr>
        <w:fldChar w:fldCharType="separate"/>
      </w:r>
      <w:r>
        <w:rPr>
          <w:rFonts w:hint="eastAsia" w:ascii="楷体_GB2312" w:hAnsi="楷体_GB2312" w:eastAsia="楷体_GB2312" w:cs="楷体_GB2312"/>
          <w:b/>
          <w:bCs/>
          <w:kern w:val="0"/>
          <w:szCs w:val="30"/>
        </w:rPr>
        <w:t>第七条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发起机构</w:t>
      </w:r>
      <w:r>
        <w:rPr>
          <w:rFonts w:hint="eastAsia" w:ascii="楷体_GB2312" w:hAnsi="楷体_GB2312" w:eastAsia="楷体_GB2312" w:cs="楷体_GB2312"/>
          <w:b/>
          <w:bCs/>
          <w:kern w:val="0"/>
          <w:szCs w:val="30"/>
          <w:lang w:val="en-US" w:eastAsia="zh-CN"/>
        </w:rPr>
        <w:t>/委托人</w:t>
      </w:r>
      <w:r>
        <w:rPr>
          <w:rFonts w:hint="eastAsia" w:ascii="楷体_GB2312" w:hAnsi="楷体_GB2312" w:eastAsia="楷体_GB2312" w:cs="楷体_GB2312"/>
          <w:b/>
          <w:bCs/>
          <w:kern w:val="0"/>
          <w:szCs w:val="30"/>
        </w:rPr>
        <w:t>的权利及义务</w:t>
      </w:r>
      <w:r>
        <w:rPr>
          <w:b/>
          <w:bCs/>
        </w:rPr>
        <w:tab/>
      </w:r>
      <w:r>
        <w:rPr>
          <w:b/>
          <w:bCs/>
        </w:rPr>
        <w:fldChar w:fldCharType="begin"/>
      </w:r>
      <w:r>
        <w:rPr>
          <w:b/>
          <w:bCs/>
        </w:rPr>
        <w:instrText xml:space="preserve"> PAGEREF _Toc21444 \h </w:instrText>
      </w:r>
      <w:r>
        <w:rPr>
          <w:b/>
          <w:bCs/>
        </w:rPr>
        <w:fldChar w:fldCharType="separate"/>
      </w:r>
      <w:r>
        <w:rPr>
          <w:b/>
          <w:bCs/>
        </w:rPr>
        <w:t>9</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_Toc15282 </w:instrText>
      </w:r>
      <w:r>
        <w:rPr>
          <w:b/>
          <w:bCs/>
        </w:rPr>
        <w:fldChar w:fldCharType="separate"/>
      </w:r>
      <w:r>
        <w:rPr>
          <w:rFonts w:hint="eastAsia" w:ascii="楷体_GB2312" w:hAnsi="楷体_GB2312" w:eastAsia="楷体_GB2312" w:cs="楷体_GB2312"/>
          <w:b/>
          <w:bCs/>
          <w:kern w:val="0"/>
          <w:szCs w:val="30"/>
        </w:rPr>
        <w:t>第八条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发行载体管理机构</w:t>
      </w:r>
      <w:r>
        <w:rPr>
          <w:rFonts w:hint="eastAsia" w:ascii="楷体_GB2312" w:hAnsi="楷体_GB2312" w:eastAsia="楷体_GB2312" w:cs="楷体_GB2312"/>
          <w:b/>
          <w:bCs/>
          <w:kern w:val="0"/>
          <w:szCs w:val="30"/>
          <w:lang w:val="en-US" w:eastAsia="zh-CN"/>
        </w:rPr>
        <w:t>/受托人</w:t>
      </w:r>
      <w:r>
        <w:rPr>
          <w:rFonts w:hint="eastAsia" w:ascii="楷体_GB2312" w:hAnsi="楷体_GB2312" w:eastAsia="楷体_GB2312" w:cs="楷体_GB2312"/>
          <w:b/>
          <w:bCs/>
          <w:kern w:val="0"/>
          <w:szCs w:val="30"/>
        </w:rPr>
        <w:t>的权利及义务</w:t>
      </w:r>
      <w:r>
        <w:rPr>
          <w:b/>
          <w:bCs/>
        </w:rPr>
        <w:tab/>
      </w:r>
      <w:r>
        <w:rPr>
          <w:b/>
          <w:bCs/>
        </w:rPr>
        <w:fldChar w:fldCharType="begin"/>
      </w:r>
      <w:r>
        <w:rPr>
          <w:b/>
          <w:bCs/>
        </w:rPr>
        <w:instrText xml:space="preserve"> PAGEREF _Toc15282 \h </w:instrText>
      </w:r>
      <w:r>
        <w:rPr>
          <w:b/>
          <w:bCs/>
        </w:rPr>
        <w:fldChar w:fldCharType="separate"/>
      </w:r>
      <w:r>
        <w:rPr>
          <w:b/>
          <w:bCs/>
        </w:rPr>
        <w:t>10</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_Toc12034 </w:instrText>
      </w:r>
      <w:r>
        <w:rPr>
          <w:b/>
          <w:bCs/>
        </w:rPr>
        <w:fldChar w:fldCharType="separate"/>
      </w:r>
      <w:r>
        <w:rPr>
          <w:rFonts w:hint="eastAsia" w:ascii="楷体_GB2312" w:hAnsi="楷体_GB2312" w:eastAsia="楷体_GB2312" w:cs="楷体_GB2312"/>
          <w:b/>
          <w:bCs/>
          <w:kern w:val="0"/>
          <w:szCs w:val="30"/>
        </w:rPr>
        <w:t>第九条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定向投资人</w:t>
      </w:r>
      <w:r>
        <w:rPr>
          <w:rFonts w:hint="eastAsia" w:ascii="楷体_GB2312" w:hAnsi="楷体_GB2312" w:eastAsia="楷体_GB2312" w:cs="楷体_GB2312"/>
          <w:b/>
          <w:bCs/>
          <w:kern w:val="0"/>
          <w:szCs w:val="30"/>
          <w:lang w:val="en-US" w:eastAsia="zh-CN"/>
        </w:rPr>
        <w:t>/受益人</w:t>
      </w:r>
      <w:r>
        <w:rPr>
          <w:rFonts w:hint="eastAsia" w:ascii="楷体_GB2312" w:hAnsi="楷体_GB2312" w:eastAsia="楷体_GB2312" w:cs="楷体_GB2312"/>
          <w:b/>
          <w:bCs/>
          <w:kern w:val="0"/>
          <w:szCs w:val="30"/>
        </w:rPr>
        <w:t>的权利及义务</w:t>
      </w:r>
      <w:r>
        <w:rPr>
          <w:b/>
          <w:bCs/>
        </w:rPr>
        <w:tab/>
      </w:r>
      <w:r>
        <w:rPr>
          <w:b/>
          <w:bCs/>
        </w:rPr>
        <w:fldChar w:fldCharType="begin"/>
      </w:r>
      <w:r>
        <w:rPr>
          <w:b/>
          <w:bCs/>
        </w:rPr>
        <w:instrText xml:space="preserve"> PAGEREF _Toc12034 \h </w:instrText>
      </w:r>
      <w:r>
        <w:rPr>
          <w:b/>
          <w:bCs/>
        </w:rPr>
        <w:fldChar w:fldCharType="separate"/>
      </w:r>
      <w:r>
        <w:rPr>
          <w:b/>
          <w:bCs/>
        </w:rPr>
        <w:t>11</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_Toc23991 </w:instrText>
      </w:r>
      <w:r>
        <w:rPr>
          <w:b/>
          <w:bCs/>
        </w:rPr>
        <w:fldChar w:fldCharType="separate"/>
      </w:r>
      <w:r>
        <w:rPr>
          <w:rFonts w:hint="eastAsia" w:ascii="楷体_GB2312" w:hAnsi="楷体_GB2312" w:eastAsia="楷体_GB2312" w:cs="楷体_GB2312"/>
          <w:b/>
          <w:bCs/>
          <w:kern w:val="0"/>
          <w:szCs w:val="30"/>
        </w:rPr>
        <w:t>第十条 保密义务</w:t>
      </w:r>
      <w:r>
        <w:rPr>
          <w:b/>
          <w:bCs/>
        </w:rPr>
        <w:tab/>
      </w:r>
      <w:r>
        <w:rPr>
          <w:b/>
          <w:bCs/>
        </w:rPr>
        <w:fldChar w:fldCharType="begin"/>
      </w:r>
      <w:r>
        <w:rPr>
          <w:b/>
          <w:bCs/>
        </w:rPr>
        <w:instrText xml:space="preserve"> PAGEREF _Toc23991 \h </w:instrText>
      </w:r>
      <w:r>
        <w:rPr>
          <w:b/>
          <w:bCs/>
        </w:rPr>
        <w:fldChar w:fldCharType="separate"/>
      </w:r>
      <w:r>
        <w:rPr>
          <w:b/>
          <w:bCs/>
        </w:rPr>
        <w:t>12</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_Toc23008 </w:instrText>
      </w:r>
      <w:r>
        <w:rPr>
          <w:b/>
          <w:bCs/>
        </w:rPr>
        <w:fldChar w:fldCharType="separate"/>
      </w:r>
      <w:r>
        <w:rPr>
          <w:rFonts w:hint="eastAsia" w:ascii="楷体_GB2312" w:hAnsi="楷体_GB2312" w:eastAsia="楷体_GB2312" w:cs="楷体_GB2312"/>
          <w:b/>
          <w:bCs/>
          <w:kern w:val="0"/>
          <w:szCs w:val="30"/>
        </w:rPr>
        <w:t>第十一条 发行的终止</w:t>
      </w:r>
      <w:r>
        <w:rPr>
          <w:b/>
          <w:bCs/>
        </w:rPr>
        <w:tab/>
      </w:r>
      <w:r>
        <w:rPr>
          <w:b/>
          <w:bCs/>
        </w:rPr>
        <w:fldChar w:fldCharType="begin"/>
      </w:r>
      <w:r>
        <w:rPr>
          <w:b/>
          <w:bCs/>
        </w:rPr>
        <w:instrText xml:space="preserve"> PAGEREF _Toc23008 \h </w:instrText>
      </w:r>
      <w:r>
        <w:rPr>
          <w:b/>
          <w:bCs/>
        </w:rPr>
        <w:fldChar w:fldCharType="separate"/>
      </w:r>
      <w:r>
        <w:rPr>
          <w:b/>
          <w:bCs/>
        </w:rPr>
        <w:t>13</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_Toc9726 </w:instrText>
      </w:r>
      <w:r>
        <w:rPr>
          <w:b/>
          <w:bCs/>
        </w:rPr>
        <w:fldChar w:fldCharType="separate"/>
      </w:r>
      <w:r>
        <w:rPr>
          <w:rFonts w:hint="eastAsia" w:ascii="楷体_GB2312" w:hAnsi="楷体_GB2312" w:eastAsia="楷体_GB2312" w:cs="楷体_GB2312"/>
          <w:b/>
          <w:bCs/>
          <w:kern w:val="0"/>
          <w:szCs w:val="30"/>
        </w:rPr>
        <w:t>第十二条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评级安排</w:t>
      </w:r>
      <w:r>
        <w:rPr>
          <w:b/>
          <w:bCs/>
        </w:rPr>
        <w:tab/>
      </w:r>
      <w:r>
        <w:rPr>
          <w:b/>
          <w:bCs/>
        </w:rPr>
        <w:fldChar w:fldCharType="begin"/>
      </w:r>
      <w:r>
        <w:rPr>
          <w:b/>
          <w:bCs/>
        </w:rPr>
        <w:instrText xml:space="preserve"> PAGEREF _Toc9726 \h </w:instrText>
      </w:r>
      <w:r>
        <w:rPr>
          <w:b/>
          <w:bCs/>
        </w:rPr>
        <w:fldChar w:fldCharType="separate"/>
      </w:r>
      <w:r>
        <w:rPr>
          <w:b/>
          <w:bCs/>
        </w:rPr>
        <w:t>14</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_Toc13193 </w:instrText>
      </w:r>
      <w:r>
        <w:rPr>
          <w:b/>
          <w:bCs/>
        </w:rPr>
        <w:fldChar w:fldCharType="separate"/>
      </w:r>
      <w:r>
        <w:rPr>
          <w:rFonts w:hint="eastAsia" w:ascii="楷体_GB2312" w:hAnsi="楷体_GB2312" w:eastAsia="楷体_GB2312" w:cs="楷体_GB2312"/>
          <w:b/>
          <w:bCs/>
          <w:kern w:val="0"/>
          <w:szCs w:val="30"/>
        </w:rPr>
        <w:t>第十三条</w:t>
      </w:r>
      <w:r>
        <w:rPr>
          <w:rFonts w:hint="eastAsia" w:ascii="楷体_GB2312" w:hAnsi="楷体_GB2312" w:eastAsia="楷体_GB2312" w:cs="楷体_GB2312"/>
          <w:b/>
          <w:bCs/>
          <w:kern w:val="0"/>
          <w:szCs w:val="30"/>
          <w:lang w:val="en-US" w:eastAsia="zh-CN"/>
        </w:rPr>
        <w:t xml:space="preserve"> </w:t>
      </w:r>
      <w:r>
        <w:rPr>
          <w:rFonts w:hint="eastAsia" w:ascii="楷体_GB2312" w:hAnsi="楷体_GB2312" w:eastAsia="楷体_GB2312" w:cs="楷体_GB2312"/>
          <w:b/>
          <w:bCs/>
          <w:kern w:val="0"/>
          <w:szCs w:val="30"/>
        </w:rPr>
        <w:t>信用增级安排</w:t>
      </w:r>
      <w:r>
        <w:rPr>
          <w:b/>
          <w:bCs/>
        </w:rPr>
        <w:tab/>
      </w:r>
      <w:r>
        <w:rPr>
          <w:b/>
          <w:bCs/>
        </w:rPr>
        <w:fldChar w:fldCharType="begin"/>
      </w:r>
      <w:r>
        <w:rPr>
          <w:b/>
          <w:bCs/>
        </w:rPr>
        <w:instrText xml:space="preserve"> PAGEREF _Toc13193 \h </w:instrText>
      </w:r>
      <w:r>
        <w:rPr>
          <w:b/>
          <w:bCs/>
        </w:rPr>
        <w:fldChar w:fldCharType="separate"/>
      </w:r>
      <w:r>
        <w:rPr>
          <w:b/>
          <w:bCs/>
        </w:rPr>
        <w:t>15</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_Toc18862 </w:instrText>
      </w:r>
      <w:r>
        <w:rPr>
          <w:b/>
          <w:bCs/>
        </w:rPr>
        <w:fldChar w:fldCharType="separate"/>
      </w:r>
      <w:r>
        <w:rPr>
          <w:rFonts w:hint="eastAsia" w:ascii="楷体_GB2312" w:hAnsi="楷体_GB2312" w:eastAsia="楷体_GB2312" w:cs="楷体_GB2312"/>
          <w:b/>
          <w:bCs/>
          <w:kern w:val="0"/>
          <w:szCs w:val="30"/>
        </w:rPr>
        <w:t>第十四条 声明、保证和承诺</w:t>
      </w:r>
      <w:r>
        <w:rPr>
          <w:b/>
          <w:bCs/>
        </w:rPr>
        <w:tab/>
      </w:r>
      <w:r>
        <w:rPr>
          <w:b/>
          <w:bCs/>
        </w:rPr>
        <w:fldChar w:fldCharType="begin"/>
      </w:r>
      <w:r>
        <w:rPr>
          <w:b/>
          <w:bCs/>
        </w:rPr>
        <w:instrText xml:space="preserve"> PAGEREF _Toc18862 \h </w:instrText>
      </w:r>
      <w:r>
        <w:rPr>
          <w:b/>
          <w:bCs/>
        </w:rPr>
        <w:fldChar w:fldCharType="separate"/>
      </w:r>
      <w:r>
        <w:rPr>
          <w:b/>
          <w:bCs/>
        </w:rPr>
        <w:t>16</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_Toc5727 </w:instrText>
      </w:r>
      <w:r>
        <w:rPr>
          <w:b/>
          <w:bCs/>
        </w:rPr>
        <w:fldChar w:fldCharType="separate"/>
      </w:r>
      <w:r>
        <w:rPr>
          <w:rFonts w:hint="eastAsia" w:ascii="楷体_GB2312" w:hAnsi="楷体_GB2312" w:eastAsia="楷体_GB2312" w:cs="楷体_GB2312"/>
          <w:b/>
          <w:bCs/>
          <w:kern w:val="0"/>
          <w:szCs w:val="30"/>
        </w:rPr>
        <w:t>第十五条 协议的签署和生效</w:t>
      </w:r>
      <w:r>
        <w:rPr>
          <w:b/>
          <w:bCs/>
        </w:rPr>
        <w:tab/>
      </w:r>
      <w:r>
        <w:rPr>
          <w:b/>
          <w:bCs/>
        </w:rPr>
        <w:fldChar w:fldCharType="begin"/>
      </w:r>
      <w:r>
        <w:rPr>
          <w:b/>
          <w:bCs/>
        </w:rPr>
        <w:instrText xml:space="preserve"> PAGEREF _Toc5727 \h </w:instrText>
      </w:r>
      <w:r>
        <w:rPr>
          <w:b/>
          <w:bCs/>
        </w:rPr>
        <w:fldChar w:fldCharType="separate"/>
      </w:r>
      <w:r>
        <w:rPr>
          <w:b/>
          <w:bCs/>
        </w:rPr>
        <w:t>18</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_Toc32542 </w:instrText>
      </w:r>
      <w:r>
        <w:rPr>
          <w:b/>
          <w:bCs/>
        </w:rPr>
        <w:fldChar w:fldCharType="separate"/>
      </w:r>
      <w:r>
        <w:rPr>
          <w:rFonts w:hint="eastAsia" w:ascii="楷体_GB2312" w:hAnsi="楷体_GB2312" w:eastAsia="楷体_GB2312" w:cs="楷体_GB2312"/>
          <w:b/>
          <w:bCs/>
          <w:kern w:val="0"/>
          <w:szCs w:val="30"/>
        </w:rPr>
        <w:t>第十六条 协议的变更与终止</w:t>
      </w:r>
      <w:r>
        <w:rPr>
          <w:b/>
          <w:bCs/>
        </w:rPr>
        <w:tab/>
      </w:r>
      <w:r>
        <w:rPr>
          <w:b/>
          <w:bCs/>
        </w:rPr>
        <w:fldChar w:fldCharType="begin"/>
      </w:r>
      <w:r>
        <w:rPr>
          <w:b/>
          <w:bCs/>
        </w:rPr>
        <w:instrText xml:space="preserve"> PAGEREF _Toc32542 \h </w:instrText>
      </w:r>
      <w:r>
        <w:rPr>
          <w:b/>
          <w:bCs/>
        </w:rPr>
        <w:fldChar w:fldCharType="separate"/>
      </w:r>
      <w:r>
        <w:rPr>
          <w:b/>
          <w:bCs/>
        </w:rPr>
        <w:t>19</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_Toc31143 </w:instrText>
      </w:r>
      <w:r>
        <w:rPr>
          <w:b/>
          <w:bCs/>
        </w:rPr>
        <w:fldChar w:fldCharType="separate"/>
      </w:r>
      <w:r>
        <w:rPr>
          <w:rFonts w:hint="eastAsia" w:ascii="楷体_GB2312" w:hAnsi="楷体_GB2312" w:eastAsia="楷体_GB2312" w:cs="楷体_GB2312"/>
          <w:b/>
          <w:bCs/>
          <w:kern w:val="0"/>
          <w:szCs w:val="30"/>
        </w:rPr>
        <w:t>第十七条 争议的解决</w:t>
      </w:r>
      <w:r>
        <w:rPr>
          <w:b/>
          <w:bCs/>
        </w:rPr>
        <w:tab/>
      </w:r>
      <w:r>
        <w:rPr>
          <w:b/>
          <w:bCs/>
        </w:rPr>
        <w:fldChar w:fldCharType="begin"/>
      </w:r>
      <w:r>
        <w:rPr>
          <w:b/>
          <w:bCs/>
        </w:rPr>
        <w:instrText xml:space="preserve"> PAGEREF _Toc31143 \h </w:instrText>
      </w:r>
      <w:r>
        <w:rPr>
          <w:b/>
          <w:bCs/>
        </w:rPr>
        <w:fldChar w:fldCharType="separate"/>
      </w:r>
      <w:r>
        <w:rPr>
          <w:b/>
          <w:bCs/>
        </w:rPr>
        <w:t>20</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_Toc6958 </w:instrText>
      </w:r>
      <w:r>
        <w:rPr>
          <w:b/>
          <w:bCs/>
        </w:rPr>
        <w:fldChar w:fldCharType="separate"/>
      </w:r>
      <w:r>
        <w:rPr>
          <w:rFonts w:hint="eastAsia" w:ascii="楷体_GB2312" w:hAnsi="楷体_GB2312" w:eastAsia="楷体_GB2312" w:cs="楷体_GB2312"/>
          <w:b/>
          <w:bCs/>
          <w:kern w:val="0"/>
          <w:szCs w:val="30"/>
        </w:rPr>
        <w:t>第十八条 附则</w:t>
      </w:r>
      <w:r>
        <w:rPr>
          <w:b/>
          <w:bCs/>
        </w:rPr>
        <w:tab/>
      </w:r>
      <w:r>
        <w:rPr>
          <w:b/>
          <w:bCs/>
        </w:rPr>
        <w:fldChar w:fldCharType="begin"/>
      </w:r>
      <w:r>
        <w:rPr>
          <w:b/>
          <w:bCs/>
        </w:rPr>
        <w:instrText xml:space="preserve"> PAGEREF _Toc6958 \h </w:instrText>
      </w:r>
      <w:r>
        <w:rPr>
          <w:b/>
          <w:bCs/>
        </w:rPr>
        <w:fldChar w:fldCharType="separate"/>
      </w:r>
      <w:r>
        <w:rPr>
          <w:b/>
          <w:bCs/>
        </w:rPr>
        <w:t>21</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_Toc13543 </w:instrText>
      </w:r>
      <w:r>
        <w:rPr>
          <w:b/>
          <w:bCs/>
        </w:rPr>
        <w:fldChar w:fldCharType="separate"/>
      </w:r>
      <w:r>
        <w:rPr>
          <w:rFonts w:hint="eastAsia" w:ascii="楷体_GB2312" w:hAnsi="楷体_GB2312" w:eastAsia="楷体_GB2312" w:cs="楷体_GB2312"/>
          <w:b/>
          <w:bCs/>
          <w:kern w:val="0"/>
          <w:szCs w:val="30"/>
        </w:rPr>
        <w:t>附件：</w:t>
      </w:r>
      <w:r>
        <w:rPr>
          <w:rFonts w:hint="eastAsia" w:ascii="楷体_GB2312" w:hAnsi="楷体_GB2312" w:eastAsia="楷体_GB2312" w:cs="楷体_GB2312"/>
          <w:b/>
          <w:bCs/>
          <w:kern w:val="0"/>
          <w:szCs w:val="30"/>
          <w:lang w:val="en-US" w:eastAsia="zh-CN"/>
        </w:rPr>
        <w:t>定向</w:t>
      </w:r>
      <w:r>
        <w:rPr>
          <w:rFonts w:hint="eastAsia" w:ascii="楷体_GB2312" w:hAnsi="楷体_GB2312" w:eastAsia="楷体_GB2312" w:cs="楷体_GB2312"/>
          <w:b/>
          <w:bCs/>
          <w:kern w:val="0"/>
          <w:szCs w:val="30"/>
          <w:lang w:eastAsia="zh-CN"/>
        </w:rPr>
        <w:t>资产支持商业票据</w:t>
      </w:r>
      <w:r>
        <w:rPr>
          <w:rFonts w:hint="eastAsia" w:ascii="楷体_GB2312" w:hAnsi="楷体_GB2312" w:eastAsia="楷体_GB2312" w:cs="楷体_GB2312"/>
          <w:b/>
          <w:bCs/>
          <w:kern w:val="0"/>
          <w:szCs w:val="30"/>
        </w:rPr>
        <w:t>信息披露文件</w:t>
      </w:r>
      <w:r>
        <w:rPr>
          <w:b/>
          <w:bCs/>
        </w:rPr>
        <w:tab/>
      </w:r>
      <w:r>
        <w:rPr>
          <w:b/>
          <w:bCs/>
        </w:rPr>
        <w:fldChar w:fldCharType="begin"/>
      </w:r>
      <w:r>
        <w:rPr>
          <w:b/>
          <w:bCs/>
        </w:rPr>
        <w:instrText xml:space="preserve"> PAGEREF _Toc13543 \h </w:instrText>
      </w:r>
      <w:r>
        <w:rPr>
          <w:b/>
          <w:bCs/>
        </w:rPr>
        <w:fldChar w:fldCharType="separate"/>
      </w:r>
      <w:r>
        <w:rPr>
          <w:b/>
          <w:bCs/>
        </w:rPr>
        <w:t>25</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rFonts w:hint="eastAsia" w:eastAsia="宋体"/>
          <w:b/>
          <w:bCs/>
          <w:lang w:val="en-US" w:eastAsia="zh-CN"/>
        </w:rPr>
      </w:pPr>
      <w:r>
        <w:rPr>
          <w:b/>
          <w:bCs/>
        </w:rPr>
        <w:fldChar w:fldCharType="begin"/>
      </w:r>
      <w:r>
        <w:rPr>
          <w:b/>
          <w:bCs/>
        </w:rPr>
        <w:instrText xml:space="preserve"> HYPERLINK \l _Toc6081 </w:instrText>
      </w:r>
      <w:r>
        <w:rPr>
          <w:b/>
          <w:bCs/>
        </w:rPr>
        <w:fldChar w:fldCharType="separate"/>
      </w:r>
      <w:r>
        <w:rPr>
          <w:rFonts w:hint="eastAsia" w:ascii="楷体_GB2312" w:hAnsi="楷体_GB2312" w:eastAsia="楷体_GB2312" w:cs="楷体_GB2312"/>
          <w:b/>
          <w:bCs/>
          <w:kern w:val="0"/>
          <w:szCs w:val="30"/>
          <w:lang w:val="en-US" w:eastAsia="zh-CN"/>
        </w:rPr>
        <w:t>重要提示</w:t>
      </w:r>
      <w:r>
        <w:rPr>
          <w:b/>
          <w:bCs/>
        </w:rPr>
        <w:tab/>
      </w:r>
      <w:r>
        <w:rPr>
          <w:rFonts w:hint="eastAsia"/>
          <w:b/>
          <w:bCs/>
          <w:lang w:val="en-US" w:eastAsia="zh-CN"/>
        </w:rPr>
        <w:t>2</w:t>
      </w:r>
      <w:r>
        <w:rPr>
          <w:b/>
          <w:bCs/>
        </w:rPr>
        <w:fldChar w:fldCharType="end"/>
      </w:r>
      <w:r>
        <w:rPr>
          <w:rFonts w:hint="eastAsia"/>
          <w:b/>
          <w:bCs/>
          <w:lang w:val="en-US" w:eastAsia="zh-CN"/>
        </w:rPr>
        <w:t>5</w:t>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_Toc7761 </w:instrText>
      </w:r>
      <w:r>
        <w:rPr>
          <w:b/>
          <w:bCs/>
        </w:rPr>
        <w:fldChar w:fldCharType="separate"/>
      </w:r>
      <w:r>
        <w:rPr>
          <w:rFonts w:hint="default" w:ascii="楷体_GB2312" w:hAnsi="楷体_GB2312" w:eastAsia="楷体_GB2312" w:cs="楷体_GB2312"/>
          <w:b/>
          <w:bCs/>
          <w:kern w:val="0"/>
          <w:szCs w:val="30"/>
        </w:rPr>
        <w:t xml:space="preserve">第一章 </w:t>
      </w:r>
      <w:r>
        <w:rPr>
          <w:rFonts w:hint="eastAsia" w:ascii="楷体_GB2312" w:hAnsi="楷体_GB2312" w:eastAsia="楷体_GB2312" w:cs="楷体_GB2312"/>
          <w:b/>
          <w:bCs/>
          <w:kern w:val="0"/>
          <w:szCs w:val="30"/>
          <w:lang w:val="en-US" w:eastAsia="zh-CN"/>
        </w:rPr>
        <w:t>定向</w:t>
      </w:r>
      <w:r>
        <w:rPr>
          <w:rFonts w:hint="eastAsia" w:ascii="楷体_GB2312" w:hAnsi="楷体_GB2312" w:eastAsia="楷体_GB2312" w:cs="楷体_GB2312"/>
          <w:b/>
          <w:bCs/>
          <w:kern w:val="0"/>
          <w:szCs w:val="30"/>
          <w:lang w:eastAsia="zh-CN"/>
        </w:rPr>
        <w:t>资产支持商业票据</w:t>
      </w:r>
      <w:r>
        <w:rPr>
          <w:rFonts w:hint="eastAsia" w:ascii="楷体_GB2312" w:hAnsi="楷体_GB2312" w:eastAsia="楷体_GB2312" w:cs="楷体_GB2312"/>
          <w:b/>
          <w:bCs/>
          <w:kern w:val="0"/>
          <w:szCs w:val="30"/>
          <w:lang w:val="en-US" w:eastAsia="zh-CN"/>
        </w:rPr>
        <w:t>的基本情况</w:t>
      </w:r>
      <w:r>
        <w:rPr>
          <w:b/>
          <w:bCs/>
        </w:rPr>
        <w:tab/>
      </w:r>
      <w:r>
        <w:rPr>
          <w:b/>
          <w:bCs/>
        </w:rPr>
        <w:fldChar w:fldCharType="begin"/>
      </w:r>
      <w:r>
        <w:rPr>
          <w:b/>
          <w:bCs/>
        </w:rPr>
        <w:instrText xml:space="preserve"> PAGEREF _Toc7761 \h </w:instrText>
      </w:r>
      <w:r>
        <w:rPr>
          <w:b/>
          <w:bCs/>
        </w:rPr>
        <w:fldChar w:fldCharType="separate"/>
      </w:r>
      <w:r>
        <w:rPr>
          <w:b/>
          <w:bCs/>
        </w:rPr>
        <w:t>28</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_Toc32696 </w:instrText>
      </w:r>
      <w:r>
        <w:fldChar w:fldCharType="separate"/>
      </w:r>
      <w:r>
        <w:rPr>
          <w:rFonts w:hint="eastAsia" w:ascii="楷体_GB2312" w:hAnsi="楷体_GB2312" w:eastAsia="楷体_GB2312" w:cs="楷体_GB2312"/>
          <w:kern w:val="0"/>
          <w:szCs w:val="24"/>
        </w:rPr>
        <w:t>一、主要发行条款</w:t>
      </w:r>
      <w:r>
        <w:tab/>
      </w:r>
      <w:r>
        <w:fldChar w:fldCharType="begin"/>
      </w:r>
      <w:r>
        <w:instrText xml:space="preserve"> PAGEREF _Toc32696 \h </w:instrText>
      </w:r>
      <w:r>
        <w:fldChar w:fldCharType="separate"/>
      </w:r>
      <w:r>
        <w:t>28</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_Toc13550 </w:instrText>
      </w:r>
      <w:r>
        <w:fldChar w:fldCharType="separate"/>
      </w:r>
      <w:r>
        <w:rPr>
          <w:rFonts w:hint="eastAsia" w:ascii="楷体_GB2312" w:hAnsi="楷体_GB2312" w:eastAsia="楷体_GB2312" w:cs="楷体_GB2312"/>
          <w:kern w:val="0"/>
          <w:szCs w:val="24"/>
        </w:rPr>
        <w:t>二、</w:t>
      </w:r>
      <w:r>
        <w:rPr>
          <w:rFonts w:hint="eastAsia" w:ascii="楷体_GB2312" w:hAnsi="楷体_GB2312" w:eastAsia="楷体_GB2312" w:cs="楷体_GB2312"/>
          <w:kern w:val="0"/>
          <w:szCs w:val="24"/>
          <w:lang w:val="en-US" w:eastAsia="zh-CN"/>
        </w:rPr>
        <w:t>定向</w:t>
      </w:r>
      <w:r>
        <w:rPr>
          <w:rFonts w:hint="eastAsia" w:ascii="楷体_GB2312" w:hAnsi="楷体_GB2312" w:eastAsia="楷体_GB2312" w:cs="楷体_GB2312"/>
          <w:kern w:val="0"/>
          <w:szCs w:val="24"/>
          <w:lang w:eastAsia="zh-CN"/>
        </w:rPr>
        <w:t>资产支持商业票据</w:t>
      </w:r>
      <w:r>
        <w:rPr>
          <w:rFonts w:hint="eastAsia" w:ascii="楷体_GB2312" w:hAnsi="楷体_GB2312" w:eastAsia="楷体_GB2312" w:cs="楷体_GB2312"/>
          <w:kern w:val="0"/>
          <w:szCs w:val="24"/>
        </w:rPr>
        <w:t>分层情况</w:t>
      </w:r>
      <w:r>
        <w:tab/>
      </w:r>
      <w:r>
        <w:fldChar w:fldCharType="begin"/>
      </w:r>
      <w:r>
        <w:instrText xml:space="preserve"> PAGEREF _Toc13550 \h </w:instrText>
      </w:r>
      <w:r>
        <w:fldChar w:fldCharType="separate"/>
      </w:r>
      <w:r>
        <w:t>14</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_Toc7926 </w:instrText>
      </w:r>
      <w:r>
        <w:fldChar w:fldCharType="separate"/>
      </w:r>
      <w:r>
        <w:rPr>
          <w:rFonts w:hint="eastAsia" w:ascii="楷体_GB2312" w:hAnsi="楷体_GB2312" w:eastAsia="楷体_GB2312" w:cs="楷体_GB2312"/>
          <w:kern w:val="0"/>
          <w:szCs w:val="24"/>
          <w:lang w:val="en-US" w:eastAsia="zh-CN"/>
        </w:rPr>
        <w:t>三</w:t>
      </w:r>
      <w:r>
        <w:rPr>
          <w:rFonts w:hint="eastAsia" w:ascii="楷体_GB2312" w:hAnsi="楷体_GB2312" w:eastAsia="楷体_GB2312" w:cs="楷体_GB2312"/>
          <w:kern w:val="0"/>
          <w:szCs w:val="24"/>
        </w:rPr>
        <w:t>、</w:t>
      </w:r>
      <w:r>
        <w:rPr>
          <w:rFonts w:hint="eastAsia" w:ascii="楷体_GB2312" w:hAnsi="楷体_GB2312" w:eastAsia="楷体_GB2312" w:cs="楷体_GB2312"/>
          <w:kern w:val="0"/>
          <w:szCs w:val="24"/>
          <w:lang w:val="en-US" w:eastAsia="zh-CN"/>
        </w:rPr>
        <w:t>发行安排</w:t>
      </w:r>
      <w:r>
        <w:tab/>
      </w:r>
      <w:r>
        <w:fldChar w:fldCharType="begin"/>
      </w:r>
      <w:r>
        <w:instrText xml:space="preserve"> PAGEREF _Toc7926 \h </w:instrText>
      </w:r>
      <w:r>
        <w:fldChar w:fldCharType="separate"/>
      </w:r>
      <w:r>
        <w:t>29</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rPr>
          <w:b/>
          <w:bCs/>
        </w:rPr>
        <w:fldChar w:fldCharType="begin"/>
      </w:r>
      <w:r>
        <w:rPr>
          <w:b/>
          <w:bCs/>
        </w:rPr>
        <w:instrText xml:space="preserve"> HYPERLINK \l _Toc16913 </w:instrText>
      </w:r>
      <w:r>
        <w:rPr>
          <w:b/>
          <w:bCs/>
        </w:rPr>
        <w:fldChar w:fldCharType="separate"/>
      </w:r>
      <w:r>
        <w:rPr>
          <w:rFonts w:hint="default" w:ascii="楷体_GB2312" w:hAnsi="楷体_GB2312" w:eastAsia="楷体_GB2312" w:cs="楷体_GB2312"/>
          <w:b/>
          <w:bCs/>
          <w:kern w:val="0"/>
          <w:szCs w:val="30"/>
        </w:rPr>
        <w:t xml:space="preserve">第二章 </w:t>
      </w:r>
      <w:r>
        <w:rPr>
          <w:rFonts w:hint="eastAsia" w:ascii="楷体_GB2312" w:hAnsi="楷体_GB2312" w:eastAsia="楷体_GB2312" w:cs="楷体_GB2312"/>
          <w:b/>
          <w:bCs/>
          <w:kern w:val="0"/>
          <w:szCs w:val="30"/>
        </w:rPr>
        <w:t>风险提示及说明</w:t>
      </w:r>
      <w:r>
        <w:rPr>
          <w:b/>
          <w:bCs/>
        </w:rPr>
        <w:tab/>
      </w:r>
      <w:r>
        <w:rPr>
          <w:b/>
          <w:bCs/>
        </w:rPr>
        <w:fldChar w:fldCharType="begin"/>
      </w:r>
      <w:r>
        <w:rPr>
          <w:b/>
          <w:bCs/>
        </w:rPr>
        <w:instrText xml:space="preserve"> PAGEREF _Toc16913 \h </w:instrText>
      </w:r>
      <w:r>
        <w:rPr>
          <w:b/>
          <w:bCs/>
        </w:rPr>
        <w:fldChar w:fldCharType="separate"/>
      </w:r>
      <w:r>
        <w:rPr>
          <w:b/>
          <w:bCs/>
        </w:rPr>
        <w:t>31</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_Toc31386 </w:instrText>
      </w:r>
      <w:r>
        <w:fldChar w:fldCharType="separate"/>
      </w:r>
      <w:r>
        <w:rPr>
          <w:rFonts w:hint="eastAsia" w:ascii="楷体_GB2312" w:hAnsi="楷体_GB2312" w:eastAsia="楷体_GB2312" w:cs="楷体_GB2312"/>
          <w:kern w:val="0"/>
          <w:szCs w:val="24"/>
        </w:rPr>
        <w:t>一、投资风险</w:t>
      </w:r>
      <w:r>
        <w:tab/>
      </w:r>
      <w:r>
        <w:fldChar w:fldCharType="begin"/>
      </w:r>
      <w:r>
        <w:instrText xml:space="preserve"> PAGEREF _Toc31386 \h </w:instrText>
      </w:r>
      <w:r>
        <w:fldChar w:fldCharType="separate"/>
      </w:r>
      <w:r>
        <w:t>31</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_Toc23334 </w:instrText>
      </w:r>
      <w:r>
        <w:fldChar w:fldCharType="separate"/>
      </w:r>
      <w:r>
        <w:rPr>
          <w:rFonts w:hint="eastAsia" w:ascii="楷体_GB2312" w:hAnsi="楷体_GB2312" w:eastAsia="楷体_GB2312" w:cs="楷体_GB2312"/>
          <w:kern w:val="0"/>
          <w:szCs w:val="24"/>
        </w:rPr>
        <w:t>二、基础资产相关风险</w:t>
      </w:r>
      <w:r>
        <w:tab/>
      </w:r>
      <w:r>
        <w:fldChar w:fldCharType="begin"/>
      </w:r>
      <w:r>
        <w:instrText xml:space="preserve"> PAGEREF _Toc23334 \h </w:instrText>
      </w:r>
      <w:r>
        <w:fldChar w:fldCharType="separate"/>
      </w:r>
      <w:r>
        <w:t>31</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_Toc3067 </w:instrText>
      </w:r>
      <w:r>
        <w:fldChar w:fldCharType="separate"/>
      </w:r>
      <w:r>
        <w:rPr>
          <w:rFonts w:hint="eastAsia" w:ascii="楷体_GB2312" w:hAnsi="楷体_GB2312" w:eastAsia="楷体_GB2312" w:cs="楷体_GB2312"/>
          <w:kern w:val="0"/>
          <w:szCs w:val="24"/>
        </w:rPr>
        <w:t>三、交易结构相关风险</w:t>
      </w:r>
      <w:r>
        <w:tab/>
      </w:r>
      <w:r>
        <w:fldChar w:fldCharType="begin"/>
      </w:r>
      <w:r>
        <w:instrText xml:space="preserve"> PAGEREF _Toc3067 \h </w:instrText>
      </w:r>
      <w:r>
        <w:fldChar w:fldCharType="separate"/>
      </w:r>
      <w:r>
        <w:t>31</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_Toc28480 </w:instrText>
      </w:r>
      <w:r>
        <w:fldChar w:fldCharType="separate"/>
      </w:r>
      <w:r>
        <w:rPr>
          <w:rFonts w:hint="eastAsia" w:ascii="楷体_GB2312" w:hAnsi="楷体_GB2312" w:eastAsia="楷体_GB2312" w:cs="楷体_GB2312"/>
          <w:kern w:val="0"/>
          <w:szCs w:val="24"/>
        </w:rPr>
        <w:t>四、发起机构相关风险</w:t>
      </w:r>
      <w:r>
        <w:tab/>
      </w:r>
      <w:r>
        <w:fldChar w:fldCharType="begin"/>
      </w:r>
      <w:r>
        <w:instrText xml:space="preserve"> PAGEREF _Toc28480 \h </w:instrText>
      </w:r>
      <w:r>
        <w:fldChar w:fldCharType="separate"/>
      </w:r>
      <w:r>
        <w:t>31</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_Toc23701 </w:instrText>
      </w:r>
      <w:r>
        <w:fldChar w:fldCharType="separate"/>
      </w:r>
      <w:r>
        <w:rPr>
          <w:rFonts w:hint="eastAsia" w:ascii="楷体_GB2312" w:hAnsi="楷体_GB2312" w:eastAsia="楷体_GB2312" w:cs="楷体_GB2312"/>
          <w:kern w:val="0"/>
          <w:szCs w:val="24"/>
        </w:rPr>
        <w:t>五、</w:t>
      </w:r>
      <w:r>
        <w:rPr>
          <w:rFonts w:hint="eastAsia" w:ascii="楷体_GB2312" w:hAnsi="楷体_GB2312" w:eastAsia="楷体_GB2312" w:cs="楷体_GB2312"/>
          <w:kern w:val="0"/>
          <w:szCs w:val="24"/>
          <w:lang w:val="en-US" w:eastAsia="zh-CN"/>
        </w:rPr>
        <w:t>信用增级机构</w:t>
      </w:r>
      <w:r>
        <w:rPr>
          <w:rFonts w:hint="eastAsia" w:ascii="楷体_GB2312" w:hAnsi="楷体_GB2312" w:eastAsia="楷体_GB2312" w:cs="楷体_GB2312"/>
          <w:kern w:val="0"/>
          <w:szCs w:val="24"/>
        </w:rPr>
        <w:t>相关风险</w:t>
      </w:r>
      <w:r>
        <w:rPr>
          <w:rFonts w:hint="eastAsia" w:ascii="楷体_GB2312" w:hAnsi="楷体_GB2312" w:eastAsia="楷体_GB2312" w:cs="楷体_GB2312"/>
          <w:kern w:val="0"/>
          <w:szCs w:val="24"/>
          <w:lang w:eastAsia="zh-CN"/>
        </w:rPr>
        <w:t>（</w:t>
      </w:r>
      <w:r>
        <w:rPr>
          <w:rFonts w:hint="eastAsia" w:ascii="楷体_GB2312" w:hAnsi="楷体_GB2312" w:eastAsia="楷体_GB2312" w:cs="楷体_GB2312"/>
          <w:kern w:val="0"/>
          <w:szCs w:val="24"/>
          <w:lang w:val="en-US" w:eastAsia="zh-CN"/>
        </w:rPr>
        <w:t>如有</w:t>
      </w:r>
      <w:r>
        <w:rPr>
          <w:rFonts w:hint="eastAsia" w:ascii="楷体_GB2312" w:hAnsi="楷体_GB2312" w:eastAsia="楷体_GB2312" w:cs="楷体_GB2312"/>
          <w:kern w:val="0"/>
          <w:szCs w:val="24"/>
          <w:lang w:eastAsia="zh-CN"/>
        </w:rPr>
        <w:t>）</w:t>
      </w:r>
      <w:r>
        <w:tab/>
      </w:r>
      <w:r>
        <w:fldChar w:fldCharType="begin"/>
      </w:r>
      <w:r>
        <w:instrText xml:space="preserve"> PAGEREF _Toc23701 \h </w:instrText>
      </w:r>
      <w:r>
        <w:fldChar w:fldCharType="separate"/>
      </w:r>
      <w:r>
        <w:t>31</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_Toc9686 </w:instrText>
      </w:r>
      <w:r>
        <w:fldChar w:fldCharType="separate"/>
      </w:r>
      <w:r>
        <w:rPr>
          <w:rFonts w:hint="eastAsia" w:ascii="楷体_GB2312" w:hAnsi="楷体_GB2312" w:eastAsia="楷体_GB2312" w:cs="楷体_GB2312"/>
          <w:kern w:val="0"/>
          <w:szCs w:val="24"/>
        </w:rPr>
        <w:t>六、</w:t>
      </w:r>
      <w:r>
        <w:rPr>
          <w:rFonts w:hint="eastAsia" w:ascii="楷体_GB2312" w:hAnsi="楷体_GB2312" w:eastAsia="楷体_GB2312" w:cs="楷体_GB2312"/>
          <w:kern w:val="0"/>
          <w:szCs w:val="24"/>
          <w:lang w:val="en-US" w:eastAsia="zh-CN"/>
        </w:rPr>
        <w:t>中介机构相关风险</w:t>
      </w:r>
      <w:r>
        <w:tab/>
      </w:r>
      <w:r>
        <w:fldChar w:fldCharType="begin"/>
      </w:r>
      <w:r>
        <w:instrText xml:space="preserve"> PAGEREF _Toc9686 \h </w:instrText>
      </w:r>
      <w:r>
        <w:fldChar w:fldCharType="separate"/>
      </w:r>
      <w:r>
        <w:t>31</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_Toc21064 </w:instrText>
      </w:r>
      <w:r>
        <w:fldChar w:fldCharType="separate"/>
      </w:r>
      <w:r>
        <w:rPr>
          <w:rFonts w:hint="eastAsia" w:ascii="楷体_GB2312" w:hAnsi="楷体_GB2312" w:eastAsia="楷体_GB2312" w:cs="楷体_GB2312"/>
          <w:kern w:val="0"/>
          <w:szCs w:val="24"/>
          <w:lang w:val="en-US" w:eastAsia="zh-CN"/>
        </w:rPr>
        <w:t>七</w:t>
      </w:r>
      <w:r>
        <w:rPr>
          <w:rFonts w:hint="eastAsia" w:ascii="楷体_GB2312" w:hAnsi="楷体_GB2312" w:eastAsia="楷体_GB2312" w:cs="楷体_GB2312"/>
          <w:kern w:val="0"/>
          <w:szCs w:val="24"/>
        </w:rPr>
        <w:t>、</w:t>
      </w:r>
      <w:r>
        <w:rPr>
          <w:rFonts w:hint="eastAsia" w:ascii="楷体_GB2312" w:hAnsi="楷体_GB2312" w:eastAsia="楷体_GB2312" w:cs="楷体_GB2312"/>
          <w:kern w:val="0"/>
          <w:szCs w:val="24"/>
          <w:lang w:val="en-US" w:eastAsia="zh-CN"/>
        </w:rPr>
        <w:t>定向资产支持商业票据相关风险</w:t>
      </w:r>
      <w:r>
        <w:tab/>
      </w:r>
      <w:r>
        <w:fldChar w:fldCharType="begin"/>
      </w:r>
      <w:r>
        <w:instrText xml:space="preserve"> PAGEREF _Toc21064 \h </w:instrText>
      </w:r>
      <w:r>
        <w:fldChar w:fldCharType="separate"/>
      </w:r>
      <w:r>
        <w:t>31</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_Toc16514 </w:instrText>
      </w:r>
      <w:r>
        <w:fldChar w:fldCharType="separate"/>
      </w:r>
      <w:r>
        <w:rPr>
          <w:rFonts w:hint="eastAsia" w:ascii="楷体_GB2312" w:hAnsi="楷体_GB2312" w:eastAsia="楷体_GB2312" w:cs="楷体_GB2312"/>
          <w:kern w:val="0"/>
          <w:szCs w:val="24"/>
          <w:lang w:val="en-US" w:eastAsia="zh-CN"/>
        </w:rPr>
        <w:t>八</w:t>
      </w:r>
      <w:r>
        <w:rPr>
          <w:rFonts w:hint="eastAsia" w:ascii="楷体_GB2312" w:hAnsi="楷体_GB2312" w:eastAsia="楷体_GB2312" w:cs="楷体_GB2312"/>
          <w:kern w:val="0"/>
          <w:szCs w:val="24"/>
        </w:rPr>
        <w:t>、其他特有风险</w:t>
      </w:r>
      <w:r>
        <w:tab/>
      </w:r>
      <w:r>
        <w:fldChar w:fldCharType="begin"/>
      </w:r>
      <w:r>
        <w:instrText xml:space="preserve"> PAGEREF _Toc16514 \h </w:instrText>
      </w:r>
      <w:r>
        <w:fldChar w:fldCharType="separate"/>
      </w:r>
      <w:r>
        <w:t>31</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rPr>
          <w:b/>
          <w:bCs/>
        </w:rPr>
        <w:fldChar w:fldCharType="begin"/>
      </w:r>
      <w:r>
        <w:rPr>
          <w:b/>
          <w:bCs/>
        </w:rPr>
        <w:instrText xml:space="preserve"> HYPERLINK \l _Toc13972 </w:instrText>
      </w:r>
      <w:r>
        <w:rPr>
          <w:b/>
          <w:bCs/>
        </w:rPr>
        <w:fldChar w:fldCharType="separate"/>
      </w:r>
      <w:r>
        <w:rPr>
          <w:rFonts w:hint="default" w:ascii="楷体_GB2312" w:hAnsi="楷体_GB2312" w:eastAsia="楷体_GB2312" w:cs="楷体_GB2312"/>
          <w:b/>
          <w:bCs/>
          <w:kern w:val="0"/>
          <w:szCs w:val="30"/>
        </w:rPr>
        <w:t xml:space="preserve">第三章 </w:t>
      </w:r>
      <w:r>
        <w:rPr>
          <w:rFonts w:hint="eastAsia" w:ascii="楷体_GB2312" w:hAnsi="楷体_GB2312" w:eastAsia="楷体_GB2312" w:cs="楷体_GB2312"/>
          <w:b/>
          <w:bCs/>
          <w:kern w:val="0"/>
          <w:szCs w:val="30"/>
        </w:rPr>
        <w:t>交易结构</w:t>
      </w:r>
      <w:r>
        <w:rPr>
          <w:b/>
          <w:bCs/>
        </w:rPr>
        <w:tab/>
      </w:r>
      <w:r>
        <w:rPr>
          <w:b/>
          <w:bCs/>
        </w:rPr>
        <w:fldChar w:fldCharType="begin"/>
      </w:r>
      <w:r>
        <w:rPr>
          <w:b/>
          <w:bCs/>
        </w:rPr>
        <w:instrText xml:space="preserve"> PAGEREF _Toc13972 \h </w:instrText>
      </w:r>
      <w:r>
        <w:rPr>
          <w:b/>
          <w:bCs/>
        </w:rPr>
        <w:fldChar w:fldCharType="separate"/>
      </w:r>
      <w:r>
        <w:rPr>
          <w:b/>
          <w:bCs/>
        </w:rPr>
        <w:t>32</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_Toc6330 </w:instrText>
      </w:r>
      <w:r>
        <w:fldChar w:fldCharType="separate"/>
      </w:r>
      <w:r>
        <w:rPr>
          <w:rFonts w:hint="eastAsia" w:ascii="楷体_GB2312" w:hAnsi="楷体_GB2312" w:eastAsia="楷体_GB2312" w:cs="楷体_GB2312"/>
          <w:kern w:val="0"/>
          <w:szCs w:val="24"/>
        </w:rPr>
        <w:t>一、交易结构图</w:t>
      </w:r>
      <w:r>
        <w:tab/>
      </w:r>
      <w:r>
        <w:fldChar w:fldCharType="begin"/>
      </w:r>
      <w:r>
        <w:instrText xml:space="preserve"> PAGEREF _Toc6330 \h </w:instrText>
      </w:r>
      <w:r>
        <w:fldChar w:fldCharType="separate"/>
      </w:r>
      <w:r>
        <w:t>32</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_Toc19283 </w:instrText>
      </w:r>
      <w:r>
        <w:fldChar w:fldCharType="separate"/>
      </w:r>
      <w:r>
        <w:rPr>
          <w:rFonts w:hint="eastAsia" w:ascii="楷体_GB2312" w:hAnsi="楷体_GB2312" w:eastAsia="楷体_GB2312" w:cs="楷体_GB2312"/>
          <w:kern w:val="0"/>
          <w:szCs w:val="24"/>
        </w:rPr>
        <w:t>二、交易结构介绍</w:t>
      </w:r>
      <w:r>
        <w:tab/>
      </w:r>
      <w:r>
        <w:fldChar w:fldCharType="begin"/>
      </w:r>
      <w:r>
        <w:instrText xml:space="preserve"> PAGEREF _Toc19283 \h </w:instrText>
      </w:r>
      <w:r>
        <w:fldChar w:fldCharType="separate"/>
      </w:r>
      <w:r>
        <w:t>32</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_Toc27116 </w:instrText>
      </w:r>
      <w:r>
        <w:fldChar w:fldCharType="separate"/>
      </w:r>
      <w:r>
        <w:rPr>
          <w:rFonts w:hint="eastAsia" w:ascii="楷体_GB2312" w:hAnsi="楷体_GB2312" w:eastAsia="楷体_GB2312" w:cs="楷体_GB2312"/>
          <w:kern w:val="0"/>
          <w:szCs w:val="24"/>
          <w:lang w:val="en-US" w:eastAsia="zh-CN"/>
        </w:rPr>
        <w:t>三、各当事方的权利与义务</w:t>
      </w:r>
      <w:r>
        <w:tab/>
      </w:r>
      <w:r>
        <w:fldChar w:fldCharType="begin"/>
      </w:r>
      <w:r>
        <w:instrText xml:space="preserve"> PAGEREF _Toc27116 \h </w:instrText>
      </w:r>
      <w:r>
        <w:fldChar w:fldCharType="separate"/>
      </w:r>
      <w:r>
        <w:t>35</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_Toc8098 </w:instrText>
      </w:r>
      <w:r>
        <w:rPr>
          <w:b/>
          <w:bCs/>
        </w:rPr>
        <w:fldChar w:fldCharType="separate"/>
      </w:r>
      <w:r>
        <w:rPr>
          <w:rFonts w:hint="default" w:ascii="楷体_GB2312" w:hAnsi="楷体_GB2312" w:eastAsia="楷体_GB2312" w:cs="楷体_GB2312"/>
          <w:b/>
          <w:bCs/>
          <w:kern w:val="0"/>
          <w:szCs w:val="30"/>
        </w:rPr>
        <w:t xml:space="preserve">第四章 </w:t>
      </w:r>
      <w:r>
        <w:rPr>
          <w:rFonts w:hint="eastAsia" w:ascii="楷体_GB2312" w:hAnsi="楷体_GB2312" w:eastAsia="楷体_GB2312" w:cs="楷体_GB2312"/>
          <w:b/>
          <w:bCs/>
          <w:kern w:val="0"/>
          <w:szCs w:val="30"/>
        </w:rPr>
        <w:t>信用增</w:t>
      </w:r>
      <w:r>
        <w:rPr>
          <w:rFonts w:hint="eastAsia" w:ascii="楷体_GB2312" w:hAnsi="楷体_GB2312" w:eastAsia="楷体_GB2312" w:cs="楷体_GB2312"/>
          <w:b/>
          <w:bCs/>
          <w:kern w:val="0"/>
          <w:szCs w:val="30"/>
          <w:lang w:val="en-US" w:eastAsia="zh-CN"/>
        </w:rPr>
        <w:t>级</w:t>
      </w:r>
      <w:r>
        <w:rPr>
          <w:rFonts w:hint="eastAsia" w:ascii="楷体_GB2312" w:hAnsi="楷体_GB2312" w:eastAsia="楷体_GB2312" w:cs="楷体_GB2312"/>
          <w:b/>
          <w:bCs/>
          <w:kern w:val="0"/>
          <w:szCs w:val="30"/>
        </w:rPr>
        <w:t>方式</w:t>
      </w:r>
      <w:r>
        <w:rPr>
          <w:b/>
          <w:bCs/>
        </w:rPr>
        <w:tab/>
      </w:r>
      <w:r>
        <w:rPr>
          <w:b/>
          <w:bCs/>
        </w:rPr>
        <w:fldChar w:fldCharType="begin"/>
      </w:r>
      <w:r>
        <w:rPr>
          <w:b/>
          <w:bCs/>
        </w:rPr>
        <w:instrText xml:space="preserve"> PAGEREF _Toc8098 \h </w:instrText>
      </w:r>
      <w:r>
        <w:rPr>
          <w:b/>
          <w:bCs/>
        </w:rPr>
        <w:fldChar w:fldCharType="separate"/>
      </w:r>
      <w:r>
        <w:rPr>
          <w:b/>
          <w:bCs/>
        </w:rPr>
        <w:t>36</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_Toc27632 </w:instrText>
      </w:r>
      <w:r>
        <w:fldChar w:fldCharType="separate"/>
      </w:r>
      <w:r>
        <w:rPr>
          <w:rFonts w:hint="eastAsia" w:ascii="楷体_GB2312" w:hAnsi="楷体_GB2312" w:eastAsia="楷体_GB2312" w:cs="楷体_GB2312"/>
          <w:kern w:val="0"/>
          <w:szCs w:val="24"/>
        </w:rPr>
        <w:t>一、内部增信安排</w:t>
      </w:r>
      <w:r>
        <w:tab/>
      </w:r>
      <w:r>
        <w:fldChar w:fldCharType="begin"/>
      </w:r>
      <w:r>
        <w:instrText xml:space="preserve"> PAGEREF _Toc27632 \h </w:instrText>
      </w:r>
      <w:r>
        <w:fldChar w:fldCharType="separate"/>
      </w:r>
      <w:r>
        <w:t>36</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_Toc6371 </w:instrText>
      </w:r>
      <w:r>
        <w:fldChar w:fldCharType="separate"/>
      </w:r>
      <w:r>
        <w:rPr>
          <w:rFonts w:hint="eastAsia" w:ascii="楷体_GB2312" w:hAnsi="楷体_GB2312" w:eastAsia="楷体_GB2312" w:cs="楷体_GB2312"/>
          <w:kern w:val="0"/>
          <w:szCs w:val="24"/>
        </w:rPr>
        <w:t>二、外部增</w:t>
      </w:r>
      <w:r>
        <w:rPr>
          <w:rFonts w:hint="eastAsia" w:ascii="楷体_GB2312" w:hAnsi="楷体_GB2312" w:eastAsia="楷体_GB2312" w:cs="楷体_GB2312"/>
          <w:kern w:val="0"/>
          <w:szCs w:val="24"/>
          <w:lang w:val="en-US" w:eastAsia="zh-CN"/>
        </w:rPr>
        <w:t>信安排</w:t>
      </w:r>
      <w:r>
        <w:tab/>
      </w:r>
      <w:r>
        <w:fldChar w:fldCharType="begin"/>
      </w:r>
      <w:r>
        <w:instrText xml:space="preserve"> PAGEREF _Toc6371 \h </w:instrText>
      </w:r>
      <w:r>
        <w:fldChar w:fldCharType="separate"/>
      </w:r>
      <w:r>
        <w:t>36</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_Toc3554 </w:instrText>
      </w:r>
      <w:r>
        <w:fldChar w:fldCharType="separate"/>
      </w:r>
      <w:r>
        <w:rPr>
          <w:rFonts w:hint="eastAsia" w:ascii="楷体_GB2312" w:hAnsi="楷体_GB2312" w:eastAsia="楷体_GB2312" w:cs="楷体_GB2312"/>
          <w:kern w:val="0"/>
          <w:szCs w:val="24"/>
        </w:rPr>
        <w:t>三、增</w:t>
      </w:r>
      <w:r>
        <w:rPr>
          <w:rFonts w:hint="eastAsia" w:ascii="楷体_GB2312" w:hAnsi="楷体_GB2312" w:eastAsia="楷体_GB2312" w:cs="楷体_GB2312"/>
          <w:kern w:val="0"/>
          <w:szCs w:val="24"/>
          <w:lang w:val="en-US" w:eastAsia="zh-CN"/>
        </w:rPr>
        <w:t>级</w:t>
      </w:r>
      <w:r>
        <w:rPr>
          <w:rFonts w:hint="eastAsia" w:ascii="楷体_GB2312" w:hAnsi="楷体_GB2312" w:eastAsia="楷体_GB2312" w:cs="楷体_GB2312"/>
          <w:kern w:val="0"/>
          <w:szCs w:val="24"/>
        </w:rPr>
        <w:t>方式的触发顺序</w:t>
      </w:r>
      <w:r>
        <w:tab/>
      </w:r>
      <w:r>
        <w:fldChar w:fldCharType="begin"/>
      </w:r>
      <w:r>
        <w:instrText xml:space="preserve"> PAGEREF _Toc3554 \h </w:instrText>
      </w:r>
      <w:r>
        <w:fldChar w:fldCharType="separate"/>
      </w:r>
      <w:r>
        <w:t>37</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_Toc26384 </w:instrText>
      </w:r>
      <w:r>
        <w:rPr>
          <w:b/>
          <w:bCs/>
        </w:rPr>
        <w:fldChar w:fldCharType="separate"/>
      </w:r>
      <w:r>
        <w:rPr>
          <w:rFonts w:hint="default" w:ascii="楷体_GB2312" w:hAnsi="楷体_GB2312" w:eastAsia="楷体_GB2312" w:cs="楷体_GB2312"/>
          <w:b/>
          <w:bCs/>
          <w:kern w:val="0"/>
          <w:szCs w:val="30"/>
        </w:rPr>
        <w:t xml:space="preserve">第五章 </w:t>
      </w:r>
      <w:r>
        <w:rPr>
          <w:rFonts w:hint="eastAsia" w:ascii="楷体_GB2312" w:hAnsi="楷体_GB2312" w:eastAsia="楷体_GB2312" w:cs="楷体_GB2312"/>
          <w:b/>
          <w:bCs/>
          <w:kern w:val="0"/>
          <w:szCs w:val="30"/>
        </w:rPr>
        <w:t>发起机构、</w:t>
      </w:r>
      <w:r>
        <w:rPr>
          <w:rFonts w:hint="eastAsia" w:ascii="楷体_GB2312" w:hAnsi="楷体_GB2312" w:eastAsia="楷体_GB2312" w:cs="楷体_GB2312"/>
          <w:b/>
          <w:bCs/>
          <w:kern w:val="0"/>
          <w:szCs w:val="30"/>
          <w:lang w:val="en-US" w:eastAsia="zh-CN"/>
        </w:rPr>
        <w:t>信用增级机构（如有）、发行载体管理机构</w:t>
      </w:r>
      <w:r>
        <w:rPr>
          <w:rFonts w:hint="eastAsia" w:ascii="楷体_GB2312" w:hAnsi="楷体_GB2312" w:eastAsia="楷体_GB2312" w:cs="楷体_GB2312"/>
          <w:b/>
          <w:bCs/>
          <w:kern w:val="0"/>
          <w:szCs w:val="30"/>
        </w:rPr>
        <w:t>及相关中介机构的基本情况</w:t>
      </w:r>
      <w:r>
        <w:rPr>
          <w:b/>
          <w:bCs/>
        </w:rPr>
        <w:tab/>
      </w:r>
      <w:r>
        <w:rPr>
          <w:b/>
          <w:bCs/>
        </w:rPr>
        <w:fldChar w:fldCharType="begin"/>
      </w:r>
      <w:r>
        <w:rPr>
          <w:b/>
          <w:bCs/>
        </w:rPr>
        <w:instrText xml:space="preserve"> PAGEREF _Toc26384 \h </w:instrText>
      </w:r>
      <w:r>
        <w:rPr>
          <w:b/>
          <w:bCs/>
        </w:rPr>
        <w:fldChar w:fldCharType="separate"/>
      </w:r>
      <w:r>
        <w:rPr>
          <w:b/>
          <w:bCs/>
        </w:rPr>
        <w:t>38</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_Toc28662 </w:instrText>
      </w:r>
      <w:r>
        <w:fldChar w:fldCharType="separate"/>
      </w:r>
      <w:r>
        <w:rPr>
          <w:rFonts w:hint="eastAsia" w:ascii="楷体_GB2312" w:hAnsi="楷体_GB2312" w:eastAsia="楷体_GB2312" w:cs="楷体_GB2312"/>
          <w:bCs/>
          <w:szCs w:val="24"/>
          <w:lang w:val="en-US" w:eastAsia="zh-CN"/>
        </w:rPr>
        <w:t>一、发起机构的基本情况</w:t>
      </w:r>
      <w:r>
        <w:tab/>
      </w:r>
      <w:r>
        <w:fldChar w:fldCharType="begin"/>
      </w:r>
      <w:r>
        <w:instrText xml:space="preserve"> PAGEREF _Toc28662 \h </w:instrText>
      </w:r>
      <w:r>
        <w:fldChar w:fldCharType="separate"/>
      </w:r>
      <w:r>
        <w:t>17</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_Toc8484 </w:instrText>
      </w:r>
      <w:r>
        <w:fldChar w:fldCharType="separate"/>
      </w:r>
      <w:r>
        <w:rPr>
          <w:rFonts w:hint="eastAsia" w:ascii="楷体_GB2312" w:hAnsi="楷体_GB2312" w:eastAsia="楷体_GB2312" w:cs="楷体_GB2312"/>
          <w:bCs/>
          <w:snapToGrid/>
          <w:kern w:val="2"/>
          <w:szCs w:val="24"/>
          <w:highlight w:val="none"/>
          <w:lang w:val="en-US" w:eastAsia="zh-CN"/>
        </w:rPr>
        <w:t>二</w:t>
      </w:r>
      <w:r>
        <w:rPr>
          <w:rFonts w:hint="eastAsia" w:ascii="楷体_GB2312" w:hAnsi="楷体_GB2312" w:eastAsia="楷体_GB2312" w:cs="楷体_GB2312"/>
          <w:bCs/>
          <w:snapToGrid/>
          <w:kern w:val="2"/>
          <w:szCs w:val="24"/>
          <w:highlight w:val="none"/>
        </w:rPr>
        <w:t>、</w:t>
      </w:r>
      <w:r>
        <w:rPr>
          <w:rFonts w:hint="eastAsia" w:ascii="楷体_GB2312" w:hAnsi="楷体_GB2312" w:eastAsia="楷体_GB2312" w:cs="楷体_GB2312"/>
          <w:bCs/>
          <w:snapToGrid/>
          <w:kern w:val="2"/>
          <w:szCs w:val="24"/>
          <w:highlight w:val="none"/>
          <w:lang w:val="en-US" w:eastAsia="zh-CN"/>
        </w:rPr>
        <w:t>信用增级机构</w:t>
      </w:r>
      <w:r>
        <w:rPr>
          <w:rFonts w:hint="eastAsia" w:ascii="楷体_GB2312" w:hAnsi="楷体_GB2312" w:eastAsia="楷体_GB2312" w:cs="楷体_GB2312"/>
          <w:bCs/>
          <w:snapToGrid/>
          <w:kern w:val="2"/>
          <w:szCs w:val="24"/>
          <w:highlight w:val="none"/>
        </w:rPr>
        <w:t>的基本情况</w:t>
      </w:r>
      <w:r>
        <w:rPr>
          <w:rFonts w:hint="eastAsia" w:ascii="楷体_GB2312" w:hAnsi="楷体_GB2312" w:eastAsia="楷体_GB2312" w:cs="楷体_GB2312"/>
          <w:bCs/>
          <w:snapToGrid/>
          <w:kern w:val="2"/>
          <w:szCs w:val="24"/>
          <w:highlight w:val="none"/>
          <w:lang w:eastAsia="zh-CN"/>
        </w:rPr>
        <w:t>（</w:t>
      </w:r>
      <w:r>
        <w:rPr>
          <w:rFonts w:hint="eastAsia" w:ascii="楷体_GB2312" w:hAnsi="楷体_GB2312" w:eastAsia="楷体_GB2312" w:cs="楷体_GB2312"/>
          <w:bCs/>
          <w:snapToGrid/>
          <w:kern w:val="2"/>
          <w:szCs w:val="24"/>
          <w:highlight w:val="none"/>
          <w:lang w:val="en-US" w:eastAsia="zh-CN"/>
        </w:rPr>
        <w:t>如有</w:t>
      </w:r>
      <w:r>
        <w:rPr>
          <w:rFonts w:hint="eastAsia" w:ascii="楷体_GB2312" w:hAnsi="楷体_GB2312" w:eastAsia="楷体_GB2312" w:cs="楷体_GB2312"/>
          <w:bCs/>
          <w:snapToGrid/>
          <w:kern w:val="2"/>
          <w:szCs w:val="24"/>
          <w:highlight w:val="none"/>
          <w:lang w:eastAsia="zh-CN"/>
        </w:rPr>
        <w:t>）</w:t>
      </w:r>
      <w:r>
        <w:tab/>
      </w:r>
      <w:r>
        <w:fldChar w:fldCharType="begin"/>
      </w:r>
      <w:r>
        <w:instrText xml:space="preserve"> PAGEREF _Toc8484 \h </w:instrText>
      </w:r>
      <w:r>
        <w:fldChar w:fldCharType="separate"/>
      </w:r>
      <w:r>
        <w:t>39</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_Toc20078 </w:instrText>
      </w:r>
      <w:r>
        <w:fldChar w:fldCharType="separate"/>
      </w:r>
      <w:r>
        <w:rPr>
          <w:rFonts w:hint="eastAsia" w:ascii="楷体_GB2312" w:hAnsi="楷体_GB2312" w:eastAsia="楷体_GB2312" w:cs="楷体_GB2312"/>
          <w:bCs/>
          <w:szCs w:val="24"/>
          <w:lang w:val="en-US" w:eastAsia="zh-CN"/>
        </w:rPr>
        <w:t>三</w:t>
      </w:r>
      <w:r>
        <w:rPr>
          <w:rFonts w:hint="eastAsia" w:ascii="楷体_GB2312" w:hAnsi="楷体_GB2312" w:eastAsia="楷体_GB2312" w:cs="楷体_GB2312"/>
          <w:bCs/>
          <w:szCs w:val="24"/>
        </w:rPr>
        <w:t>、发行载体管理机构</w:t>
      </w:r>
      <w:r>
        <w:rPr>
          <w:rFonts w:hint="eastAsia" w:ascii="楷体_GB2312" w:hAnsi="楷体_GB2312" w:eastAsia="楷体_GB2312" w:cs="楷体_GB2312"/>
          <w:bCs/>
          <w:szCs w:val="24"/>
          <w:lang w:val="en-US" w:eastAsia="zh-CN"/>
        </w:rPr>
        <w:t>的</w:t>
      </w:r>
      <w:r>
        <w:rPr>
          <w:rFonts w:hint="eastAsia" w:ascii="楷体_GB2312" w:hAnsi="楷体_GB2312" w:eastAsia="楷体_GB2312" w:cs="楷体_GB2312"/>
          <w:bCs/>
          <w:szCs w:val="24"/>
        </w:rPr>
        <w:t>基本情况</w:t>
      </w:r>
      <w:r>
        <w:tab/>
      </w:r>
      <w:r>
        <w:fldChar w:fldCharType="begin"/>
      </w:r>
      <w:r>
        <w:instrText xml:space="preserve"> PAGEREF _Toc20078 \h </w:instrText>
      </w:r>
      <w:r>
        <w:fldChar w:fldCharType="separate"/>
      </w:r>
      <w:r>
        <w:t>39</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_Toc22210 </w:instrText>
      </w:r>
      <w:r>
        <w:fldChar w:fldCharType="separate"/>
      </w:r>
      <w:r>
        <w:rPr>
          <w:rFonts w:hint="eastAsia" w:ascii="楷体_GB2312" w:hAnsi="楷体_GB2312" w:eastAsia="楷体_GB2312" w:cs="楷体_GB2312"/>
          <w:kern w:val="0"/>
          <w:szCs w:val="24"/>
          <w:lang w:val="en-US" w:eastAsia="zh-CN"/>
        </w:rPr>
        <w:t>四、资金保管机构的基本情况</w:t>
      </w:r>
      <w:r>
        <w:tab/>
      </w:r>
      <w:r>
        <w:fldChar w:fldCharType="begin"/>
      </w:r>
      <w:r>
        <w:instrText xml:space="preserve"> PAGEREF _Toc22210 \h </w:instrText>
      </w:r>
      <w:r>
        <w:fldChar w:fldCharType="separate"/>
      </w:r>
      <w:r>
        <w:t>39</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_Toc21792 </w:instrText>
      </w:r>
      <w:r>
        <w:fldChar w:fldCharType="separate"/>
      </w:r>
      <w:r>
        <w:rPr>
          <w:rFonts w:hint="eastAsia" w:ascii="楷体_GB2312" w:hAnsi="楷体_GB2312" w:eastAsia="楷体_GB2312" w:cs="楷体_GB2312"/>
          <w:kern w:val="0"/>
          <w:szCs w:val="24"/>
          <w:lang w:val="en-US" w:eastAsia="zh-CN"/>
        </w:rPr>
        <w:t>五、资产服务机构的基本情况（如有）</w:t>
      </w:r>
      <w:r>
        <w:tab/>
      </w:r>
      <w:r>
        <w:fldChar w:fldCharType="begin"/>
      </w:r>
      <w:r>
        <w:instrText xml:space="preserve"> PAGEREF _Toc21792 \h </w:instrText>
      </w:r>
      <w:r>
        <w:fldChar w:fldCharType="separate"/>
      </w:r>
      <w:r>
        <w:t>39</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_Toc31777 </w:instrText>
      </w:r>
      <w:r>
        <w:fldChar w:fldCharType="separate"/>
      </w:r>
      <w:r>
        <w:rPr>
          <w:rFonts w:hint="eastAsia" w:ascii="楷体_GB2312" w:hAnsi="楷体_GB2312" w:eastAsia="楷体_GB2312" w:cs="楷体_GB2312"/>
          <w:kern w:val="0"/>
          <w:szCs w:val="24"/>
          <w:lang w:val="en-US" w:eastAsia="zh-CN"/>
        </w:rPr>
        <w:t>六、资金监管机构的基本情况（如有）</w:t>
      </w:r>
      <w:r>
        <w:tab/>
      </w:r>
      <w:r>
        <w:fldChar w:fldCharType="begin"/>
      </w:r>
      <w:r>
        <w:instrText xml:space="preserve"> PAGEREF _Toc31777 \h </w:instrText>
      </w:r>
      <w:r>
        <w:fldChar w:fldCharType="separate"/>
      </w:r>
      <w:r>
        <w:t>39</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_Toc10302 </w:instrText>
      </w:r>
      <w:r>
        <w:fldChar w:fldCharType="separate"/>
      </w:r>
      <w:r>
        <w:rPr>
          <w:rFonts w:hint="eastAsia" w:ascii="楷体_GB2312" w:hAnsi="楷体_GB2312" w:eastAsia="楷体_GB2312" w:cs="楷体_GB2312"/>
          <w:kern w:val="0"/>
          <w:szCs w:val="24"/>
          <w:lang w:val="en-US" w:eastAsia="zh-CN"/>
        </w:rPr>
        <w:t>七、主承销商的基本情况</w:t>
      </w:r>
      <w:r>
        <w:tab/>
      </w:r>
      <w:r>
        <w:fldChar w:fldCharType="begin"/>
      </w:r>
      <w:r>
        <w:instrText xml:space="preserve"> PAGEREF _Toc10302 \h </w:instrText>
      </w:r>
      <w:r>
        <w:fldChar w:fldCharType="separate"/>
      </w:r>
      <w:r>
        <w:t>39</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_Toc27195 </w:instrText>
      </w:r>
      <w:r>
        <w:fldChar w:fldCharType="separate"/>
      </w:r>
      <w:r>
        <w:rPr>
          <w:rFonts w:hint="eastAsia" w:ascii="楷体_GB2312" w:hAnsi="楷体_GB2312" w:eastAsia="楷体_GB2312" w:cs="楷体_GB2312"/>
          <w:kern w:val="0"/>
          <w:szCs w:val="24"/>
          <w:lang w:val="en-US" w:eastAsia="zh-CN"/>
        </w:rPr>
        <w:t>八、律师事务所的基本情况</w:t>
      </w:r>
      <w:r>
        <w:tab/>
      </w:r>
      <w:r>
        <w:fldChar w:fldCharType="begin"/>
      </w:r>
      <w:r>
        <w:instrText xml:space="preserve"> PAGEREF _Toc27195 \h </w:instrText>
      </w:r>
      <w:r>
        <w:fldChar w:fldCharType="separate"/>
      </w:r>
      <w:r>
        <w:t>39</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_Toc5177 </w:instrText>
      </w:r>
      <w:r>
        <w:fldChar w:fldCharType="separate"/>
      </w:r>
      <w:r>
        <w:rPr>
          <w:rFonts w:hint="eastAsia" w:ascii="楷体_GB2312" w:hAnsi="楷体_GB2312" w:eastAsia="楷体_GB2312" w:cs="楷体_GB2312"/>
          <w:kern w:val="0"/>
          <w:szCs w:val="24"/>
          <w:lang w:val="en-US" w:eastAsia="zh-CN"/>
        </w:rPr>
        <w:t>九、信用评级机构的基本情况（如有）</w:t>
      </w:r>
      <w:r>
        <w:tab/>
      </w:r>
      <w:r>
        <w:fldChar w:fldCharType="begin"/>
      </w:r>
      <w:r>
        <w:instrText xml:space="preserve"> PAGEREF _Toc5177 \h </w:instrText>
      </w:r>
      <w:r>
        <w:fldChar w:fldCharType="separate"/>
      </w:r>
      <w:r>
        <w:t>39</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_Toc15761 </w:instrText>
      </w:r>
      <w:r>
        <w:fldChar w:fldCharType="separate"/>
      </w:r>
      <w:r>
        <w:rPr>
          <w:rFonts w:hint="eastAsia" w:ascii="楷体_GB2312" w:hAnsi="楷体_GB2312" w:eastAsia="楷体_GB2312" w:cs="楷体_GB2312"/>
          <w:kern w:val="0"/>
          <w:szCs w:val="24"/>
          <w:lang w:val="en-US" w:eastAsia="zh-CN"/>
        </w:rPr>
        <w:t>十、与相关机构的关系</w:t>
      </w:r>
      <w:r>
        <w:tab/>
      </w:r>
      <w:r>
        <w:fldChar w:fldCharType="begin"/>
      </w:r>
      <w:r>
        <w:instrText xml:space="preserve"> PAGEREF _Toc15761 \h </w:instrText>
      </w:r>
      <w:r>
        <w:fldChar w:fldCharType="separate"/>
      </w:r>
      <w:r>
        <w:t>39</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_Toc28682 </w:instrText>
      </w:r>
      <w:r>
        <w:rPr>
          <w:b/>
          <w:bCs/>
        </w:rPr>
        <w:fldChar w:fldCharType="separate"/>
      </w:r>
      <w:r>
        <w:rPr>
          <w:rFonts w:hint="default" w:ascii="楷体_GB2312" w:hAnsi="楷体_GB2312" w:eastAsia="楷体_GB2312" w:cs="楷体_GB2312"/>
          <w:b/>
          <w:bCs/>
          <w:kern w:val="0"/>
          <w:szCs w:val="30"/>
        </w:rPr>
        <w:t xml:space="preserve">第六章 </w:t>
      </w:r>
      <w:r>
        <w:rPr>
          <w:rFonts w:hint="eastAsia" w:ascii="楷体_GB2312" w:hAnsi="楷体_GB2312" w:eastAsia="楷体_GB2312" w:cs="楷体_GB2312"/>
          <w:b/>
          <w:bCs/>
          <w:kern w:val="0"/>
          <w:szCs w:val="30"/>
        </w:rPr>
        <w:t>基础资产情况及现金流预测分析</w:t>
      </w:r>
      <w:r>
        <w:rPr>
          <w:b/>
          <w:bCs/>
        </w:rPr>
        <w:tab/>
      </w:r>
      <w:r>
        <w:rPr>
          <w:b/>
          <w:bCs/>
        </w:rPr>
        <w:fldChar w:fldCharType="begin"/>
      </w:r>
      <w:r>
        <w:rPr>
          <w:b/>
          <w:bCs/>
        </w:rPr>
        <w:instrText xml:space="preserve"> PAGEREF _Toc28682 \h </w:instrText>
      </w:r>
      <w:r>
        <w:rPr>
          <w:b/>
          <w:bCs/>
        </w:rPr>
        <w:fldChar w:fldCharType="separate"/>
      </w:r>
      <w:r>
        <w:rPr>
          <w:b/>
          <w:bCs/>
        </w:rPr>
        <w:t>40</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_Toc13789 </w:instrText>
      </w:r>
      <w:r>
        <w:fldChar w:fldCharType="separate"/>
      </w:r>
      <w:r>
        <w:rPr>
          <w:rFonts w:hint="eastAsia" w:ascii="楷体_GB2312" w:hAnsi="楷体_GB2312" w:eastAsia="楷体_GB2312" w:cs="楷体_GB2312"/>
          <w:bCs/>
          <w:szCs w:val="24"/>
        </w:rPr>
        <w:t>一、基础资产情况</w:t>
      </w:r>
      <w:r>
        <w:tab/>
      </w:r>
      <w:r>
        <w:fldChar w:fldCharType="begin"/>
      </w:r>
      <w:r>
        <w:instrText xml:space="preserve"> PAGEREF _Toc13789 \h </w:instrText>
      </w:r>
      <w:r>
        <w:fldChar w:fldCharType="separate"/>
      </w:r>
      <w:r>
        <w:t>40</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_Toc11948 </w:instrText>
      </w:r>
      <w:r>
        <w:fldChar w:fldCharType="separate"/>
      </w:r>
      <w:r>
        <w:rPr>
          <w:rFonts w:hint="eastAsia" w:ascii="楷体_GB2312" w:hAnsi="楷体_GB2312" w:eastAsia="楷体_GB2312" w:cs="楷体_GB2312"/>
          <w:bCs/>
          <w:szCs w:val="24"/>
        </w:rPr>
        <w:t>二、基础资产现金流形成机制及历史数据</w:t>
      </w:r>
      <w:r>
        <w:tab/>
      </w:r>
      <w:r>
        <w:fldChar w:fldCharType="begin"/>
      </w:r>
      <w:r>
        <w:instrText xml:space="preserve"> PAGEREF _Toc11948 \h </w:instrText>
      </w:r>
      <w:r>
        <w:fldChar w:fldCharType="separate"/>
      </w:r>
      <w:r>
        <w:t>40</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_Toc727 </w:instrText>
      </w:r>
      <w:r>
        <w:fldChar w:fldCharType="separate"/>
      </w:r>
      <w:r>
        <w:rPr>
          <w:rFonts w:hint="eastAsia" w:ascii="楷体_GB2312" w:hAnsi="楷体_GB2312" w:eastAsia="楷体_GB2312" w:cs="楷体_GB2312"/>
          <w:bCs/>
          <w:szCs w:val="24"/>
        </w:rPr>
        <w:t>三、基础资产现金流预测分析、压力测试情况</w:t>
      </w:r>
      <w:r>
        <w:tab/>
      </w:r>
      <w:r>
        <w:fldChar w:fldCharType="begin"/>
      </w:r>
      <w:r>
        <w:instrText xml:space="preserve"> PAGEREF _Toc727 \h </w:instrText>
      </w:r>
      <w:r>
        <w:fldChar w:fldCharType="separate"/>
      </w:r>
      <w:r>
        <w:t>21</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_Toc12868 </w:instrText>
      </w:r>
      <w:r>
        <w:rPr>
          <w:b/>
          <w:bCs/>
        </w:rPr>
        <w:fldChar w:fldCharType="separate"/>
      </w:r>
      <w:r>
        <w:rPr>
          <w:rFonts w:hint="default" w:ascii="楷体_GB2312" w:hAnsi="楷体_GB2312" w:eastAsia="楷体_GB2312" w:cs="楷体_GB2312"/>
          <w:b/>
          <w:bCs/>
          <w:kern w:val="0"/>
          <w:szCs w:val="30"/>
        </w:rPr>
        <w:t xml:space="preserve">第七章 </w:t>
      </w:r>
      <w:r>
        <w:rPr>
          <w:rFonts w:hint="eastAsia" w:ascii="楷体_GB2312" w:hAnsi="楷体_GB2312" w:eastAsia="楷体_GB2312" w:cs="楷体_GB2312"/>
          <w:b/>
          <w:bCs/>
          <w:kern w:val="0"/>
          <w:szCs w:val="30"/>
        </w:rPr>
        <w:t>现金流归集与管理机制、投资及分配机制</w:t>
      </w:r>
      <w:r>
        <w:rPr>
          <w:b/>
          <w:bCs/>
        </w:rPr>
        <w:tab/>
      </w:r>
      <w:r>
        <w:rPr>
          <w:b/>
          <w:bCs/>
        </w:rPr>
        <w:fldChar w:fldCharType="begin"/>
      </w:r>
      <w:r>
        <w:rPr>
          <w:b/>
          <w:bCs/>
        </w:rPr>
        <w:instrText xml:space="preserve"> PAGEREF _Toc12868 \h </w:instrText>
      </w:r>
      <w:r>
        <w:rPr>
          <w:b/>
          <w:bCs/>
        </w:rPr>
        <w:fldChar w:fldCharType="separate"/>
      </w:r>
      <w:r>
        <w:rPr>
          <w:b/>
          <w:bCs/>
        </w:rPr>
        <w:t>41</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_Toc23101 </w:instrText>
      </w:r>
      <w:r>
        <w:fldChar w:fldCharType="separate"/>
      </w:r>
      <w:r>
        <w:rPr>
          <w:rFonts w:hint="eastAsia" w:ascii="楷体_GB2312" w:hAnsi="楷体_GB2312" w:eastAsia="楷体_GB2312" w:cs="楷体_GB2312"/>
          <w:bCs/>
          <w:szCs w:val="24"/>
        </w:rPr>
        <w:t>一、现金流的归集安排</w:t>
      </w:r>
      <w:r>
        <w:tab/>
      </w:r>
      <w:r>
        <w:fldChar w:fldCharType="begin"/>
      </w:r>
      <w:r>
        <w:instrText xml:space="preserve"> PAGEREF _Toc23101 \h </w:instrText>
      </w:r>
      <w:r>
        <w:fldChar w:fldCharType="separate"/>
      </w:r>
      <w:r>
        <w:t>41</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_Toc817 </w:instrText>
      </w:r>
      <w:r>
        <w:fldChar w:fldCharType="separate"/>
      </w:r>
      <w:r>
        <w:rPr>
          <w:rFonts w:hint="eastAsia" w:ascii="楷体_GB2312" w:hAnsi="楷体_GB2312" w:eastAsia="楷体_GB2312" w:cs="楷体_GB2312"/>
          <w:bCs/>
          <w:szCs w:val="24"/>
        </w:rPr>
        <w:t>二、现金流运用及投资安排</w:t>
      </w:r>
      <w:r>
        <w:tab/>
      </w:r>
      <w:r>
        <w:fldChar w:fldCharType="begin"/>
      </w:r>
      <w:r>
        <w:instrText xml:space="preserve"> PAGEREF _Toc817 \h </w:instrText>
      </w:r>
      <w:r>
        <w:fldChar w:fldCharType="separate"/>
      </w:r>
      <w:r>
        <w:t>41</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_Toc28033 </w:instrText>
      </w:r>
      <w:r>
        <w:fldChar w:fldCharType="separate"/>
      </w:r>
      <w:r>
        <w:rPr>
          <w:rFonts w:hint="eastAsia" w:ascii="楷体_GB2312" w:hAnsi="楷体_GB2312" w:eastAsia="楷体_GB2312" w:cs="楷体_GB2312"/>
          <w:bCs/>
          <w:szCs w:val="24"/>
        </w:rPr>
        <w:t>三、现金流分配机制</w:t>
      </w:r>
      <w:r>
        <w:tab/>
      </w:r>
      <w:r>
        <w:fldChar w:fldCharType="begin"/>
      </w:r>
      <w:r>
        <w:instrText xml:space="preserve"> PAGEREF _Toc28033 \h </w:instrText>
      </w:r>
      <w:r>
        <w:fldChar w:fldCharType="separate"/>
      </w:r>
      <w:r>
        <w:t>41</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_Toc7929 </w:instrText>
      </w:r>
      <w:r>
        <w:rPr>
          <w:b/>
          <w:bCs/>
        </w:rPr>
        <w:fldChar w:fldCharType="separate"/>
      </w:r>
      <w:r>
        <w:rPr>
          <w:rFonts w:hint="default" w:ascii="楷体_GB2312" w:hAnsi="楷体_GB2312" w:eastAsia="楷体_GB2312" w:cs="楷体_GB2312"/>
          <w:b/>
          <w:bCs/>
          <w:kern w:val="0"/>
          <w:szCs w:val="30"/>
        </w:rPr>
        <w:t xml:space="preserve">第八章 </w:t>
      </w:r>
      <w:r>
        <w:rPr>
          <w:rFonts w:hint="eastAsia" w:ascii="楷体_GB2312" w:hAnsi="楷体_GB2312" w:eastAsia="楷体_GB2312" w:cs="楷体_GB2312"/>
          <w:b/>
          <w:bCs/>
          <w:kern w:val="0"/>
          <w:szCs w:val="30"/>
        </w:rPr>
        <w:t>风险自留的相关情况</w:t>
      </w:r>
      <w:r>
        <w:rPr>
          <w:b/>
          <w:bCs/>
        </w:rPr>
        <w:tab/>
      </w:r>
      <w:r>
        <w:rPr>
          <w:b/>
          <w:bCs/>
        </w:rPr>
        <w:fldChar w:fldCharType="begin"/>
      </w:r>
      <w:r>
        <w:rPr>
          <w:b/>
          <w:bCs/>
        </w:rPr>
        <w:instrText xml:space="preserve"> PAGEREF _Toc7929 \h </w:instrText>
      </w:r>
      <w:r>
        <w:rPr>
          <w:b/>
          <w:bCs/>
        </w:rPr>
        <w:fldChar w:fldCharType="separate"/>
      </w:r>
      <w:r>
        <w:rPr>
          <w:b/>
          <w:bCs/>
        </w:rPr>
        <w:t>42</w:t>
      </w:r>
      <w:r>
        <w:rPr>
          <w:b/>
          <w:bCs/>
        </w:rPr>
        <w:fldChar w:fldCharType="end"/>
      </w:r>
      <w:r>
        <w:rPr>
          <w:b/>
          <w:bCs/>
        </w:rP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_Toc11470 </w:instrText>
      </w:r>
      <w:r>
        <w:rPr>
          <w:b/>
          <w:bCs/>
        </w:rPr>
        <w:fldChar w:fldCharType="separate"/>
      </w:r>
      <w:r>
        <w:rPr>
          <w:rFonts w:hint="default" w:ascii="楷体_GB2312" w:hAnsi="楷体_GB2312" w:eastAsia="楷体_GB2312" w:cs="楷体_GB2312"/>
          <w:b/>
          <w:bCs/>
          <w:kern w:val="0"/>
          <w:szCs w:val="30"/>
        </w:rPr>
        <w:t xml:space="preserve">第九章 </w:t>
      </w:r>
      <w:r>
        <w:rPr>
          <w:rFonts w:hint="eastAsia" w:ascii="楷体_GB2312" w:hAnsi="楷体_GB2312" w:eastAsia="楷体_GB2312" w:cs="楷体_GB2312"/>
          <w:b/>
          <w:bCs/>
          <w:kern w:val="0"/>
          <w:szCs w:val="30"/>
        </w:rPr>
        <w:t>募集资金用途及合法合规性声明</w:t>
      </w:r>
      <w:r>
        <w:rPr>
          <w:b/>
          <w:bCs/>
        </w:rPr>
        <w:tab/>
      </w:r>
      <w:r>
        <w:rPr>
          <w:b/>
          <w:bCs/>
        </w:rPr>
        <w:fldChar w:fldCharType="begin"/>
      </w:r>
      <w:r>
        <w:rPr>
          <w:b/>
          <w:bCs/>
        </w:rPr>
        <w:instrText xml:space="preserve"> PAGEREF _Toc11470 \h </w:instrText>
      </w:r>
      <w:r>
        <w:rPr>
          <w:b/>
          <w:bCs/>
        </w:rPr>
        <w:fldChar w:fldCharType="separate"/>
      </w:r>
      <w:r>
        <w:rPr>
          <w:b/>
          <w:bCs/>
        </w:rPr>
        <w:t>43</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_Toc582 </w:instrText>
      </w:r>
      <w:r>
        <w:fldChar w:fldCharType="separate"/>
      </w:r>
      <w:r>
        <w:rPr>
          <w:rFonts w:hint="eastAsia" w:ascii="楷体_GB2312" w:hAnsi="楷体_GB2312" w:eastAsia="楷体_GB2312" w:cs="楷体_GB2312"/>
          <w:bCs/>
          <w:snapToGrid/>
          <w:szCs w:val="24"/>
          <w:lang w:eastAsia="zh-CN"/>
        </w:rPr>
        <w:t>一、募集资金用途</w:t>
      </w:r>
      <w:r>
        <w:tab/>
      </w:r>
      <w:r>
        <w:fldChar w:fldCharType="begin"/>
      </w:r>
      <w:r>
        <w:instrText xml:space="preserve"> PAGEREF _Toc582 \h </w:instrText>
      </w:r>
      <w:r>
        <w:fldChar w:fldCharType="separate"/>
      </w:r>
      <w:r>
        <w:t>43</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_Toc5097 </w:instrText>
      </w:r>
      <w:r>
        <w:fldChar w:fldCharType="separate"/>
      </w:r>
      <w:r>
        <w:rPr>
          <w:rFonts w:hint="eastAsia" w:ascii="楷体_GB2312" w:hAnsi="楷体_GB2312" w:eastAsia="楷体_GB2312" w:cs="楷体_GB2312"/>
          <w:bCs/>
          <w:snapToGrid/>
          <w:szCs w:val="24"/>
          <w:lang w:eastAsia="zh-CN"/>
        </w:rPr>
        <w:t>二、承诺</w:t>
      </w:r>
      <w:r>
        <w:tab/>
      </w:r>
      <w:r>
        <w:fldChar w:fldCharType="begin"/>
      </w:r>
      <w:r>
        <w:instrText xml:space="preserve"> PAGEREF _Toc5097 \h </w:instrText>
      </w:r>
      <w:r>
        <w:fldChar w:fldCharType="separate"/>
      </w:r>
      <w:r>
        <w:t>21</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_Toc13024 </w:instrText>
      </w:r>
      <w:r>
        <w:rPr>
          <w:b/>
          <w:bCs/>
        </w:rPr>
        <w:fldChar w:fldCharType="separate"/>
      </w:r>
      <w:r>
        <w:rPr>
          <w:rFonts w:hint="default" w:ascii="楷体_GB2312" w:hAnsi="楷体_GB2312" w:eastAsia="楷体_GB2312" w:cs="楷体_GB2312"/>
          <w:b/>
          <w:bCs/>
          <w:kern w:val="0"/>
          <w:szCs w:val="30"/>
        </w:rPr>
        <w:t xml:space="preserve">第十章 </w:t>
      </w:r>
      <w:r>
        <w:rPr>
          <w:rFonts w:hint="eastAsia" w:ascii="楷体_GB2312" w:hAnsi="楷体_GB2312" w:eastAsia="楷体_GB2312" w:cs="楷体_GB2312"/>
          <w:b/>
          <w:bCs/>
          <w:kern w:val="0"/>
          <w:szCs w:val="30"/>
        </w:rPr>
        <w:t>主要交易文件摘要</w:t>
      </w:r>
      <w:r>
        <w:rPr>
          <w:b/>
          <w:bCs/>
        </w:rPr>
        <w:tab/>
      </w:r>
      <w:r>
        <w:rPr>
          <w:b/>
          <w:bCs/>
        </w:rPr>
        <w:fldChar w:fldCharType="begin"/>
      </w:r>
      <w:r>
        <w:rPr>
          <w:b/>
          <w:bCs/>
        </w:rPr>
        <w:instrText xml:space="preserve"> PAGEREF _Toc13024 \h </w:instrText>
      </w:r>
      <w:r>
        <w:rPr>
          <w:b/>
          <w:bCs/>
        </w:rPr>
        <w:fldChar w:fldCharType="separate"/>
      </w:r>
      <w:r>
        <w:rPr>
          <w:b/>
          <w:bCs/>
        </w:rPr>
        <w:t>45</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_Toc11603 </w:instrText>
      </w:r>
      <w:r>
        <w:fldChar w:fldCharType="separate"/>
      </w:r>
      <w:r>
        <w:rPr>
          <w:rFonts w:hint="eastAsia" w:ascii="楷体_GB2312" w:hAnsi="楷体_GB2312" w:eastAsia="楷体_GB2312" w:cs="楷体_GB2312"/>
          <w:bCs/>
          <w:szCs w:val="24"/>
        </w:rPr>
        <w:t>一、《信托合同》摘要</w:t>
      </w:r>
      <w:r>
        <w:tab/>
      </w:r>
      <w:r>
        <w:fldChar w:fldCharType="begin"/>
      </w:r>
      <w:r>
        <w:instrText xml:space="preserve"> PAGEREF _Toc11603 \h </w:instrText>
      </w:r>
      <w:r>
        <w:fldChar w:fldCharType="separate"/>
      </w:r>
      <w:r>
        <w:t>45</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_Toc23351 </w:instrText>
      </w:r>
      <w:r>
        <w:fldChar w:fldCharType="separate"/>
      </w:r>
      <w:r>
        <w:rPr>
          <w:rFonts w:hint="eastAsia" w:ascii="楷体_GB2312" w:hAnsi="楷体_GB2312" w:eastAsia="楷体_GB2312" w:cs="楷体_GB2312"/>
          <w:bCs/>
          <w:szCs w:val="24"/>
        </w:rPr>
        <w:t>二、《服务合同》摘要</w:t>
      </w:r>
      <w:r>
        <w:rPr>
          <w:rFonts w:hint="eastAsia" w:ascii="楷体_GB2312" w:hAnsi="楷体_GB2312" w:eastAsia="楷体_GB2312" w:cs="楷体_GB2312"/>
          <w:bCs/>
          <w:szCs w:val="24"/>
          <w:lang w:eastAsia="zh-CN"/>
        </w:rPr>
        <w:t>（</w:t>
      </w:r>
      <w:r>
        <w:rPr>
          <w:rFonts w:hint="eastAsia" w:ascii="楷体_GB2312" w:hAnsi="楷体_GB2312" w:eastAsia="楷体_GB2312" w:cs="楷体_GB2312"/>
          <w:bCs/>
          <w:szCs w:val="24"/>
          <w:lang w:val="en-US" w:eastAsia="zh-CN"/>
        </w:rPr>
        <w:t>如有</w:t>
      </w:r>
      <w:r>
        <w:rPr>
          <w:rFonts w:hint="eastAsia" w:ascii="楷体_GB2312" w:hAnsi="楷体_GB2312" w:eastAsia="楷体_GB2312" w:cs="楷体_GB2312"/>
          <w:bCs/>
          <w:szCs w:val="24"/>
          <w:lang w:eastAsia="zh-CN"/>
        </w:rPr>
        <w:t>）</w:t>
      </w:r>
      <w:r>
        <w:tab/>
      </w:r>
      <w:r>
        <w:fldChar w:fldCharType="begin"/>
      </w:r>
      <w:r>
        <w:instrText xml:space="preserve"> PAGEREF _Toc23351 \h </w:instrText>
      </w:r>
      <w:r>
        <w:fldChar w:fldCharType="separate"/>
      </w:r>
      <w:r>
        <w:t>45</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_Toc3072 </w:instrText>
      </w:r>
      <w:r>
        <w:fldChar w:fldCharType="separate"/>
      </w:r>
      <w:r>
        <w:rPr>
          <w:rFonts w:hint="eastAsia" w:ascii="楷体_GB2312" w:hAnsi="楷体_GB2312" w:eastAsia="楷体_GB2312" w:cs="楷体_GB2312"/>
          <w:bCs/>
          <w:szCs w:val="24"/>
        </w:rPr>
        <w:t>三、《资金保管合同》摘要</w:t>
      </w:r>
      <w:r>
        <w:tab/>
      </w:r>
      <w:r>
        <w:fldChar w:fldCharType="begin"/>
      </w:r>
      <w:r>
        <w:instrText xml:space="preserve"> PAGEREF _Toc3072 \h </w:instrText>
      </w:r>
      <w:r>
        <w:fldChar w:fldCharType="separate"/>
      </w:r>
      <w:r>
        <w:t>45</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_Toc21433 </w:instrText>
      </w:r>
      <w:r>
        <w:fldChar w:fldCharType="separate"/>
      </w:r>
      <w:r>
        <w:rPr>
          <w:rFonts w:hint="eastAsia" w:ascii="楷体_GB2312" w:hAnsi="楷体_GB2312" w:eastAsia="楷体_GB2312" w:cs="楷体_GB2312"/>
          <w:bCs/>
          <w:szCs w:val="24"/>
          <w:lang w:val="en-US" w:eastAsia="zh-CN"/>
        </w:rPr>
        <w:t>四、《资金监管合同》</w:t>
      </w:r>
      <w:r>
        <w:rPr>
          <w:rFonts w:hint="eastAsia" w:ascii="楷体_GB2312" w:hAnsi="楷体_GB2312" w:eastAsia="楷体_GB2312" w:cs="楷体_GB2312"/>
          <w:bCs/>
          <w:szCs w:val="24"/>
        </w:rPr>
        <w:t>摘要</w:t>
      </w:r>
      <w:r>
        <w:rPr>
          <w:rFonts w:hint="eastAsia" w:ascii="楷体_GB2312" w:hAnsi="楷体_GB2312" w:eastAsia="楷体_GB2312" w:cs="楷体_GB2312"/>
          <w:bCs/>
          <w:szCs w:val="24"/>
          <w:lang w:eastAsia="zh-CN"/>
        </w:rPr>
        <w:t>（</w:t>
      </w:r>
      <w:r>
        <w:rPr>
          <w:rFonts w:hint="eastAsia" w:ascii="楷体_GB2312" w:hAnsi="楷体_GB2312" w:eastAsia="楷体_GB2312" w:cs="楷体_GB2312"/>
          <w:bCs/>
          <w:szCs w:val="24"/>
          <w:lang w:val="en-US" w:eastAsia="zh-CN"/>
        </w:rPr>
        <w:t>如有</w:t>
      </w:r>
      <w:r>
        <w:rPr>
          <w:rFonts w:hint="eastAsia" w:ascii="楷体_GB2312" w:hAnsi="楷体_GB2312" w:eastAsia="楷体_GB2312" w:cs="楷体_GB2312"/>
          <w:bCs/>
          <w:szCs w:val="24"/>
          <w:lang w:eastAsia="zh-CN"/>
        </w:rPr>
        <w:t>）</w:t>
      </w:r>
      <w:r>
        <w:tab/>
      </w:r>
      <w:r>
        <w:fldChar w:fldCharType="begin"/>
      </w:r>
      <w:r>
        <w:instrText xml:space="preserve"> PAGEREF _Toc21433 \h </w:instrText>
      </w:r>
      <w:r>
        <w:fldChar w:fldCharType="separate"/>
      </w:r>
      <w:r>
        <w:t>45</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rFonts w:hint="eastAsia" w:eastAsia="宋体"/>
          <w:b/>
          <w:bCs/>
          <w:lang w:val="en-US" w:eastAsia="zh-CN"/>
        </w:rPr>
      </w:pPr>
      <w:r>
        <w:rPr>
          <w:b/>
          <w:bCs/>
        </w:rPr>
        <w:fldChar w:fldCharType="begin"/>
      </w:r>
      <w:r>
        <w:rPr>
          <w:b/>
          <w:bCs/>
        </w:rPr>
        <w:instrText xml:space="preserve"> HYPERLINK \l _Toc4606 </w:instrText>
      </w:r>
      <w:r>
        <w:rPr>
          <w:b/>
          <w:bCs/>
        </w:rPr>
        <w:fldChar w:fldCharType="separate"/>
      </w:r>
      <w:r>
        <w:rPr>
          <w:rFonts w:hint="default" w:ascii="楷体_GB2312" w:hAnsi="楷体_GB2312" w:eastAsia="楷体_GB2312" w:cs="楷体_GB2312"/>
          <w:b/>
          <w:bCs/>
          <w:kern w:val="0"/>
          <w:szCs w:val="30"/>
        </w:rPr>
        <w:t xml:space="preserve">第十一章 </w:t>
      </w:r>
      <w:r>
        <w:rPr>
          <w:rFonts w:hint="eastAsia" w:ascii="楷体_GB2312" w:hAnsi="楷体_GB2312" w:eastAsia="楷体_GB2312" w:cs="楷体_GB2312"/>
          <w:b/>
          <w:bCs/>
          <w:kern w:val="0"/>
          <w:szCs w:val="30"/>
        </w:rPr>
        <w:t>评级状况</w:t>
      </w:r>
      <w:r>
        <w:rPr>
          <w:rFonts w:hint="eastAsia" w:ascii="楷体_GB2312" w:hAnsi="楷体_GB2312" w:eastAsia="楷体_GB2312" w:cs="楷体_GB2312"/>
          <w:b/>
          <w:bCs/>
          <w:kern w:val="0"/>
          <w:szCs w:val="30"/>
          <w:lang w:eastAsia="zh-CN"/>
        </w:rPr>
        <w:t>（</w:t>
      </w:r>
      <w:r>
        <w:rPr>
          <w:rFonts w:hint="eastAsia" w:ascii="楷体_GB2312" w:hAnsi="楷体_GB2312" w:eastAsia="楷体_GB2312" w:cs="楷体_GB2312"/>
          <w:b/>
          <w:bCs/>
          <w:kern w:val="0"/>
          <w:szCs w:val="30"/>
          <w:lang w:val="en-US" w:eastAsia="zh-CN"/>
        </w:rPr>
        <w:t>如有</w:t>
      </w:r>
      <w:r>
        <w:rPr>
          <w:rFonts w:hint="eastAsia" w:ascii="楷体_GB2312" w:hAnsi="楷体_GB2312" w:eastAsia="楷体_GB2312" w:cs="楷体_GB2312"/>
          <w:b/>
          <w:bCs/>
          <w:kern w:val="0"/>
          <w:szCs w:val="30"/>
          <w:lang w:eastAsia="zh-CN"/>
        </w:rPr>
        <w:t>）</w:t>
      </w:r>
      <w:r>
        <w:rPr>
          <w:b/>
          <w:bCs/>
        </w:rPr>
        <w:tab/>
      </w:r>
      <w:r>
        <w:rPr>
          <w:rFonts w:hint="eastAsia"/>
          <w:b/>
          <w:bCs/>
          <w:lang w:val="en-US" w:eastAsia="zh-CN"/>
        </w:rPr>
        <w:t>4</w:t>
      </w:r>
      <w:r>
        <w:rPr>
          <w:b/>
          <w:bCs/>
        </w:rPr>
        <w:fldChar w:fldCharType="end"/>
      </w:r>
      <w:r>
        <w:rPr>
          <w:rFonts w:hint="eastAsia"/>
          <w:b/>
          <w:bCs/>
          <w:lang w:val="en-US" w:eastAsia="zh-CN"/>
        </w:rPr>
        <w:t>6</w:t>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_Toc27599 </w:instrText>
      </w:r>
      <w:r>
        <w:fldChar w:fldCharType="separate"/>
      </w:r>
      <w:r>
        <w:rPr>
          <w:rFonts w:hint="eastAsia" w:ascii="楷体_GB2312" w:hAnsi="楷体_GB2312" w:eastAsia="楷体_GB2312" w:cs="楷体_GB2312"/>
          <w:bCs/>
          <w:szCs w:val="24"/>
        </w:rPr>
        <w:t>一、</w:t>
      </w:r>
      <w:r>
        <w:rPr>
          <w:rFonts w:hint="eastAsia" w:ascii="楷体_GB2312" w:hAnsi="楷体_GB2312" w:eastAsia="楷体_GB2312" w:cs="楷体_GB2312"/>
          <w:bCs/>
          <w:szCs w:val="24"/>
          <w:lang w:val="en-US" w:eastAsia="zh-CN"/>
        </w:rPr>
        <w:t>定向资产支持商业票据评级</w:t>
      </w:r>
      <w:r>
        <w:rPr>
          <w:rFonts w:hint="eastAsia" w:ascii="楷体_GB2312" w:hAnsi="楷体_GB2312" w:eastAsia="楷体_GB2312" w:cs="楷体_GB2312"/>
          <w:bCs/>
          <w:szCs w:val="24"/>
          <w:lang w:eastAsia="zh-CN"/>
        </w:rPr>
        <w:t>（</w:t>
      </w:r>
      <w:r>
        <w:rPr>
          <w:rFonts w:hint="eastAsia" w:ascii="楷体_GB2312" w:hAnsi="楷体_GB2312" w:eastAsia="楷体_GB2312" w:cs="楷体_GB2312"/>
          <w:bCs/>
          <w:szCs w:val="24"/>
          <w:lang w:val="en-US" w:eastAsia="zh-CN"/>
        </w:rPr>
        <w:t>如有</w:t>
      </w:r>
      <w:r>
        <w:rPr>
          <w:rFonts w:hint="eastAsia" w:ascii="楷体_GB2312" w:hAnsi="楷体_GB2312" w:eastAsia="楷体_GB2312" w:cs="楷体_GB2312"/>
          <w:bCs/>
          <w:szCs w:val="24"/>
          <w:lang w:eastAsia="zh-CN"/>
        </w:rPr>
        <w:t>）</w:t>
      </w:r>
      <w:r>
        <w:tab/>
      </w:r>
      <w:r>
        <w:fldChar w:fldCharType="begin"/>
      </w:r>
      <w:r>
        <w:instrText xml:space="preserve"> PAGEREF _Toc27599 \h </w:instrText>
      </w:r>
      <w:r>
        <w:fldChar w:fldCharType="separate"/>
      </w:r>
      <w:r>
        <w:t>46</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_Toc29309 </w:instrText>
      </w:r>
      <w:r>
        <w:fldChar w:fldCharType="separate"/>
      </w:r>
      <w:r>
        <w:rPr>
          <w:rFonts w:hint="eastAsia" w:ascii="楷体_GB2312" w:hAnsi="楷体_GB2312" w:eastAsia="楷体_GB2312" w:cs="楷体_GB2312"/>
          <w:bCs/>
          <w:szCs w:val="24"/>
        </w:rPr>
        <w:t>二、发起机构主体评级</w:t>
      </w:r>
      <w:r>
        <w:rPr>
          <w:rFonts w:hint="eastAsia" w:ascii="楷体_GB2312" w:hAnsi="楷体_GB2312" w:eastAsia="楷体_GB2312" w:cs="楷体_GB2312"/>
          <w:bCs/>
          <w:szCs w:val="24"/>
          <w:lang w:eastAsia="zh-CN"/>
        </w:rPr>
        <w:t>（</w:t>
      </w:r>
      <w:r>
        <w:rPr>
          <w:rFonts w:hint="eastAsia" w:ascii="楷体_GB2312" w:hAnsi="楷体_GB2312" w:eastAsia="楷体_GB2312" w:cs="楷体_GB2312"/>
          <w:bCs/>
          <w:szCs w:val="24"/>
          <w:lang w:val="en-US" w:eastAsia="zh-CN"/>
        </w:rPr>
        <w:t>如有</w:t>
      </w:r>
      <w:r>
        <w:rPr>
          <w:rFonts w:hint="eastAsia" w:ascii="楷体_GB2312" w:hAnsi="楷体_GB2312" w:eastAsia="楷体_GB2312" w:cs="楷体_GB2312"/>
          <w:bCs/>
          <w:szCs w:val="24"/>
          <w:lang w:eastAsia="zh-CN"/>
        </w:rPr>
        <w:t>）</w:t>
      </w:r>
      <w:r>
        <w:tab/>
      </w:r>
      <w:r>
        <w:fldChar w:fldCharType="begin"/>
      </w:r>
      <w:r>
        <w:instrText xml:space="preserve"> PAGEREF _Toc29309 \h </w:instrText>
      </w:r>
      <w:r>
        <w:fldChar w:fldCharType="separate"/>
      </w:r>
      <w:r>
        <w:t>46</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_Toc13168 </w:instrText>
      </w:r>
      <w:r>
        <w:fldChar w:fldCharType="separate"/>
      </w:r>
      <w:r>
        <w:rPr>
          <w:rFonts w:hint="eastAsia" w:ascii="楷体_GB2312" w:hAnsi="楷体_GB2312" w:eastAsia="楷体_GB2312" w:cs="楷体_GB2312"/>
          <w:bCs/>
          <w:szCs w:val="24"/>
        </w:rPr>
        <w:t>三、信用增级机构主体评级</w:t>
      </w:r>
      <w:r>
        <w:rPr>
          <w:rFonts w:hint="eastAsia" w:ascii="楷体_GB2312" w:hAnsi="楷体_GB2312" w:eastAsia="楷体_GB2312" w:cs="楷体_GB2312"/>
          <w:bCs/>
          <w:szCs w:val="24"/>
          <w:lang w:eastAsia="zh-CN"/>
        </w:rPr>
        <w:t>（</w:t>
      </w:r>
      <w:r>
        <w:rPr>
          <w:rFonts w:hint="eastAsia" w:ascii="楷体_GB2312" w:hAnsi="楷体_GB2312" w:eastAsia="楷体_GB2312" w:cs="楷体_GB2312"/>
          <w:bCs/>
          <w:szCs w:val="24"/>
          <w:lang w:val="en-US" w:eastAsia="zh-CN"/>
        </w:rPr>
        <w:t>如有</w:t>
      </w:r>
      <w:r>
        <w:rPr>
          <w:rFonts w:hint="eastAsia" w:ascii="楷体_GB2312" w:hAnsi="楷体_GB2312" w:eastAsia="楷体_GB2312" w:cs="楷体_GB2312"/>
          <w:bCs/>
          <w:szCs w:val="24"/>
          <w:lang w:eastAsia="zh-CN"/>
        </w:rPr>
        <w:t>）</w:t>
      </w:r>
      <w:r>
        <w:tab/>
      </w:r>
      <w:r>
        <w:fldChar w:fldCharType="begin"/>
      </w:r>
      <w:r>
        <w:instrText xml:space="preserve"> PAGEREF _Toc13168 \h </w:instrText>
      </w:r>
      <w:r>
        <w:fldChar w:fldCharType="separate"/>
      </w:r>
      <w:r>
        <w:t>46</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_Toc30337 </w:instrText>
      </w:r>
      <w:r>
        <w:rPr>
          <w:b/>
          <w:bCs/>
        </w:rPr>
        <w:fldChar w:fldCharType="separate"/>
      </w:r>
      <w:r>
        <w:rPr>
          <w:rFonts w:hint="default" w:ascii="楷体_GB2312" w:hAnsi="楷体_GB2312" w:eastAsia="楷体_GB2312" w:cs="楷体_GB2312"/>
          <w:b/>
          <w:bCs/>
          <w:kern w:val="0"/>
          <w:szCs w:val="30"/>
        </w:rPr>
        <w:t xml:space="preserve">第十二章 </w:t>
      </w:r>
      <w:r>
        <w:rPr>
          <w:rFonts w:hint="eastAsia" w:ascii="楷体_GB2312" w:hAnsi="楷体_GB2312" w:eastAsia="楷体_GB2312" w:cs="楷体_GB2312"/>
          <w:b/>
          <w:bCs/>
          <w:kern w:val="0"/>
          <w:szCs w:val="30"/>
          <w:lang w:val="en-US" w:eastAsia="zh-CN"/>
        </w:rPr>
        <w:t>备查文件</w:t>
      </w:r>
      <w:r>
        <w:rPr>
          <w:b/>
          <w:bCs/>
        </w:rPr>
        <w:tab/>
      </w:r>
      <w:r>
        <w:rPr>
          <w:b/>
          <w:bCs/>
        </w:rPr>
        <w:fldChar w:fldCharType="begin"/>
      </w:r>
      <w:r>
        <w:rPr>
          <w:b/>
          <w:bCs/>
        </w:rPr>
        <w:instrText xml:space="preserve"> PAGEREF _Toc30337 \h </w:instrText>
      </w:r>
      <w:r>
        <w:rPr>
          <w:b/>
          <w:bCs/>
        </w:rPr>
        <w:fldChar w:fldCharType="separate"/>
      </w:r>
      <w:r>
        <w:rPr>
          <w:b/>
          <w:bCs/>
        </w:rPr>
        <w:t>47</w:t>
      </w:r>
      <w:r>
        <w:rPr>
          <w:b/>
          <w:bCs/>
        </w:rPr>
        <w:fldChar w:fldCharType="end"/>
      </w:r>
      <w:r>
        <w:rPr>
          <w:b/>
          <w:bCs/>
        </w:rP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_Toc15295 </w:instrText>
      </w:r>
      <w:r>
        <w:fldChar w:fldCharType="separate"/>
      </w:r>
      <w:r>
        <w:rPr>
          <w:rFonts w:hint="eastAsia" w:ascii="楷体_GB2312" w:hAnsi="楷体_GB2312" w:eastAsia="楷体_GB2312" w:cs="楷体_GB2312"/>
          <w:bCs/>
          <w:szCs w:val="24"/>
          <w:lang w:val="en-US" w:eastAsia="zh-CN"/>
        </w:rPr>
        <w:t>一、备查文件</w:t>
      </w:r>
      <w:r>
        <w:tab/>
      </w:r>
      <w:r>
        <w:fldChar w:fldCharType="begin"/>
      </w:r>
      <w:r>
        <w:instrText xml:space="preserve"> PAGEREF _Toc15295 \h </w:instrText>
      </w:r>
      <w:r>
        <w:fldChar w:fldCharType="separate"/>
      </w:r>
      <w:r>
        <w:t>33</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_Toc8228 </w:instrText>
      </w:r>
      <w:r>
        <w:fldChar w:fldCharType="separate"/>
      </w:r>
      <w:r>
        <w:rPr>
          <w:rFonts w:hint="eastAsia" w:ascii="楷体_GB2312" w:hAnsi="楷体_GB2312" w:eastAsia="楷体_GB2312" w:cs="楷体_GB2312"/>
          <w:bCs/>
          <w:snapToGrid w:val="0"/>
          <w:kern w:val="0"/>
          <w:szCs w:val="24"/>
          <w:lang w:val="en-US" w:eastAsia="zh-CN" w:bidi="ar-SA"/>
        </w:rPr>
        <w:t>二、查询地址</w:t>
      </w:r>
      <w:r>
        <w:tab/>
      </w:r>
      <w:r>
        <w:fldChar w:fldCharType="begin"/>
      </w:r>
      <w:r>
        <w:instrText xml:space="preserve"> PAGEREF _Toc8228 \h </w:instrText>
      </w:r>
      <w:r>
        <w:fldChar w:fldCharType="separate"/>
      </w:r>
      <w:r>
        <w:t>47</w:t>
      </w:r>
      <w:r>
        <w:fldChar w:fldCharType="end"/>
      </w:r>
      <w:r>
        <w:fldChar w:fldCharType="end"/>
      </w:r>
    </w:p>
    <w:p>
      <w:pPr>
        <w:pStyle w:val="19"/>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pPr>
      <w:r>
        <w:fldChar w:fldCharType="begin"/>
      </w:r>
      <w:r>
        <w:instrText xml:space="preserve"> HYPERLINK \l _Toc30798 </w:instrText>
      </w:r>
      <w:r>
        <w:fldChar w:fldCharType="separate"/>
      </w:r>
      <w:r>
        <w:rPr>
          <w:rFonts w:hint="eastAsia" w:ascii="楷体_GB2312" w:hAnsi="楷体_GB2312" w:eastAsia="楷体_GB2312" w:cs="楷体_GB2312"/>
          <w:bCs/>
          <w:snapToGrid w:val="0"/>
          <w:kern w:val="0"/>
          <w:szCs w:val="24"/>
          <w:lang w:val="en-US" w:eastAsia="zh-CN" w:bidi="ar-SA"/>
        </w:rPr>
        <w:t>三、网站</w:t>
      </w:r>
      <w:r>
        <w:tab/>
      </w:r>
      <w:r>
        <w:fldChar w:fldCharType="begin"/>
      </w:r>
      <w:r>
        <w:instrText xml:space="preserve"> PAGEREF _Toc30798 \h </w:instrText>
      </w:r>
      <w:r>
        <w:fldChar w:fldCharType="separate"/>
      </w:r>
      <w:r>
        <w:t>48</w:t>
      </w:r>
      <w:r>
        <w:fldChar w:fldCharType="end"/>
      </w:r>
      <w:r>
        <w:fldChar w:fldCharType="end"/>
      </w:r>
    </w:p>
    <w:p>
      <w:pPr>
        <w:pStyle w:val="34"/>
        <w:keepNext w:val="0"/>
        <w:keepLines w:val="0"/>
        <w:pageBreakBefore w:val="0"/>
        <w:tabs>
          <w:tab w:val="right" w:leader="dot" w:pos="8306"/>
        </w:tabs>
        <w:kinsoku/>
        <w:wordWrap/>
        <w:overflowPunct/>
        <w:topLinePunct w:val="0"/>
        <w:autoSpaceDE/>
        <w:autoSpaceDN/>
        <w:bidi w:val="0"/>
        <w:adjustRightInd/>
        <w:snapToGrid/>
        <w:spacing w:after="0" w:afterLines="0" w:line="240" w:lineRule="atLeast"/>
        <w:textAlignment w:val="auto"/>
        <w:rPr>
          <w:b/>
          <w:bCs/>
        </w:rPr>
      </w:pPr>
      <w:r>
        <w:rPr>
          <w:b/>
          <w:bCs/>
        </w:rPr>
        <w:fldChar w:fldCharType="begin"/>
      </w:r>
      <w:r>
        <w:rPr>
          <w:b/>
          <w:bCs/>
        </w:rPr>
        <w:instrText xml:space="preserve"> HYPERLINK \l _Toc15025 </w:instrText>
      </w:r>
      <w:r>
        <w:rPr>
          <w:b/>
          <w:bCs/>
        </w:rPr>
        <w:fldChar w:fldCharType="separate"/>
      </w:r>
      <w:r>
        <w:rPr>
          <w:rFonts w:hint="default" w:ascii="楷体_GB2312" w:hAnsi="楷体_GB2312" w:eastAsia="楷体_GB2312" w:cs="楷体_GB2312"/>
          <w:b/>
          <w:bCs/>
          <w:kern w:val="0"/>
          <w:szCs w:val="30"/>
        </w:rPr>
        <w:t xml:space="preserve">第十三章 </w:t>
      </w:r>
      <w:r>
        <w:rPr>
          <w:rFonts w:hint="eastAsia" w:ascii="楷体_GB2312" w:hAnsi="楷体_GB2312" w:eastAsia="楷体_GB2312" w:cs="楷体_GB2312"/>
          <w:b/>
          <w:bCs/>
          <w:kern w:val="0"/>
          <w:szCs w:val="30"/>
        </w:rPr>
        <w:t>定向投资人及定向发行有关机构</w:t>
      </w:r>
      <w:r>
        <w:rPr>
          <w:b/>
          <w:bCs/>
        </w:rPr>
        <w:tab/>
      </w:r>
      <w:r>
        <w:rPr>
          <w:b/>
          <w:bCs/>
        </w:rPr>
        <w:fldChar w:fldCharType="begin"/>
      </w:r>
      <w:r>
        <w:rPr>
          <w:b/>
          <w:bCs/>
        </w:rPr>
        <w:instrText xml:space="preserve"> PAGEREF _Toc15025 \h </w:instrText>
      </w:r>
      <w:r>
        <w:rPr>
          <w:b/>
          <w:bCs/>
        </w:rPr>
        <w:fldChar w:fldCharType="separate"/>
      </w:r>
      <w:r>
        <w:rPr>
          <w:b/>
          <w:bCs/>
        </w:rPr>
        <w:t>49</w:t>
      </w:r>
      <w:r>
        <w:rPr>
          <w:b/>
          <w:bCs/>
        </w:rPr>
        <w:fldChar w:fldCharType="end"/>
      </w:r>
      <w:r>
        <w:rPr>
          <w:b/>
          <w:bCs/>
        </w:rPr>
        <w:fldChar w:fldCharType="end"/>
      </w:r>
    </w:p>
    <w:p>
      <w:pPr>
        <w:keepNext w:val="0"/>
        <w:keepLines w:val="0"/>
        <w:pageBreakBefore w:val="0"/>
        <w:kinsoku/>
        <w:wordWrap/>
        <w:overflowPunct/>
        <w:topLinePunct w:val="0"/>
        <w:autoSpaceDE/>
        <w:autoSpaceDN/>
        <w:bidi w:val="0"/>
        <w:adjustRightInd/>
        <w:snapToGrid/>
        <w:spacing w:after="0" w:line="240" w:lineRule="atLeast"/>
        <w:textAlignment w:val="auto"/>
      </w:pPr>
      <w:r>
        <w:fldChar w:fldCharType="end"/>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textAlignment w:val="auto"/>
        <w:rPr>
          <w:rFonts w:hint="eastAsia" w:ascii="楷体_GB2312" w:hAnsi="楷体_GB2312" w:eastAsia="楷体_GB2312" w:cs="楷体_GB2312"/>
          <w:spacing w:val="0"/>
          <w:sz w:val="24"/>
          <w:szCs w:val="24"/>
        </w:rPr>
      </w:pPr>
      <w:r>
        <w:rPr>
          <w:rFonts w:hint="eastAsia" w:ascii="楷体_GB2312" w:hAnsi="楷体_GB2312" w:eastAsia="楷体_GB2312" w:cs="楷体_GB2312"/>
          <w:szCs w:val="24"/>
        </w:rPr>
        <w:br w:type="page"/>
      </w:r>
      <w:r>
        <w:rPr>
          <w:rFonts w:hint="eastAsia" w:ascii="楷体_GB2312" w:hAnsi="楷体_GB2312" w:eastAsia="楷体_GB2312" w:cs="楷体_GB2312"/>
          <w:spacing w:val="0"/>
          <w:sz w:val="24"/>
          <w:szCs w:val="24"/>
          <w:lang w:val="en-US" w:eastAsia="zh-CN"/>
        </w:rPr>
        <w:t>一、</w:t>
      </w:r>
      <w:r>
        <w:rPr>
          <w:rFonts w:hint="eastAsia" w:ascii="楷体_GB2312" w:hAnsi="楷体_GB2312" w:eastAsia="楷体_GB2312" w:cs="楷体_GB2312"/>
          <w:spacing w:val="0"/>
          <w:sz w:val="24"/>
          <w:szCs w:val="24"/>
        </w:rPr>
        <w:t>作为特定目的载体管理机构：</w:t>
      </w:r>
      <w:bookmarkEnd w:id="3924"/>
      <w:bookmarkEnd w:id="3925"/>
      <w:bookmarkEnd w:id="3926"/>
      <w:bookmarkEnd w:id="3927"/>
      <w:r>
        <w:rPr>
          <w:rFonts w:hint="eastAsia" w:ascii="楷体_GB2312" w:hAnsi="楷体_GB2312" w:eastAsia="楷体_GB2312" w:cs="楷体_GB2312"/>
          <w:kern w:val="2"/>
          <w:sz w:val="24"/>
          <w:szCs w:val="24"/>
          <w:lang w:eastAsia="zh-CN"/>
        </w:rPr>
        <w:t>【</w:t>
      </w:r>
      <w:r>
        <w:rPr>
          <w:rFonts w:hint="eastAsia" w:ascii="楷体_GB2312" w:hAnsi="楷体_GB2312" w:eastAsia="楷体_GB2312" w:cs="楷体_GB2312"/>
          <w:kern w:val="2"/>
          <w:sz w:val="24"/>
          <w:szCs w:val="24"/>
          <w:u w:val="single"/>
          <w:lang w:val="en-US" w:eastAsia="zh-CN"/>
        </w:rPr>
        <w:t xml:space="preserve">  </w:t>
      </w:r>
      <w:r>
        <w:rPr>
          <w:rFonts w:hint="eastAsia" w:ascii="楷体_GB2312" w:hAnsi="楷体_GB2312" w:eastAsia="楷体_GB2312" w:cs="楷体_GB2312"/>
          <w:kern w:val="2"/>
          <w:sz w:val="24"/>
          <w:szCs w:val="24"/>
          <w:lang w:eastAsia="zh-CN"/>
        </w:rPr>
        <w:t>】</w:t>
      </w:r>
    </w:p>
    <w:p>
      <w:pPr>
        <w:keepNext w:val="0"/>
        <w:keepLines w:val="0"/>
        <w:pageBreakBefore w:val="0"/>
        <w:widowControl w:val="0"/>
        <w:kinsoku/>
        <w:wordWrap/>
        <w:overflowPunct/>
        <w:topLinePunct w:val="0"/>
        <w:bidi w:val="0"/>
        <w:spacing w:before="157" w:beforeLines="50" w:after="157" w:afterLines="50" w:line="240" w:lineRule="atLeast"/>
        <w:rPr>
          <w:rFonts w:hint="eastAsia" w:ascii="楷体_GB2312" w:hAnsi="楷体_GB2312" w:eastAsia="楷体_GB2312" w:cs="楷体_GB2312"/>
          <w:spacing w:val="0"/>
          <w:sz w:val="24"/>
          <w:szCs w:val="24"/>
        </w:rPr>
      </w:pPr>
    </w:p>
    <w:p>
      <w:pPr>
        <w:keepNext w:val="0"/>
        <w:keepLines w:val="0"/>
        <w:pageBreakBefore w:val="0"/>
        <w:widowControl w:val="0"/>
        <w:kinsoku/>
        <w:wordWrap/>
        <w:overflowPunct/>
        <w:topLinePunct w:val="0"/>
        <w:bidi w:val="0"/>
        <w:spacing w:before="157" w:beforeLines="50" w:after="157" w:afterLines="50" w:line="240" w:lineRule="atLeast"/>
        <w:ind w:left="840" w:hanging="840"/>
        <w:rPr>
          <w:rFonts w:hint="eastAsia" w:ascii="楷体_GB2312" w:hAnsi="楷体_GB2312" w:eastAsia="楷体_GB2312" w:cs="楷体_GB2312"/>
          <w:spacing w:val="0"/>
          <w:sz w:val="24"/>
          <w:szCs w:val="24"/>
        </w:rPr>
      </w:pPr>
    </w:p>
    <w:p>
      <w:pPr>
        <w:keepNext w:val="0"/>
        <w:keepLines w:val="0"/>
        <w:pageBreakBefore w:val="0"/>
        <w:widowControl w:val="0"/>
        <w:kinsoku/>
        <w:wordWrap/>
        <w:overflowPunct/>
        <w:topLinePunct w:val="0"/>
        <w:bidi w:val="0"/>
        <w:spacing w:before="157" w:beforeLines="50" w:after="157" w:afterLines="50" w:line="240" w:lineRule="atLeast"/>
        <w:ind w:left="840" w:hanging="840"/>
        <w:rPr>
          <w:rFonts w:hint="eastAsia" w:ascii="楷体_GB2312" w:hAnsi="楷体_GB2312" w:eastAsia="楷体_GB2312" w:cs="楷体_GB2312"/>
          <w:spacing w:val="0"/>
          <w:sz w:val="24"/>
          <w:szCs w:val="24"/>
        </w:rPr>
      </w:pPr>
    </w:p>
    <w:p>
      <w:pPr>
        <w:keepNext w:val="0"/>
        <w:keepLines w:val="0"/>
        <w:pageBreakBefore w:val="0"/>
        <w:widowControl w:val="0"/>
        <w:kinsoku/>
        <w:wordWrap/>
        <w:overflowPunct/>
        <w:topLinePunct w:val="0"/>
        <w:bidi w:val="0"/>
        <w:spacing w:before="157" w:beforeLines="50" w:after="157" w:afterLines="50" w:line="240" w:lineRule="atLeast"/>
        <w:ind w:left="840" w:hanging="840"/>
        <w:rPr>
          <w:rFonts w:hint="eastAsia" w:ascii="楷体_GB2312" w:hAnsi="楷体_GB2312" w:eastAsia="楷体_GB2312" w:cs="楷体_GB2312"/>
          <w:spacing w:val="0"/>
          <w:sz w:val="24"/>
          <w:szCs w:val="24"/>
        </w:rPr>
      </w:pPr>
    </w:p>
    <w:p>
      <w:pPr>
        <w:pStyle w:val="185"/>
        <w:keepNext w:val="0"/>
        <w:keepLines w:val="0"/>
        <w:pageBreakBefore w:val="0"/>
        <w:widowControl w:val="0"/>
        <w:numPr>
          <w:ilvl w:val="0"/>
          <w:numId w:val="0"/>
        </w:numPr>
        <w:kinsoku/>
        <w:wordWrap/>
        <w:overflowPunct/>
        <w:topLinePunct w:val="0"/>
        <w:autoSpaceDE w:val="0"/>
        <w:autoSpaceDN w:val="0"/>
        <w:bidi w:val="0"/>
        <w:adjustRightInd w:val="0"/>
        <w:spacing w:before="157" w:beforeLines="50" w:after="157" w:afterLines="50" w:line="240" w:lineRule="atLeast"/>
        <w:ind w:left="0" w:firstLine="0" w:firstLineChars="0"/>
        <w:textAlignment w:val="baseline"/>
        <w:rPr>
          <w:rFonts w:hint="eastAsia" w:ascii="楷体_GB2312" w:hAnsi="楷体_GB2312" w:eastAsia="楷体_GB2312" w:cs="楷体_GB2312"/>
          <w:spacing w:val="0"/>
          <w:sz w:val="24"/>
          <w:szCs w:val="24"/>
          <w:lang w:val="en-US" w:eastAsia="zh-CN"/>
        </w:rPr>
      </w:pPr>
      <w:bookmarkStart w:id="3928" w:name="_Toc22219"/>
      <w:bookmarkStart w:id="3929" w:name="_Toc23238"/>
      <w:bookmarkStart w:id="3930" w:name="_Toc8884"/>
      <w:bookmarkStart w:id="3931" w:name="_Toc20014"/>
      <w:bookmarkStart w:id="3932" w:name="_Toc25966"/>
      <w:bookmarkStart w:id="3933" w:name="_Toc8017"/>
      <w:r>
        <w:rPr>
          <w:rFonts w:hint="eastAsia" w:ascii="楷体_GB2312" w:hAnsi="楷体_GB2312" w:eastAsia="楷体_GB2312" w:cs="楷体_GB2312"/>
          <w:spacing w:val="0"/>
          <w:sz w:val="24"/>
          <w:szCs w:val="24"/>
          <w:lang w:val="en-US" w:eastAsia="zh-CN"/>
        </w:rPr>
        <w:t>二、作为发起机构：</w:t>
      </w:r>
      <w:bookmarkEnd w:id="3928"/>
      <w:bookmarkEnd w:id="3929"/>
      <w:bookmarkEnd w:id="3930"/>
      <w:bookmarkEnd w:id="3931"/>
      <w:bookmarkEnd w:id="3932"/>
      <w:bookmarkEnd w:id="3933"/>
      <w:r>
        <w:rPr>
          <w:rFonts w:hint="eastAsia" w:ascii="楷体_GB2312" w:hAnsi="楷体_GB2312" w:eastAsia="楷体_GB2312" w:cs="楷体_GB2312"/>
          <w:spacing w:val="0"/>
          <w:sz w:val="24"/>
          <w:szCs w:val="24"/>
          <w:lang w:val="en-US" w:eastAsia="zh-CN"/>
        </w:rPr>
        <w:t>【</w:t>
      </w:r>
      <w:r>
        <w:rPr>
          <w:rFonts w:hint="eastAsia" w:ascii="楷体_GB2312" w:hAnsi="楷体_GB2312" w:eastAsia="楷体_GB2312" w:cs="楷体_GB2312"/>
          <w:spacing w:val="0"/>
          <w:sz w:val="24"/>
          <w:szCs w:val="24"/>
          <w:u w:val="single"/>
          <w:lang w:val="en-US" w:eastAsia="zh-CN"/>
        </w:rPr>
        <w:t xml:space="preserve">  </w:t>
      </w:r>
      <w:r>
        <w:rPr>
          <w:rFonts w:hint="eastAsia" w:ascii="楷体_GB2312" w:hAnsi="楷体_GB2312" w:eastAsia="楷体_GB2312" w:cs="楷体_GB2312"/>
          <w:spacing w:val="0"/>
          <w:sz w:val="24"/>
          <w:szCs w:val="24"/>
          <w:lang w:val="en-US" w:eastAsia="zh-CN"/>
        </w:rPr>
        <w:t>】</w:t>
      </w:r>
    </w:p>
    <w:p>
      <w:pPr>
        <w:keepNext w:val="0"/>
        <w:keepLines w:val="0"/>
        <w:pageBreakBefore w:val="0"/>
        <w:widowControl w:val="0"/>
        <w:kinsoku/>
        <w:wordWrap/>
        <w:overflowPunct/>
        <w:topLinePunct w:val="0"/>
        <w:bidi w:val="0"/>
        <w:spacing w:before="157" w:beforeLines="50" w:after="157" w:afterLines="50" w:line="240" w:lineRule="atLeast"/>
        <w:ind w:left="840" w:hanging="840"/>
        <w:rPr>
          <w:rFonts w:hint="eastAsia" w:ascii="楷体_GB2312" w:hAnsi="楷体_GB2312" w:eastAsia="楷体_GB2312" w:cs="楷体_GB2312"/>
          <w:spacing w:val="0"/>
          <w:sz w:val="24"/>
          <w:szCs w:val="24"/>
        </w:rPr>
      </w:pPr>
    </w:p>
    <w:p>
      <w:pPr>
        <w:keepNext w:val="0"/>
        <w:keepLines w:val="0"/>
        <w:pageBreakBefore w:val="0"/>
        <w:widowControl w:val="0"/>
        <w:kinsoku/>
        <w:wordWrap/>
        <w:overflowPunct/>
        <w:topLinePunct w:val="0"/>
        <w:bidi w:val="0"/>
        <w:spacing w:before="157" w:beforeLines="50" w:after="157" w:afterLines="50" w:line="240" w:lineRule="atLeast"/>
        <w:ind w:left="840" w:hanging="840"/>
        <w:rPr>
          <w:rFonts w:hint="eastAsia" w:ascii="楷体_GB2312" w:hAnsi="楷体_GB2312" w:eastAsia="楷体_GB2312" w:cs="楷体_GB2312"/>
          <w:spacing w:val="0"/>
          <w:sz w:val="24"/>
          <w:szCs w:val="24"/>
        </w:rPr>
      </w:pPr>
    </w:p>
    <w:p>
      <w:pPr>
        <w:keepNext w:val="0"/>
        <w:keepLines w:val="0"/>
        <w:pageBreakBefore w:val="0"/>
        <w:widowControl w:val="0"/>
        <w:kinsoku/>
        <w:wordWrap/>
        <w:overflowPunct/>
        <w:topLinePunct w:val="0"/>
        <w:bidi w:val="0"/>
        <w:spacing w:before="157" w:beforeLines="50" w:after="157" w:afterLines="50" w:line="240" w:lineRule="atLeast"/>
        <w:ind w:left="840" w:hanging="840"/>
        <w:rPr>
          <w:rFonts w:hint="eastAsia" w:ascii="楷体_GB2312" w:hAnsi="楷体_GB2312" w:eastAsia="楷体_GB2312" w:cs="楷体_GB2312"/>
          <w:spacing w:val="0"/>
          <w:sz w:val="24"/>
          <w:szCs w:val="24"/>
        </w:rPr>
      </w:pPr>
    </w:p>
    <w:p>
      <w:pPr>
        <w:keepNext w:val="0"/>
        <w:keepLines w:val="0"/>
        <w:pageBreakBefore w:val="0"/>
        <w:widowControl w:val="0"/>
        <w:kinsoku/>
        <w:wordWrap/>
        <w:overflowPunct/>
        <w:topLinePunct w:val="0"/>
        <w:bidi w:val="0"/>
        <w:spacing w:before="157" w:beforeLines="50" w:after="157" w:afterLines="50" w:line="240" w:lineRule="atLeast"/>
        <w:ind w:left="840" w:hanging="840"/>
        <w:rPr>
          <w:rFonts w:hint="eastAsia" w:ascii="楷体_GB2312" w:hAnsi="楷体_GB2312" w:eastAsia="楷体_GB2312" w:cs="楷体_GB2312"/>
          <w:spacing w:val="0"/>
          <w:sz w:val="24"/>
          <w:szCs w:val="24"/>
        </w:rPr>
      </w:pPr>
    </w:p>
    <w:p>
      <w:pPr>
        <w:pStyle w:val="185"/>
        <w:keepNext w:val="0"/>
        <w:keepLines w:val="0"/>
        <w:pageBreakBefore w:val="0"/>
        <w:widowControl w:val="0"/>
        <w:numPr>
          <w:ilvl w:val="0"/>
          <w:numId w:val="0"/>
        </w:numPr>
        <w:kinsoku/>
        <w:wordWrap/>
        <w:overflowPunct/>
        <w:topLinePunct w:val="0"/>
        <w:autoSpaceDE w:val="0"/>
        <w:autoSpaceDN w:val="0"/>
        <w:bidi w:val="0"/>
        <w:spacing w:before="157" w:beforeLines="50" w:after="157" w:afterLines="50" w:line="240" w:lineRule="atLeast"/>
        <w:textAlignment w:val="baseline"/>
        <w:rPr>
          <w:rFonts w:hint="eastAsia" w:ascii="楷体_GB2312" w:hAnsi="楷体_GB2312" w:eastAsia="楷体_GB2312" w:cs="楷体_GB2312"/>
          <w:spacing w:val="0"/>
          <w:sz w:val="24"/>
          <w:szCs w:val="24"/>
        </w:rPr>
      </w:pPr>
      <w:bookmarkStart w:id="3934" w:name="_Toc4930"/>
      <w:bookmarkStart w:id="3935" w:name="_Toc16992"/>
      <w:bookmarkStart w:id="3936" w:name="_Toc10721"/>
      <w:bookmarkStart w:id="3937" w:name="_Toc17596"/>
      <w:bookmarkStart w:id="3938" w:name="_Toc23892"/>
      <w:r>
        <w:rPr>
          <w:rFonts w:hint="eastAsia" w:ascii="楷体_GB2312" w:hAnsi="楷体_GB2312" w:eastAsia="楷体_GB2312" w:cs="楷体_GB2312"/>
          <w:spacing w:val="0"/>
          <w:sz w:val="24"/>
          <w:szCs w:val="24"/>
        </w:rPr>
        <w:t>三、有意愿购买本协议项下</w:t>
      </w:r>
      <w:r>
        <w:rPr>
          <w:rFonts w:hint="eastAsia" w:ascii="楷体_GB2312" w:hAnsi="楷体_GB2312" w:eastAsia="楷体_GB2312" w:cs="楷体_GB2312"/>
          <w:spacing w:val="0"/>
          <w:sz w:val="24"/>
          <w:szCs w:val="24"/>
          <w:lang w:eastAsia="zh-CN"/>
        </w:rPr>
        <w:t>资产支持商业票据</w:t>
      </w:r>
      <w:r>
        <w:rPr>
          <w:rFonts w:hint="eastAsia" w:ascii="楷体_GB2312" w:hAnsi="楷体_GB2312" w:eastAsia="楷体_GB2312" w:cs="楷体_GB2312"/>
          <w:spacing w:val="0"/>
          <w:sz w:val="24"/>
          <w:szCs w:val="24"/>
        </w:rPr>
        <w:t>的特定机构投资人：</w:t>
      </w:r>
      <w:bookmarkEnd w:id="3934"/>
      <w:bookmarkEnd w:id="3935"/>
      <w:bookmarkEnd w:id="3936"/>
      <w:bookmarkEnd w:id="3937"/>
      <w:bookmarkEnd w:id="3938"/>
    </w:p>
    <w:p>
      <w:pPr>
        <w:keepNext w:val="0"/>
        <w:keepLines w:val="0"/>
        <w:pageBreakBefore w:val="0"/>
        <w:widowControl w:val="0"/>
        <w:kinsoku/>
        <w:wordWrap/>
        <w:overflowPunct/>
        <w:topLinePunct w:val="0"/>
        <w:bidi w:val="0"/>
        <w:spacing w:before="157" w:beforeLines="50" w:after="157" w:afterLines="50" w:line="240" w:lineRule="atLeast"/>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bidi w:val="0"/>
        <w:spacing w:before="157" w:beforeLines="50" w:after="157" w:afterLines="50" w:line="240" w:lineRule="atLeast"/>
        <w:rPr>
          <w:rFonts w:hint="eastAsia" w:ascii="楷体_GB2312" w:hAnsi="楷体_GB2312" w:eastAsia="楷体_GB2312" w:cs="楷体_GB2312"/>
          <w:sz w:val="24"/>
          <w:szCs w:val="24"/>
        </w:rPr>
      </w:pPr>
      <w:r>
        <w:rPr>
          <w:rFonts w:hint="eastAsia" w:ascii="楷体_GB2312" w:hAnsi="楷体_GB2312" w:eastAsia="楷体_GB2312" w:cs="楷体_GB2312"/>
          <w:kern w:val="2"/>
          <w:sz w:val="24"/>
          <w:szCs w:val="24"/>
          <w:lang w:eastAsia="zh-CN"/>
        </w:rPr>
        <w:t>【</w:t>
      </w:r>
      <w:r>
        <w:rPr>
          <w:rFonts w:hint="eastAsia" w:ascii="楷体_GB2312" w:hAnsi="楷体_GB2312" w:eastAsia="楷体_GB2312" w:cs="楷体_GB2312"/>
          <w:kern w:val="2"/>
          <w:sz w:val="24"/>
          <w:szCs w:val="24"/>
          <w:u w:val="single"/>
          <w:lang w:val="en-US" w:eastAsia="zh-CN"/>
        </w:rPr>
        <w:t xml:space="preserve">  </w:t>
      </w:r>
      <w:r>
        <w:rPr>
          <w:rFonts w:hint="eastAsia" w:ascii="楷体_GB2312" w:hAnsi="楷体_GB2312" w:eastAsia="楷体_GB2312" w:cs="楷体_GB2312"/>
          <w:kern w:val="2"/>
          <w:sz w:val="24"/>
          <w:szCs w:val="24"/>
          <w:lang w:eastAsia="zh-CN"/>
        </w:rPr>
        <w:t>】</w:t>
      </w:r>
      <w:r>
        <w:rPr>
          <w:rFonts w:hint="eastAsia" w:ascii="楷体_GB2312" w:hAnsi="楷体_GB2312" w:eastAsia="楷体_GB2312" w:cs="楷体_GB2312"/>
          <w:sz w:val="24"/>
          <w:szCs w:val="24"/>
        </w:rPr>
        <w:t>；</w:t>
      </w:r>
      <w:r>
        <w:rPr>
          <w:rFonts w:hint="eastAsia" w:ascii="楷体_GB2312" w:hAnsi="楷体_GB2312" w:eastAsia="楷体_GB2312" w:cs="楷体_GB2312"/>
          <w:kern w:val="2"/>
          <w:sz w:val="24"/>
          <w:szCs w:val="24"/>
          <w:lang w:eastAsia="zh-CN"/>
        </w:rPr>
        <w:t>【</w:t>
      </w:r>
      <w:r>
        <w:rPr>
          <w:rFonts w:hint="eastAsia" w:ascii="楷体_GB2312" w:hAnsi="楷体_GB2312" w:eastAsia="楷体_GB2312" w:cs="楷体_GB2312"/>
          <w:kern w:val="2"/>
          <w:sz w:val="24"/>
          <w:szCs w:val="24"/>
          <w:u w:val="single"/>
          <w:lang w:val="en-US" w:eastAsia="zh-CN"/>
        </w:rPr>
        <w:t xml:space="preserve">  </w:t>
      </w:r>
      <w:r>
        <w:rPr>
          <w:rFonts w:hint="eastAsia" w:ascii="楷体_GB2312" w:hAnsi="楷体_GB2312" w:eastAsia="楷体_GB2312" w:cs="楷体_GB2312"/>
          <w:kern w:val="2"/>
          <w:sz w:val="24"/>
          <w:szCs w:val="24"/>
          <w:lang w:eastAsia="zh-CN"/>
        </w:rPr>
        <w:t>】</w:t>
      </w:r>
      <w:r>
        <w:rPr>
          <w:rFonts w:hint="eastAsia" w:ascii="楷体_GB2312" w:hAnsi="楷体_GB2312" w:eastAsia="楷体_GB2312" w:cs="楷体_GB2312"/>
          <w:sz w:val="24"/>
          <w:szCs w:val="24"/>
        </w:rPr>
        <w:t>；</w:t>
      </w:r>
      <w:r>
        <w:rPr>
          <w:rFonts w:hint="eastAsia" w:ascii="楷体_GB2312" w:hAnsi="楷体_GB2312" w:eastAsia="楷体_GB2312" w:cs="楷体_GB2312"/>
          <w:kern w:val="2"/>
          <w:sz w:val="24"/>
          <w:szCs w:val="24"/>
          <w:lang w:eastAsia="zh-CN"/>
        </w:rPr>
        <w:t>【</w:t>
      </w:r>
      <w:r>
        <w:rPr>
          <w:rFonts w:hint="eastAsia" w:ascii="楷体_GB2312" w:hAnsi="楷体_GB2312" w:eastAsia="楷体_GB2312" w:cs="楷体_GB2312"/>
          <w:kern w:val="2"/>
          <w:sz w:val="24"/>
          <w:szCs w:val="24"/>
          <w:u w:val="single"/>
          <w:lang w:val="en-US" w:eastAsia="zh-CN"/>
        </w:rPr>
        <w:t xml:space="preserve">  </w:t>
      </w:r>
      <w:r>
        <w:rPr>
          <w:rFonts w:hint="eastAsia" w:ascii="楷体_GB2312" w:hAnsi="楷体_GB2312" w:eastAsia="楷体_GB2312" w:cs="楷体_GB2312"/>
          <w:kern w:val="2"/>
          <w:sz w:val="24"/>
          <w:szCs w:val="24"/>
          <w:lang w:eastAsia="zh-CN"/>
        </w:rPr>
        <w:t>】</w:t>
      </w:r>
      <w:r>
        <w:rPr>
          <w:rFonts w:hint="eastAsia" w:ascii="楷体_GB2312" w:hAnsi="楷体_GB2312" w:eastAsia="楷体_GB2312" w:cs="楷体_GB2312"/>
          <w:sz w:val="24"/>
          <w:szCs w:val="24"/>
        </w:rPr>
        <w:t>；……</w:t>
      </w:r>
    </w:p>
    <w:p>
      <w:pPr>
        <w:pStyle w:val="16"/>
        <w:keepNext w:val="0"/>
        <w:keepLines w:val="0"/>
        <w:pageBreakBefore w:val="0"/>
        <w:widowControl w:val="0"/>
        <w:kinsoku/>
        <w:wordWrap/>
        <w:overflowPunct/>
        <w:topLinePunct w:val="0"/>
        <w:bidi w:val="0"/>
        <w:adjustRightInd w:val="0"/>
        <w:snapToGrid w:val="0"/>
        <w:spacing w:before="157" w:beforeLines="50" w:after="157" w:afterLines="50" w:line="240" w:lineRule="atLeas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（以上各方单独称为“一方”，共同称为“各方”）</w:t>
      </w:r>
    </w:p>
    <w:p>
      <w:pPr>
        <w:pStyle w:val="37"/>
        <w:keepNext w:val="0"/>
        <w:keepLines w:val="0"/>
        <w:pageBreakBefore w:val="0"/>
        <w:widowControl w:val="0"/>
        <w:kinsoku/>
        <w:wordWrap/>
        <w:overflowPunct/>
        <w:topLinePunct w:val="0"/>
        <w:bidi w:val="0"/>
        <w:spacing w:before="157" w:beforeLines="50" w:beforeAutospacing="0" w:after="157" w:afterLines="50" w:afterAutospacing="0" w:line="240" w:lineRule="atLeast"/>
        <w:ind w:firstLine="480" w:firstLineChars="200"/>
        <w:rPr>
          <w:rFonts w:hint="eastAsia" w:ascii="楷体_GB2312" w:hAnsi="楷体_GB2312" w:eastAsia="楷体_GB2312" w:cs="楷体_GB2312"/>
          <w:sz w:val="24"/>
          <w:szCs w:val="24"/>
        </w:rPr>
      </w:pPr>
    </w:p>
    <w:p>
      <w:pPr>
        <w:pStyle w:val="16"/>
        <w:keepNext w:val="0"/>
        <w:keepLines w:val="0"/>
        <w:pageBreakBefore w:val="0"/>
        <w:widowControl w:val="0"/>
        <w:kinsoku/>
        <w:wordWrap/>
        <w:overflowPunct/>
        <w:topLinePunct w:val="0"/>
        <w:bidi w:val="0"/>
        <w:adjustRightInd w:val="0"/>
        <w:snapToGrid w:val="0"/>
        <w:spacing w:before="157" w:beforeLines="50" w:after="157" w:afterLines="50" w:line="240" w:lineRule="atLeas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本协议签署各方一致同意发起机构和主承销商可按照中国银行间市场交易商协会（简称“交易商协会”）相关自律规则和本协议约定，继续遴选符合条件的特定机构投资人签署本协议。</w:t>
      </w:r>
    </w:p>
    <w:p>
      <w:pPr>
        <w:keepNext w:val="0"/>
        <w:keepLines w:val="0"/>
        <w:pageBreakBefore w:val="0"/>
        <w:widowControl w:val="0"/>
        <w:kinsoku/>
        <w:wordWrap/>
        <w:overflowPunct/>
        <w:topLinePunct w:val="0"/>
        <w:bidi w:val="0"/>
        <w:spacing w:before="157" w:beforeLines="50" w:after="157" w:afterLines="50" w:line="240" w:lineRule="atLeast"/>
        <w:rPr>
          <w:rFonts w:hint="eastAsia" w:ascii="楷体_GB2312" w:hAnsi="楷体_GB2312" w:eastAsia="楷体_GB2312" w:cs="楷体_GB2312"/>
          <w:b/>
          <w:bCs/>
          <w:sz w:val="24"/>
          <w:szCs w:val="24"/>
        </w:rPr>
      </w:pPr>
      <w:r>
        <w:rPr>
          <w:rFonts w:hint="eastAsia" w:ascii="楷体_GB2312" w:hAnsi="楷体_GB2312" w:eastAsia="楷体_GB2312" w:cs="楷体_GB2312"/>
          <w:sz w:val="24"/>
          <w:szCs w:val="24"/>
        </w:rPr>
        <w:br w:type="page"/>
      </w:r>
      <w:r>
        <w:rPr>
          <w:rFonts w:hint="eastAsia" w:ascii="楷体_GB2312" w:hAnsi="楷体_GB2312" w:eastAsia="楷体_GB2312" w:cs="楷体_GB2312"/>
          <w:b/>
          <w:bCs/>
          <w:sz w:val="24"/>
          <w:szCs w:val="24"/>
        </w:rPr>
        <w:t>鉴于</w:t>
      </w:r>
    </w:p>
    <w:p>
      <w:pPr>
        <w:keepNext w:val="0"/>
        <w:keepLines w:val="0"/>
        <w:pageBreakBefore w:val="0"/>
        <w:widowControl w:val="0"/>
        <w:kinsoku/>
        <w:wordWrap/>
        <w:overflowPunct/>
        <w:topLinePunct w:val="0"/>
        <w:bidi w:val="0"/>
        <w:adjustRightInd w:val="0"/>
        <w:snapToGrid w:val="0"/>
        <w:spacing w:before="157" w:beforeLines="50" w:after="157" w:afterLines="50" w:line="240" w:lineRule="atLeast"/>
        <w:ind w:left="1147" w:hanging="918" w:hangingChars="381"/>
        <w:rPr>
          <w:rFonts w:hint="eastAsia" w:ascii="楷体_GB2312" w:hAnsi="楷体_GB2312" w:eastAsia="楷体_GB2312" w:cs="楷体_GB2312"/>
          <w:b/>
          <w:bCs/>
          <w:sz w:val="24"/>
          <w:szCs w:val="24"/>
        </w:rPr>
      </w:pPr>
    </w:p>
    <w:p>
      <w:pPr>
        <w:keepNext w:val="0"/>
        <w:keepLines w:val="0"/>
        <w:pageBreakBefore w:val="0"/>
        <w:widowControl w:val="0"/>
        <w:numPr>
          <w:ilvl w:val="0"/>
          <w:numId w:val="3"/>
        </w:numPr>
        <w:tabs>
          <w:tab w:val="left" w:pos="426"/>
          <w:tab w:val="left" w:pos="2580"/>
          <w:tab w:val="clear" w:pos="420"/>
        </w:tabs>
        <w:kinsoku/>
        <w:wordWrap/>
        <w:overflowPunct/>
        <w:topLinePunct w:val="0"/>
        <w:bidi w:val="0"/>
        <w:adjustRightInd w:val="0"/>
        <w:snapToGrid w:val="0"/>
        <w:spacing w:before="157" w:beforeLines="50" w:after="157" w:afterLines="50" w:line="240" w:lineRule="atLeast"/>
        <w:ind w:left="426" w:hanging="426"/>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发起机构是依法设立并有效存续的非金融企业法人，自愿接受交易商协会自律管理，拟采用定向发行方式发行</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（以下简称“票据”）。</w:t>
      </w:r>
    </w:p>
    <w:p>
      <w:pPr>
        <w:keepNext w:val="0"/>
        <w:keepLines w:val="0"/>
        <w:pageBreakBefore w:val="0"/>
        <w:widowControl w:val="0"/>
        <w:numPr>
          <w:ilvl w:val="0"/>
          <w:numId w:val="3"/>
        </w:numPr>
        <w:tabs>
          <w:tab w:val="left" w:pos="720"/>
          <w:tab w:val="left" w:pos="1134"/>
        </w:tabs>
        <w:kinsoku/>
        <w:wordWrap/>
        <w:overflowPunct/>
        <w:topLinePunct w:val="0"/>
        <w:bidi w:val="0"/>
        <w:adjustRightInd w:val="0"/>
        <w:snapToGrid w:val="0"/>
        <w:spacing w:before="157" w:beforeLines="50" w:after="157" w:afterLines="50" w:line="240" w:lineRule="atLeast"/>
        <w:ind w:left="426" w:hanging="426"/>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发起机构已聘请</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为</w:t>
      </w:r>
      <w:r>
        <w:rPr>
          <w:rFonts w:hint="eastAsia" w:ascii="楷体_GB2312" w:hAnsi="楷体_GB2312" w:eastAsia="楷体_GB2312" w:cs="楷体_GB2312"/>
          <w:sz w:val="24"/>
          <w:szCs w:val="24"/>
          <w:lang w:val="en-US" w:eastAsia="zh-CN"/>
        </w:rPr>
        <w:t>牵头</w:t>
      </w:r>
      <w:r>
        <w:rPr>
          <w:rFonts w:hint="eastAsia" w:ascii="楷体_GB2312" w:hAnsi="楷体_GB2312" w:eastAsia="楷体_GB2312" w:cs="楷体_GB2312"/>
          <w:sz w:val="24"/>
          <w:szCs w:val="24"/>
        </w:rPr>
        <w:t>主承销商，</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为联席主承销商（如有），</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 xml:space="preserve">为发行载体管理机构。 </w:t>
      </w:r>
    </w:p>
    <w:p>
      <w:pPr>
        <w:keepNext w:val="0"/>
        <w:keepLines w:val="0"/>
        <w:pageBreakBefore w:val="0"/>
        <w:widowControl w:val="0"/>
        <w:numPr>
          <w:ilvl w:val="0"/>
          <w:numId w:val="3"/>
        </w:numPr>
        <w:tabs>
          <w:tab w:val="left" w:pos="720"/>
          <w:tab w:val="left" w:pos="1134"/>
        </w:tabs>
        <w:kinsoku/>
        <w:wordWrap/>
        <w:overflowPunct/>
        <w:topLinePunct w:val="0"/>
        <w:bidi w:val="0"/>
        <w:adjustRightInd w:val="0"/>
        <w:snapToGrid w:val="0"/>
        <w:spacing w:before="157" w:beforeLines="50" w:after="157" w:afterLines="50" w:line="240" w:lineRule="atLeast"/>
        <w:ind w:left="426" w:hanging="426"/>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本协议项下的定向投资人由发起机构和主承销商遴选确定，完全了解并能够识别发起机构本协议项下资产支持</w:t>
      </w:r>
      <w:r>
        <w:rPr>
          <w:rFonts w:hint="eastAsia" w:ascii="楷体_GB2312" w:hAnsi="楷体_GB2312" w:eastAsia="楷体_GB2312" w:cs="楷体_GB2312"/>
          <w:sz w:val="24"/>
          <w:szCs w:val="24"/>
          <w:lang w:val="en-US" w:eastAsia="zh-CN"/>
        </w:rPr>
        <w:t>商业</w:t>
      </w:r>
      <w:r>
        <w:rPr>
          <w:rFonts w:hint="eastAsia" w:ascii="楷体_GB2312" w:hAnsi="楷体_GB2312" w:eastAsia="楷体_GB2312" w:cs="楷体_GB2312"/>
          <w:sz w:val="24"/>
          <w:szCs w:val="24"/>
        </w:rPr>
        <w:t>票据风险特征和投资流程，具有承担该资产支持</w:t>
      </w:r>
      <w:r>
        <w:rPr>
          <w:rFonts w:hint="eastAsia" w:ascii="楷体_GB2312" w:hAnsi="楷体_GB2312" w:eastAsia="楷体_GB2312" w:cs="楷体_GB2312"/>
          <w:sz w:val="24"/>
          <w:szCs w:val="24"/>
          <w:lang w:val="en-US" w:eastAsia="zh-CN"/>
        </w:rPr>
        <w:t>商业</w:t>
      </w:r>
      <w:r>
        <w:rPr>
          <w:rFonts w:hint="eastAsia" w:ascii="楷体_GB2312" w:hAnsi="楷体_GB2312" w:eastAsia="楷体_GB2312" w:cs="楷体_GB2312"/>
          <w:sz w:val="24"/>
          <w:szCs w:val="24"/>
        </w:rPr>
        <w:t>票据投资风险的意愿和能力，自愿接受交易商协会自律管理。</w:t>
      </w:r>
    </w:p>
    <w:p>
      <w:pPr>
        <w:keepNext w:val="0"/>
        <w:keepLines w:val="0"/>
        <w:pageBreakBefore w:val="0"/>
        <w:widowControl w:val="0"/>
        <w:numPr>
          <w:ilvl w:val="0"/>
          <w:numId w:val="3"/>
        </w:numPr>
        <w:tabs>
          <w:tab w:val="left" w:pos="720"/>
          <w:tab w:val="left" w:pos="1134"/>
        </w:tabs>
        <w:kinsoku/>
        <w:wordWrap/>
        <w:overflowPunct/>
        <w:topLinePunct w:val="0"/>
        <w:bidi w:val="0"/>
        <w:adjustRightInd w:val="0"/>
        <w:snapToGrid w:val="0"/>
        <w:spacing w:before="157" w:beforeLines="50" w:after="157" w:afterLines="50" w:line="240" w:lineRule="atLeast"/>
        <w:ind w:left="426" w:hanging="426"/>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为规范发起机构本协议项下资产支持</w:t>
      </w:r>
      <w:r>
        <w:rPr>
          <w:rFonts w:hint="eastAsia" w:ascii="楷体_GB2312" w:hAnsi="楷体_GB2312" w:eastAsia="楷体_GB2312" w:cs="楷体_GB2312"/>
          <w:sz w:val="24"/>
          <w:szCs w:val="24"/>
          <w:lang w:val="en-US" w:eastAsia="zh-CN"/>
        </w:rPr>
        <w:t>商业</w:t>
      </w:r>
      <w:r>
        <w:rPr>
          <w:rFonts w:hint="eastAsia" w:ascii="楷体_GB2312" w:hAnsi="楷体_GB2312" w:eastAsia="楷体_GB2312" w:cs="楷体_GB2312"/>
          <w:sz w:val="24"/>
          <w:szCs w:val="24"/>
        </w:rPr>
        <w:t>票据的注册发行和交易流通等行为，明确发起机构、发行载体管理机构和投资人的权利义务，维护各方合法权益，</w:t>
      </w:r>
      <w:r>
        <w:rPr>
          <w:rFonts w:hint="eastAsia" w:ascii="楷体_GB2312" w:hAnsi="楷体_GB2312" w:eastAsia="楷体_GB2312" w:cs="楷体_GB2312"/>
          <w:sz w:val="24"/>
          <w:szCs w:val="24"/>
          <w:lang w:val="en-US" w:eastAsia="zh-CN"/>
        </w:rPr>
        <w:t>参照</w:t>
      </w:r>
      <w:r>
        <w:rPr>
          <w:rFonts w:hint="eastAsia" w:ascii="楷体_GB2312" w:hAnsi="楷体_GB2312" w:eastAsia="楷体_GB2312" w:cs="楷体_GB2312"/>
          <w:sz w:val="24"/>
          <w:szCs w:val="24"/>
        </w:rPr>
        <w:t>包括《中华人民共和国民法典》、《银行间债券市场非金融企业债务融资工具管理办法》（中国人民银行令[2008]第1号）、《非金融企业债务融资工具注册发行规则》、《非金融企业债务融资工具定向发行注册工作规程》、《银行间债券市场非金融企业债务融资工具信息披露规则》（简称“《信息披露规则》”）、《非金融企业</w:t>
      </w:r>
      <w:r>
        <w:rPr>
          <w:rFonts w:hint="eastAsia" w:ascii="楷体_GB2312" w:hAnsi="楷体_GB2312" w:eastAsia="楷体_GB2312" w:cs="楷体_GB2312"/>
          <w:sz w:val="24"/>
          <w:szCs w:val="24"/>
          <w:lang w:eastAsia="zh-CN"/>
        </w:rPr>
        <w:t>资产支持票据</w:t>
      </w:r>
      <w:r>
        <w:rPr>
          <w:rFonts w:hint="eastAsia" w:ascii="楷体_GB2312" w:hAnsi="楷体_GB2312" w:eastAsia="楷体_GB2312" w:cs="楷体_GB2312"/>
          <w:sz w:val="24"/>
          <w:szCs w:val="24"/>
        </w:rPr>
        <w:t>指引》（简称“《</w:t>
      </w:r>
      <w:r>
        <w:rPr>
          <w:rFonts w:hint="eastAsia" w:ascii="楷体_GB2312" w:hAnsi="楷体_GB2312" w:eastAsia="楷体_GB2312" w:cs="楷体_GB2312"/>
          <w:sz w:val="24"/>
          <w:szCs w:val="24"/>
          <w:lang w:eastAsia="zh-CN"/>
        </w:rPr>
        <w:t>资产支持票据</w:t>
      </w:r>
      <w:r>
        <w:rPr>
          <w:rFonts w:hint="eastAsia" w:ascii="楷体_GB2312" w:hAnsi="楷体_GB2312" w:eastAsia="楷体_GB2312" w:cs="楷体_GB2312"/>
          <w:sz w:val="24"/>
          <w:szCs w:val="24"/>
        </w:rPr>
        <w:t>指引》”）等在内的相关法律法规及交易商协会相关自律规则；经友好协商，签署各方本着诚实守信、平等互利、表意真实的原则，就本协议项下定向</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的相关事宜达成如下协议：</w:t>
      </w:r>
    </w:p>
    <w:p>
      <w:pPr>
        <w:keepNext w:val="0"/>
        <w:keepLines w:val="0"/>
        <w:pageBreakBefore w:val="0"/>
        <w:widowControl w:val="0"/>
        <w:kinsoku/>
        <w:wordWrap/>
        <w:overflowPunct/>
        <w:topLinePunct w:val="0"/>
        <w:bidi w:val="0"/>
        <w:spacing w:before="157" w:beforeLines="50" w:after="157" w:afterLines="50" w:line="240" w:lineRule="atLeast"/>
        <w:rPr>
          <w:rFonts w:hint="eastAsia" w:ascii="楷体_GB2312" w:hAnsi="楷体_GB2312" w:eastAsia="楷体_GB2312" w:cs="楷体_GB2312"/>
          <w:sz w:val="24"/>
          <w:szCs w:val="24"/>
        </w:rPr>
        <w:sectPr>
          <w:footnotePr>
            <w:numFmt w:val="decimal"/>
            <w:numRestart w:val="eachPage"/>
          </w:footnotePr>
          <w:pgSz w:w="11906" w:h="16838"/>
          <w:pgMar w:top="1440" w:right="1800" w:bottom="1440" w:left="1800" w:header="851" w:footer="992" w:gutter="0"/>
          <w:pgNumType w:fmt="decimal"/>
          <w:cols w:space="720" w:num="1"/>
          <w:docGrid w:type="lines" w:linePitch="312" w:charSpace="0"/>
        </w:sectPr>
      </w:pPr>
      <w:bookmarkStart w:id="3939" w:name="_Toc3512"/>
      <w:bookmarkStart w:id="3940" w:name="_Toc5387"/>
      <w:bookmarkStart w:id="3941" w:name="_Toc19076"/>
      <w:bookmarkStart w:id="3942" w:name="_Toc9470"/>
      <w:bookmarkStart w:id="3943" w:name="_Toc26387"/>
      <w:bookmarkStart w:id="3944" w:name="_Toc16729"/>
      <w:bookmarkStart w:id="3945" w:name="_Toc484693552"/>
      <w:bookmarkStart w:id="3946" w:name="_Toc10713"/>
    </w:p>
    <w:p>
      <w:pPr>
        <w:pStyle w:val="2"/>
        <w:keepNext w:val="0"/>
        <w:keepLines w:val="0"/>
        <w:pageBreakBefore w:val="0"/>
        <w:widowControl w:val="0"/>
        <w:kinsoku/>
        <w:wordWrap/>
        <w:overflowPunct/>
        <w:topLinePunct w:val="0"/>
        <w:bidi w:val="0"/>
        <w:spacing w:before="157" w:beforeLines="50" w:after="157" w:afterLines="50" w:line="240" w:lineRule="atLeast"/>
        <w:rPr>
          <w:rFonts w:hint="eastAsia"/>
          <w:sz w:val="24"/>
          <w:szCs w:val="24"/>
        </w:rPr>
      </w:pP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jc w:val="center"/>
        <w:outlineLvl w:val="1"/>
        <w:rPr>
          <w:rFonts w:hint="eastAsia" w:ascii="楷体_GB2312" w:hAnsi="楷体_GB2312" w:eastAsia="楷体_GB2312" w:cs="楷体_GB2312"/>
          <w:b/>
          <w:bCs/>
          <w:kern w:val="0"/>
          <w:sz w:val="30"/>
          <w:szCs w:val="30"/>
        </w:rPr>
      </w:pPr>
      <w:bookmarkStart w:id="3947" w:name="_Toc29028"/>
      <w:bookmarkStart w:id="3948" w:name="_Toc11410"/>
      <w:bookmarkStart w:id="3949" w:name="_Toc27158"/>
      <w:bookmarkStart w:id="3950" w:name="_Toc18121"/>
      <w:r>
        <w:rPr>
          <w:rFonts w:hint="eastAsia" w:ascii="楷体_GB2312" w:hAnsi="楷体_GB2312" w:eastAsia="楷体_GB2312" w:cs="楷体_GB2312"/>
          <w:b/>
          <w:bCs/>
          <w:kern w:val="0"/>
          <w:sz w:val="30"/>
          <w:szCs w:val="30"/>
        </w:rPr>
        <w:t>第一条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释义</w:t>
      </w:r>
      <w:bookmarkEnd w:id="3939"/>
      <w:bookmarkEnd w:id="3940"/>
      <w:bookmarkEnd w:id="3941"/>
      <w:bookmarkEnd w:id="3942"/>
      <w:bookmarkEnd w:id="3943"/>
      <w:bookmarkEnd w:id="3944"/>
      <w:bookmarkEnd w:id="3945"/>
      <w:bookmarkEnd w:id="3946"/>
      <w:bookmarkEnd w:id="3947"/>
      <w:bookmarkEnd w:id="3948"/>
      <w:bookmarkEnd w:id="3949"/>
      <w:bookmarkEnd w:id="3950"/>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本</w:t>
      </w:r>
      <w:r>
        <w:rPr>
          <w:rFonts w:hint="eastAsia" w:ascii="楷体_GB2312" w:hAnsi="楷体_GB2312" w:eastAsia="楷体_GB2312" w:cs="楷体_GB2312"/>
          <w:bCs/>
          <w:kern w:val="0"/>
          <w:sz w:val="24"/>
          <w:szCs w:val="24"/>
          <w:lang w:val="en-US" w:eastAsia="zh-CN"/>
        </w:rPr>
        <w:t>协议</w:t>
      </w:r>
      <w:r>
        <w:rPr>
          <w:rFonts w:hint="eastAsia" w:ascii="楷体_GB2312" w:hAnsi="楷体_GB2312" w:eastAsia="楷体_GB2312" w:cs="楷体_GB2312"/>
          <w:bCs/>
          <w:kern w:val="0"/>
          <w:sz w:val="24"/>
          <w:szCs w:val="24"/>
        </w:rPr>
        <w:t>中，除非文中另有所指，下列词语具有如下含义：</w:t>
      </w:r>
    </w:p>
    <w:p>
      <w:pPr>
        <w:pStyle w:val="2"/>
        <w:keepNext w:val="0"/>
        <w:keepLines w:val="0"/>
        <w:pageBreakBefore w:val="0"/>
        <w:widowControl w:val="0"/>
        <w:kinsoku/>
        <w:wordWrap/>
        <w:overflowPunct/>
        <w:topLinePunct w:val="0"/>
        <w:bidi w:val="0"/>
        <w:snapToGrid/>
        <w:spacing w:before="157" w:beforeLines="50" w:after="157" w:afterLines="50" w:line="240" w:lineRule="atLeast"/>
        <w:jc w:val="both"/>
        <w:textAlignment w:val="auto"/>
        <w:rPr>
          <w:rFonts w:hint="eastAsia"/>
        </w:rPr>
      </w:pPr>
      <w:r>
        <w:rPr>
          <w:rFonts w:hint="eastAsia" w:ascii="Times New Roman" w:hAnsi="Times New Roman" w:eastAsia="楷体_GB2312" w:cs="Times New Roman"/>
          <w:b/>
          <w:bCs w:val="0"/>
          <w:i/>
          <w:color w:val="FF0000"/>
          <w:sz w:val="24"/>
          <w:szCs w:val="28"/>
          <w:u w:val="single"/>
          <w:lang w:val="en-US" w:eastAsia="zh-CN"/>
        </w:rPr>
        <w:t>应参照《主定义表》“一、定义”的内容。</w:t>
      </w:r>
    </w:p>
    <w:p>
      <w:pPr>
        <w:keepNext w:val="0"/>
        <w:keepLines w:val="0"/>
        <w:pageBreakBefore w:val="0"/>
        <w:widowControl w:val="0"/>
        <w:tabs>
          <w:tab w:val="left" w:pos="720"/>
          <w:tab w:val="left" w:pos="1134"/>
        </w:tabs>
        <w:kinsoku/>
        <w:wordWrap/>
        <w:overflowPunct/>
        <w:topLinePunct w:val="0"/>
        <w:bidi w:val="0"/>
        <w:adjustRightInd w:val="0"/>
        <w:snapToGrid w:val="0"/>
        <w:spacing w:before="157" w:beforeLines="50" w:after="157" w:afterLines="50" w:line="240" w:lineRule="atLeast"/>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jc w:val="center"/>
        <w:outlineLvl w:val="1"/>
        <w:rPr>
          <w:rFonts w:hint="eastAsia" w:ascii="楷体_GB2312" w:hAnsi="楷体_GB2312" w:eastAsia="楷体_GB2312" w:cs="楷体_GB2312"/>
          <w:b/>
          <w:bCs/>
          <w:kern w:val="0"/>
          <w:sz w:val="30"/>
          <w:szCs w:val="30"/>
        </w:rPr>
      </w:pPr>
      <w:bookmarkStart w:id="3951" w:name="_Toc23259"/>
      <w:bookmarkStart w:id="3952" w:name="_Toc30334"/>
      <w:bookmarkStart w:id="3953" w:name="_Toc31262"/>
      <w:bookmarkStart w:id="3954" w:name="_Toc29813"/>
      <w:bookmarkStart w:id="3955" w:name="_Toc28925"/>
      <w:bookmarkStart w:id="3956" w:name="_Toc16410"/>
      <w:bookmarkStart w:id="3957" w:name="_Toc7701"/>
      <w:bookmarkStart w:id="3958" w:name="_Toc20209"/>
      <w:bookmarkStart w:id="3959" w:name="_Toc484693553"/>
      <w:bookmarkStart w:id="3960" w:name="_Toc24561"/>
      <w:bookmarkStart w:id="3961" w:name="_Toc7827"/>
      <w:bookmarkStart w:id="3962" w:name="_Toc23306"/>
      <w:r>
        <w:rPr>
          <w:rFonts w:hint="eastAsia" w:ascii="楷体_GB2312" w:hAnsi="楷体_GB2312" w:eastAsia="楷体_GB2312" w:cs="楷体_GB2312"/>
          <w:b/>
          <w:bCs/>
          <w:kern w:val="0"/>
          <w:sz w:val="30"/>
          <w:szCs w:val="30"/>
        </w:rPr>
        <w:t>第二条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协议的构成与效力等级</w:t>
      </w:r>
      <w:bookmarkEnd w:id="3951"/>
      <w:bookmarkEnd w:id="3952"/>
      <w:bookmarkEnd w:id="3953"/>
      <w:bookmarkEnd w:id="3954"/>
      <w:bookmarkEnd w:id="3955"/>
      <w:bookmarkEnd w:id="3956"/>
      <w:bookmarkEnd w:id="3957"/>
      <w:bookmarkEnd w:id="3958"/>
      <w:bookmarkEnd w:id="3959"/>
      <w:bookmarkEnd w:id="3960"/>
      <w:bookmarkEnd w:id="3961"/>
      <w:bookmarkEnd w:id="3962"/>
    </w:p>
    <w:p>
      <w:pPr>
        <w:pStyle w:val="2"/>
        <w:keepNext w:val="0"/>
        <w:keepLines w:val="0"/>
        <w:pageBreakBefore w:val="0"/>
        <w:widowControl w:val="0"/>
        <w:kinsoku/>
        <w:wordWrap/>
        <w:overflowPunct/>
        <w:topLinePunct w:val="0"/>
        <w:bidi w:val="0"/>
        <w:spacing w:before="157" w:beforeLines="50" w:after="157" w:afterLines="50" w:line="240" w:lineRule="atLeast"/>
        <w:jc w:val="both"/>
        <w:rPr>
          <w:rFonts w:hint="eastAsia"/>
        </w:rPr>
      </w:pPr>
      <w:r>
        <w:rPr>
          <w:rFonts w:hint="eastAsia" w:ascii="楷体_GB2312" w:hAnsi="楷体_GB2312" w:eastAsia="楷体_GB2312" w:cs="楷体_GB2312"/>
          <w:sz w:val="24"/>
          <w:szCs w:val="24"/>
        </w:rPr>
        <w:t>2.1  本协议由以下部分构成：</w:t>
      </w:r>
    </w:p>
    <w:p>
      <w:pPr>
        <w:keepNext w:val="0"/>
        <w:keepLines w:val="0"/>
        <w:pageBreakBefore w:val="0"/>
        <w:widowControl w:val="0"/>
        <w:kinsoku/>
        <w:wordWrap/>
        <w:overflowPunct/>
        <w:topLinePunct w:val="0"/>
        <w:bidi w:val="0"/>
        <w:spacing w:before="157" w:beforeLines="50" w:after="157" w:afterLines="50" w:line="240" w:lineRule="atLeast"/>
        <w:ind w:firstLine="480" w:firstLineChars="200"/>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2.1.1《【</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rPr>
        <w:t>】公司【  】—【  】年度【</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rPr>
        <w:t>】资产支持商业票据定向发行协议》（简称“定向发行协议正文”）；</w:t>
      </w:r>
    </w:p>
    <w:p>
      <w:pPr>
        <w:keepNext w:val="0"/>
        <w:keepLines w:val="0"/>
        <w:pageBreakBefore w:val="0"/>
        <w:widowControl w:val="0"/>
        <w:kinsoku/>
        <w:wordWrap/>
        <w:overflowPunct/>
        <w:topLinePunct w:val="0"/>
        <w:bidi w:val="0"/>
        <w:spacing w:before="157" w:beforeLines="50" w:after="157" w:afterLines="50" w:line="240" w:lineRule="atLeast"/>
        <w:ind w:firstLine="480" w:firstLineChars="200"/>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2.1.2 《附件：【</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rPr>
        <w:t>】公司【  】年度【</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rPr>
        <w:t>】第【</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sz w:val="24"/>
          <w:szCs w:val="24"/>
        </w:rPr>
        <w:t>】期定向资产支持商业票据信息披露文件》（简称“定向资产支持商业票据信息披露文件”）</w:t>
      </w:r>
    </w:p>
    <w:p>
      <w:pPr>
        <w:keepNext w:val="0"/>
        <w:keepLines w:val="0"/>
        <w:pageBreakBefore w:val="0"/>
        <w:widowControl w:val="0"/>
        <w:kinsoku/>
        <w:wordWrap/>
        <w:overflowPunct/>
        <w:topLinePunct w:val="0"/>
        <w:bidi w:val="0"/>
        <w:spacing w:before="157" w:beforeLines="50" w:after="157" w:afterLines="50" w:line="240" w:lineRule="atLeast"/>
        <w:ind w:firstLine="480" w:firstLineChars="200"/>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2.2上述文件构成协议签署各方之间单一和完整的协议。（简称“定向发行协议”或“本协议”）。</w:t>
      </w:r>
    </w:p>
    <w:p>
      <w:pPr>
        <w:keepNext w:val="0"/>
        <w:keepLines w:val="0"/>
        <w:pageBreakBefore w:val="0"/>
        <w:widowControl w:val="0"/>
        <w:kinsoku/>
        <w:wordWrap/>
        <w:overflowPunct/>
        <w:topLinePunct w:val="0"/>
        <w:bidi w:val="0"/>
        <w:spacing w:before="157" w:beforeLines="50" w:after="157" w:afterLines="50" w:line="240" w:lineRule="atLeast"/>
        <w:ind w:firstLine="480" w:firstLineChars="200"/>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2.3 补充协议（如有）与定向发行协议正文不一致的，补充协议有优先效力。发行载体和发起机构应在补充协议签署之日后三个工作日内披露相关信息并向交易商协会报备。</w:t>
      </w:r>
    </w:p>
    <w:p>
      <w:pPr>
        <w:pStyle w:val="2"/>
        <w:keepNext w:val="0"/>
        <w:keepLines w:val="0"/>
        <w:pageBreakBefore w:val="0"/>
        <w:widowControl w:val="0"/>
        <w:kinsoku/>
        <w:wordWrap/>
        <w:overflowPunct/>
        <w:topLinePunct w:val="0"/>
        <w:bidi w:val="0"/>
        <w:spacing w:before="157" w:beforeLines="50" w:after="157" w:afterLines="50" w:line="240" w:lineRule="atLeast"/>
        <w:ind w:left="0" w:leftChars="0" w:firstLine="0" w:firstLineChars="0"/>
        <w:rPr>
          <w:rFonts w:hint="eastAsia"/>
          <w:sz w:val="24"/>
          <w:szCs w:val="24"/>
        </w:rPr>
      </w:pPr>
      <w:bookmarkStart w:id="3963" w:name="_Toc484693554"/>
      <w:bookmarkStart w:id="3964" w:name="_Toc30808"/>
      <w:bookmarkStart w:id="3965" w:name="_Toc18366"/>
      <w:bookmarkStart w:id="3966" w:name="_Toc21120"/>
      <w:bookmarkStart w:id="3967" w:name="_Toc20706"/>
      <w:bookmarkStart w:id="3968" w:name="_Toc352070924"/>
      <w:bookmarkStart w:id="3969" w:name="_Toc1828"/>
      <w:bookmarkStart w:id="3970" w:name="_Toc28005"/>
      <w:r>
        <w:rPr>
          <w:rFonts w:hint="eastAsia"/>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3971" w:name="_Toc25"/>
      <w:bookmarkStart w:id="3972" w:name="_Toc25183"/>
      <w:bookmarkStart w:id="3973" w:name="_Toc25704"/>
      <w:bookmarkStart w:id="3974" w:name="_Toc1371"/>
      <w:r>
        <w:rPr>
          <w:rFonts w:hint="eastAsia" w:ascii="楷体_GB2312" w:hAnsi="楷体_GB2312" w:eastAsia="楷体_GB2312" w:cs="楷体_GB2312"/>
          <w:b/>
          <w:bCs/>
          <w:kern w:val="0"/>
          <w:sz w:val="30"/>
          <w:szCs w:val="30"/>
        </w:rPr>
        <w:t>第三条</w:t>
      </w:r>
      <w:r>
        <w:rPr>
          <w:rFonts w:hint="eastAsia" w:ascii="楷体_GB2312" w:hAnsi="楷体_GB2312" w:eastAsia="楷体_GB2312" w:cs="楷体_GB2312"/>
          <w:b/>
          <w:bCs/>
          <w:kern w:val="0"/>
          <w:sz w:val="30"/>
          <w:szCs w:val="30"/>
          <w:lang w:val="en-US" w:eastAsia="zh-CN"/>
        </w:rPr>
        <w:t xml:space="preserve"> 定向</w:t>
      </w:r>
      <w:r>
        <w:rPr>
          <w:rFonts w:hint="eastAsia" w:ascii="楷体_GB2312" w:hAnsi="楷体_GB2312" w:eastAsia="楷体_GB2312" w:cs="楷体_GB2312"/>
          <w:b/>
          <w:bCs/>
          <w:kern w:val="0"/>
          <w:sz w:val="30"/>
          <w:szCs w:val="30"/>
          <w:lang w:eastAsia="zh-CN"/>
        </w:rPr>
        <w:t>资产支持商业票据</w:t>
      </w:r>
      <w:r>
        <w:rPr>
          <w:rFonts w:hint="eastAsia" w:ascii="楷体_GB2312" w:hAnsi="楷体_GB2312" w:eastAsia="楷体_GB2312" w:cs="楷体_GB2312"/>
          <w:b/>
          <w:bCs/>
          <w:kern w:val="0"/>
          <w:sz w:val="30"/>
          <w:szCs w:val="30"/>
        </w:rPr>
        <w:t>的发行与认购</w:t>
      </w:r>
      <w:bookmarkEnd w:id="3963"/>
      <w:bookmarkEnd w:id="3964"/>
      <w:bookmarkEnd w:id="3965"/>
      <w:bookmarkEnd w:id="3966"/>
      <w:bookmarkEnd w:id="3967"/>
      <w:bookmarkEnd w:id="3968"/>
      <w:bookmarkEnd w:id="3969"/>
      <w:bookmarkEnd w:id="3970"/>
      <w:bookmarkEnd w:id="3971"/>
      <w:bookmarkEnd w:id="3972"/>
      <w:bookmarkEnd w:id="3973"/>
      <w:bookmarkEnd w:id="3974"/>
    </w:p>
    <w:p>
      <w:pPr>
        <w:keepNext w:val="0"/>
        <w:keepLines w:val="0"/>
        <w:pageBreakBefore w:val="0"/>
        <w:widowControl w:val="0"/>
        <w:kinsoku/>
        <w:wordWrap/>
        <w:overflowPunct/>
        <w:topLinePunct w:val="0"/>
        <w:bidi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3.1发起机构按照本协议的约定向交易商协会申请注册金额为</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u w:val="single"/>
        </w:rPr>
        <w:t>人民币/美元/</w:t>
      </w:r>
      <w:r>
        <w:rPr>
          <w:rFonts w:hint="eastAsia" w:ascii="楷体_GB2312" w:hAnsi="楷体_GB2312" w:eastAsia="楷体_GB2312" w:cs="楷体_GB2312"/>
          <w:sz w:val="24"/>
          <w:szCs w:val="24"/>
          <w:u w:val="single"/>
          <w:lang w:eastAsia="zh-CN"/>
        </w:rPr>
        <w:t>（</w:t>
      </w:r>
      <w:r>
        <w:rPr>
          <w:rFonts w:hint="eastAsia" w:ascii="楷体_GB2312" w:hAnsi="楷体_GB2312" w:eastAsia="楷体_GB2312" w:cs="楷体_GB2312"/>
          <w:sz w:val="24"/>
          <w:szCs w:val="24"/>
          <w:u w:val="single"/>
        </w:rPr>
        <w:t>其他</w:t>
      </w:r>
      <w:r>
        <w:rPr>
          <w:rFonts w:hint="eastAsia" w:ascii="楷体_GB2312" w:hAnsi="楷体_GB2312" w:eastAsia="楷体_GB2312" w:cs="楷体_GB2312"/>
          <w:sz w:val="24"/>
          <w:szCs w:val="24"/>
          <w:u w:val="single"/>
          <w:lang w:val="en-US" w:eastAsia="zh-CN"/>
        </w:rPr>
        <w:t>）</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亿元的</w:t>
      </w: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，并在交易商协会《接受注册通知书》确定的注册金额限额内按照交易商协会相关自律规则定向发行</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w:t>
      </w:r>
    </w:p>
    <w:p>
      <w:pPr>
        <w:keepNext w:val="0"/>
        <w:keepLines w:val="0"/>
        <w:pageBreakBefore w:val="0"/>
        <w:widowControl w:val="0"/>
        <w:kinsoku/>
        <w:wordWrap/>
        <w:overflowPunct/>
        <w:topLinePunct w:val="0"/>
        <w:bidi w:val="0"/>
        <w:snapToGrid/>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3.2发起机构应在交易商协会《接受注册通知书》确定的注册金额限额内与主承销商协商确定本协议项下</w:t>
      </w:r>
      <w:r>
        <w:rPr>
          <w:rFonts w:hint="eastAsia" w:ascii="楷体_GB2312" w:hAnsi="楷体_GB2312" w:eastAsia="楷体_GB2312" w:cs="楷体_GB2312"/>
          <w:sz w:val="24"/>
          <w:szCs w:val="24"/>
          <w:lang w:val="en-US" w:eastAsia="zh-CN"/>
        </w:rPr>
        <w:t>分期</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滚动发行的</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发行期数以及每期发行的期限、金额、利率/价格区间等发行条款并至少于发行前1个工作日通过信息披露文件向投资人定向披露信息。</w:t>
      </w:r>
    </w:p>
    <w:p>
      <w:pPr>
        <w:keepNext w:val="0"/>
        <w:keepLines w:val="0"/>
        <w:pageBreakBefore w:val="0"/>
        <w:widowControl w:val="0"/>
        <w:kinsoku/>
        <w:wordWrap/>
        <w:overflowPunct/>
        <w:topLinePunct w:val="0"/>
        <w:bidi w:val="0"/>
        <w:snapToGrid/>
        <w:spacing w:before="157" w:beforeLines="50" w:after="157" w:afterLines="50" w:line="240" w:lineRule="atLeast"/>
        <w:ind w:firstLine="480"/>
        <w:jc w:val="both"/>
        <w:textAlignment w:val="auto"/>
        <w:rPr>
          <w:rFonts w:hint="eastAsia" w:ascii="楷体_GB2312" w:hAnsi="楷体_GB2312" w:eastAsia="楷体_GB2312" w:cs="楷体_GB2312"/>
          <w:sz w:val="24"/>
          <w:szCs w:val="24"/>
          <w:lang w:val="en-GB"/>
        </w:rPr>
      </w:pPr>
      <w:r>
        <w:rPr>
          <w:rFonts w:hint="eastAsia" w:ascii="楷体_GB2312" w:hAnsi="楷体_GB2312" w:eastAsia="楷体_GB2312" w:cs="楷体_GB2312"/>
          <w:bCs/>
          <w:sz w:val="24"/>
          <w:szCs w:val="24"/>
        </w:rPr>
        <w:t>3.3定向投资人愿意参与发起机构在前述注册额度内的任意一期</w:t>
      </w:r>
      <w:r>
        <w:rPr>
          <w:rFonts w:hint="eastAsia" w:ascii="楷体_GB2312" w:hAnsi="楷体_GB2312" w:eastAsia="楷体_GB2312" w:cs="楷体_GB2312"/>
          <w:bCs/>
          <w:sz w:val="24"/>
          <w:szCs w:val="24"/>
          <w:lang w:eastAsia="zh-CN"/>
        </w:rPr>
        <w:t>资产支持商业票据</w:t>
      </w:r>
      <w:r>
        <w:rPr>
          <w:rFonts w:hint="eastAsia" w:ascii="楷体_GB2312" w:hAnsi="楷体_GB2312" w:eastAsia="楷体_GB2312" w:cs="楷体_GB2312"/>
          <w:bCs/>
          <w:sz w:val="24"/>
          <w:szCs w:val="24"/>
        </w:rPr>
        <w:t>的发行，并有权根据</w:t>
      </w:r>
      <w:r>
        <w:rPr>
          <w:rFonts w:hint="eastAsia" w:ascii="楷体_GB2312" w:hAnsi="楷体_GB2312" w:eastAsia="楷体_GB2312" w:cs="楷体_GB2312"/>
          <w:bCs/>
          <w:sz w:val="24"/>
          <w:szCs w:val="24"/>
          <w:lang w:eastAsia="zh-CN"/>
        </w:rPr>
        <w:t>本期资产支持商业票据</w:t>
      </w:r>
      <w:r>
        <w:rPr>
          <w:rFonts w:hint="eastAsia" w:ascii="楷体_GB2312" w:hAnsi="楷体_GB2312" w:eastAsia="楷体_GB2312" w:cs="楷体_GB2312"/>
          <w:bCs/>
          <w:sz w:val="24"/>
          <w:szCs w:val="24"/>
        </w:rPr>
        <w:t>的发行条款决定是否提交认购申请。</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both"/>
        <w:textAlignment w:val="auto"/>
        <w:outlineLvl w:val="9"/>
        <w:rPr>
          <w:rFonts w:hint="eastAsia" w:ascii="楷体_GB2312" w:hAnsi="楷体_GB2312" w:eastAsia="楷体_GB2312" w:cs="楷体_GB2312"/>
          <w:b/>
          <w:bCs/>
          <w:kern w:val="0"/>
          <w:sz w:val="24"/>
          <w:szCs w:val="24"/>
        </w:rPr>
      </w:pPr>
      <w:bookmarkStart w:id="3975" w:name="_Toc7275"/>
      <w:bookmarkStart w:id="3976" w:name="_Toc14277"/>
      <w:bookmarkStart w:id="3977" w:name="_Toc15022"/>
      <w:bookmarkStart w:id="3978" w:name="_Toc484693555"/>
      <w:bookmarkStart w:id="3979" w:name="_Toc4816"/>
      <w:bookmarkStart w:id="3980" w:name="_Toc352070925"/>
      <w:bookmarkStart w:id="3981" w:name="_Toc29125"/>
      <w:bookmarkStart w:id="3982" w:name="_Toc6806"/>
      <w:bookmarkStart w:id="3983" w:name="_Toc28403"/>
      <w:r>
        <w:rPr>
          <w:rFonts w:hint="eastAsia" w:ascii="楷体_GB2312" w:hAnsi="楷体_GB2312" w:eastAsia="楷体_GB2312" w:cs="楷体_GB2312"/>
          <w:b/>
          <w:bCs/>
          <w:kern w:val="0"/>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3984" w:name="_Toc10251"/>
      <w:bookmarkStart w:id="3985" w:name="_Toc29898"/>
      <w:bookmarkStart w:id="3986" w:name="_Toc26126"/>
      <w:bookmarkStart w:id="3987" w:name="_Toc10411"/>
      <w:r>
        <w:rPr>
          <w:rFonts w:hint="eastAsia" w:ascii="楷体_GB2312" w:hAnsi="楷体_GB2312" w:eastAsia="楷体_GB2312" w:cs="楷体_GB2312"/>
          <w:b/>
          <w:bCs/>
          <w:kern w:val="0"/>
          <w:sz w:val="30"/>
          <w:szCs w:val="30"/>
        </w:rPr>
        <w:t>第四条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募集资金用途</w:t>
      </w:r>
      <w:bookmarkEnd w:id="3975"/>
      <w:bookmarkEnd w:id="3976"/>
      <w:bookmarkEnd w:id="3977"/>
      <w:bookmarkEnd w:id="3978"/>
      <w:bookmarkEnd w:id="3979"/>
      <w:bookmarkEnd w:id="3980"/>
      <w:bookmarkEnd w:id="3981"/>
      <w:bookmarkEnd w:id="3982"/>
      <w:bookmarkEnd w:id="3983"/>
      <w:bookmarkEnd w:id="3984"/>
      <w:bookmarkEnd w:id="3985"/>
      <w:bookmarkEnd w:id="3986"/>
      <w:bookmarkEnd w:id="3987"/>
    </w:p>
    <w:p>
      <w:pPr>
        <w:pStyle w:val="16"/>
        <w:keepNext w:val="0"/>
        <w:keepLines w:val="0"/>
        <w:pageBreakBefore w:val="0"/>
        <w:widowControl w:val="0"/>
        <w:kinsoku/>
        <w:wordWrap/>
        <w:overflowPunct/>
        <w:topLinePunct w:val="0"/>
        <w:autoSpaceDE/>
        <w:autoSpaceDN/>
        <w:bidi w:val="0"/>
        <w:spacing w:before="157" w:beforeLines="50" w:after="157" w:afterLines="50" w:line="240" w:lineRule="atLeast"/>
        <w:ind w:firstLine="460" w:firstLineChars="19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4.1发起机构承诺本协议项下</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募集资金用途符合法律法规和国家政策要求，并按约定用途使用。发行前将通过《</w:t>
      </w: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信息披露文件》，按照本协议5.1约定的信息披露方式向投资人定向披露募集资金的具体用途。</w:t>
      </w:r>
    </w:p>
    <w:p>
      <w:pPr>
        <w:keepNext w:val="0"/>
        <w:keepLines w:val="0"/>
        <w:pageBreakBefore w:val="0"/>
        <w:widowControl w:val="0"/>
        <w:tabs>
          <w:tab w:val="left" w:pos="720"/>
          <w:tab w:val="left" w:pos="1134"/>
        </w:tabs>
        <w:kinsoku/>
        <w:wordWrap/>
        <w:overflowPunct/>
        <w:topLinePunct w:val="0"/>
        <w:autoSpaceDE/>
        <w:autoSpaceDN/>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4.2 发起机构变更募集资金用途，应按本协议第十六条的约定履行必要程序。变更后的募集资金用途应符合法律法规和国家政策要求。</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both"/>
        <w:textAlignment w:val="auto"/>
        <w:outlineLvl w:val="9"/>
        <w:rPr>
          <w:rFonts w:hint="eastAsia" w:ascii="楷体_GB2312" w:hAnsi="楷体_GB2312" w:eastAsia="楷体_GB2312" w:cs="楷体_GB2312"/>
          <w:b/>
          <w:bCs/>
          <w:kern w:val="0"/>
          <w:sz w:val="24"/>
          <w:szCs w:val="24"/>
        </w:rPr>
      </w:pPr>
      <w:bookmarkStart w:id="3988" w:name="_Toc20027"/>
      <w:bookmarkStart w:id="3989" w:name="_Toc15118"/>
      <w:bookmarkStart w:id="3990" w:name="_Toc8188"/>
      <w:bookmarkStart w:id="3991" w:name="_Toc2708"/>
      <w:bookmarkStart w:id="3992" w:name="_Toc7079"/>
      <w:bookmarkStart w:id="3993" w:name="_Toc12132"/>
      <w:bookmarkStart w:id="3994" w:name="_Toc10172"/>
      <w:bookmarkStart w:id="3995" w:name="_Toc12440"/>
      <w:bookmarkStart w:id="3996" w:name="_Toc484693556"/>
      <w:bookmarkStart w:id="3997" w:name="_Toc352070926"/>
      <w:bookmarkStart w:id="3998" w:name="_Toc351119914"/>
      <w:bookmarkStart w:id="3999" w:name="_Toc350434219"/>
      <w:r>
        <w:rPr>
          <w:rFonts w:hint="eastAsia" w:ascii="楷体_GB2312" w:hAnsi="楷体_GB2312" w:eastAsia="楷体_GB2312" w:cs="楷体_GB2312"/>
          <w:b/>
          <w:bCs/>
          <w:kern w:val="0"/>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000" w:name="_Toc3868"/>
      <w:bookmarkStart w:id="4001" w:name="_Toc19877"/>
      <w:r>
        <w:rPr>
          <w:rFonts w:hint="eastAsia" w:ascii="楷体_GB2312" w:hAnsi="楷体_GB2312" w:eastAsia="楷体_GB2312" w:cs="楷体_GB2312"/>
          <w:b/>
          <w:bCs/>
          <w:kern w:val="0"/>
          <w:sz w:val="30"/>
          <w:szCs w:val="30"/>
        </w:rPr>
        <w:t>第五条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信息披露</w:t>
      </w:r>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5.1 信息披露方式：发起机构</w:t>
      </w:r>
      <w:r>
        <w:rPr>
          <w:rFonts w:hint="eastAsia" w:ascii="楷体_GB2312" w:hAnsi="楷体_GB2312" w:eastAsia="楷体_GB2312" w:cs="楷体_GB2312"/>
          <w:sz w:val="24"/>
          <w:szCs w:val="24"/>
          <w:lang w:eastAsia="zh-CN"/>
        </w:rPr>
        <w:t>、发行载体管理机构</w:t>
      </w:r>
      <w:r>
        <w:rPr>
          <w:rFonts w:hint="eastAsia" w:ascii="楷体_GB2312" w:hAnsi="楷体_GB2312" w:eastAsia="楷体_GB2312" w:cs="楷体_GB2312"/>
          <w:sz w:val="24"/>
          <w:szCs w:val="24"/>
        </w:rPr>
        <w:t>通过中国银行间市场交易商协会综合业务和信息服务平台（简称“综合服务平台”）向签署本协议的定向投资人进行信息披露。</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3" w:firstLineChars="192"/>
        <w:jc w:val="both"/>
        <w:textAlignment w:val="auto"/>
        <w:rPr>
          <w:rFonts w:hint="eastAsia" w:ascii="楷体_GB2312" w:hAnsi="楷体_GB2312" w:eastAsia="楷体_GB2312" w:cs="楷体_GB2312"/>
          <w:b/>
          <w:bCs/>
          <w:color w:val="FF0000"/>
          <w:sz w:val="24"/>
          <w:szCs w:val="24"/>
          <w:lang w:val="en-US" w:eastAsia="zh-CN"/>
        </w:rPr>
      </w:pPr>
      <w:r>
        <w:rPr>
          <w:rFonts w:hint="eastAsia" w:ascii="楷体_GB2312" w:hAnsi="楷体_GB2312" w:eastAsia="楷体_GB2312" w:cs="楷体_GB2312"/>
          <w:b/>
          <w:bCs/>
          <w:color w:val="FF0000"/>
          <w:sz w:val="24"/>
          <w:szCs w:val="24"/>
          <w:lang w:val="en-US" w:eastAsia="zh-CN"/>
        </w:rPr>
        <w:t>【</w:t>
      </w:r>
      <w:r>
        <w:rPr>
          <w:rFonts w:hint="eastAsia" w:ascii="楷体_GB2312" w:hAnsi="楷体_GB2312" w:eastAsia="楷体_GB2312" w:cs="楷体_GB2312"/>
          <w:b/>
          <w:bCs/>
          <w:snapToGrid w:val="0"/>
          <w:color w:val="FF0000"/>
          <w:kern w:val="0"/>
          <w:sz w:val="24"/>
          <w:szCs w:val="24"/>
          <w:highlight w:val="none"/>
          <w:lang w:val="en-US" w:eastAsia="zh-CN"/>
        </w:rPr>
        <w:t>基础资产现金流的获得取决于发起机构持续经营，或发起机构需持续承担基础资产现金流转付义务的情形</w:t>
      </w:r>
      <w:r>
        <w:rPr>
          <w:rFonts w:hint="eastAsia" w:ascii="楷体_GB2312" w:hAnsi="楷体_GB2312" w:eastAsia="楷体_GB2312" w:cs="楷体_GB2312"/>
          <w:b/>
          <w:bCs/>
          <w:color w:val="FF0000"/>
          <w:sz w:val="24"/>
          <w:szCs w:val="24"/>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5.2 发起机构信息披露机制：</w:t>
      </w:r>
    </w:p>
    <w:p>
      <w:pPr>
        <w:pStyle w:val="110"/>
        <w:keepNext w:val="0"/>
        <w:keepLines w:val="0"/>
        <w:pageBreakBefore w:val="0"/>
        <w:widowControl w:val="0"/>
        <w:kinsoku/>
        <w:wordWrap/>
        <w:overflowPunct/>
        <w:topLinePunct w:val="0"/>
        <w:bidi w:val="0"/>
        <w:spacing w:before="157" w:beforeLines="50" w:after="157" w:afterLines="50" w:line="240" w:lineRule="atLeast"/>
        <w:ind w:firstLine="482" w:firstLineChars="200"/>
        <w:jc w:val="both"/>
        <w:textAlignment w:val="auto"/>
        <w:rPr>
          <w:rFonts w:hint="eastAsia" w:hAnsi="楷体_GB2312" w:cs="楷体_GB2312"/>
          <w:b/>
          <w:bCs/>
          <w:i/>
          <w:iCs/>
          <w:snapToGrid w:val="0"/>
          <w:color w:val="FF0000"/>
          <w:kern w:val="0"/>
          <w:sz w:val="24"/>
          <w:szCs w:val="24"/>
          <w:u w:val="single"/>
          <w:lang w:val="en-US" w:eastAsia="zh-CN" w:bidi="ar-SA"/>
        </w:rPr>
      </w:pPr>
      <w:r>
        <w:rPr>
          <w:rFonts w:hint="eastAsia" w:hAnsi="楷体_GB2312" w:cs="楷体_GB2312"/>
          <w:b/>
          <w:bCs/>
          <w:i/>
          <w:iCs/>
          <w:snapToGrid w:val="0"/>
          <w:color w:val="FF0000"/>
          <w:kern w:val="0"/>
          <w:sz w:val="24"/>
          <w:szCs w:val="24"/>
          <w:u w:val="single"/>
          <w:lang w:val="en-US" w:eastAsia="zh-CN" w:bidi="ar-SA"/>
        </w:rPr>
        <w:t>包括已制定信息披露内部管理制度、信息披露管理机制、负责部门等。信息披露事务负责人——姓名、职位、联系地址、电话、传真、电子信箱。</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5.3 发行前信息披露约定：约定发起机构应至少于发行前1个工作日按照定向发行表格体系相关要求定向披露发行文件。</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5.4发行情况披露：发起机构在</w:t>
      </w:r>
      <w:r>
        <w:rPr>
          <w:rFonts w:hint="eastAsia" w:ascii="楷体_GB2312" w:hAnsi="楷体_GB2312" w:eastAsia="楷体_GB2312" w:cs="楷体_GB2312"/>
          <w:sz w:val="24"/>
          <w:szCs w:val="24"/>
          <w:lang w:eastAsia="zh-CN"/>
        </w:rPr>
        <w:t>本期资产支持商业票据</w:t>
      </w:r>
      <w:r>
        <w:rPr>
          <w:rFonts w:hint="eastAsia" w:ascii="楷体_GB2312" w:hAnsi="楷体_GB2312" w:eastAsia="楷体_GB2312" w:cs="楷体_GB2312"/>
          <w:sz w:val="24"/>
          <w:szCs w:val="24"/>
        </w:rPr>
        <w:t>完成债权债务登记的次一工作日，将向投资人定向披露</w:t>
      </w:r>
      <w:r>
        <w:rPr>
          <w:rFonts w:hint="eastAsia" w:ascii="楷体_GB2312" w:hAnsi="楷体_GB2312" w:eastAsia="楷体_GB2312" w:cs="楷体_GB2312"/>
          <w:sz w:val="24"/>
          <w:szCs w:val="24"/>
          <w:lang w:eastAsia="zh-CN"/>
        </w:rPr>
        <w:t>本期资产支持商业票据</w:t>
      </w:r>
      <w:r>
        <w:rPr>
          <w:rFonts w:hint="eastAsia" w:ascii="楷体_GB2312" w:hAnsi="楷体_GB2312" w:eastAsia="楷体_GB2312" w:cs="楷体_GB2312"/>
          <w:sz w:val="24"/>
          <w:szCs w:val="24"/>
        </w:rPr>
        <w:t>实际发行规模、期限、利率等相关信息。</w:t>
      </w:r>
    </w:p>
    <w:p>
      <w:pPr>
        <w:pStyle w:val="176"/>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5.5存续期内定期信息披露：</w:t>
      </w:r>
    </w:p>
    <w:p>
      <w:pPr>
        <w:pStyle w:val="176"/>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5.5</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napToGrid w:val="0"/>
          <w:lang w:val="en-US" w:eastAsia="zh-CN"/>
        </w:rPr>
        <w:t>1</w:t>
      </w:r>
      <w:r>
        <w:rPr>
          <w:rFonts w:hint="eastAsia" w:ascii="楷体_GB2312" w:hAnsi="楷体_GB2312" w:eastAsia="楷体_GB2312" w:cs="楷体_GB2312"/>
          <w:snapToGrid w:val="0"/>
        </w:rPr>
        <w:t>发起机构及信用增级机构（如有）应当在每个会计年度结束之日后4个月内披露上一年</w:t>
      </w:r>
      <w:r>
        <w:rPr>
          <w:rFonts w:hint="eastAsia" w:ascii="楷体_GB2312" w:hAnsi="楷体_GB2312" w:eastAsia="楷体_GB2312" w:cs="楷体_GB2312"/>
          <w:snapToGrid w:val="0"/>
          <w:lang w:val="en-US" w:eastAsia="zh-CN"/>
        </w:rPr>
        <w:t>审计报告</w:t>
      </w:r>
      <w:r>
        <w:rPr>
          <w:rFonts w:hint="eastAsia" w:ascii="楷体_GB2312" w:hAnsi="楷体_GB2312" w:eastAsia="楷体_GB2312" w:cs="楷体_GB2312"/>
          <w:snapToGrid w:val="0"/>
        </w:rPr>
        <w:t>。</w:t>
      </w:r>
      <w:r>
        <w:rPr>
          <w:rFonts w:hint="eastAsia" w:ascii="楷体_GB2312" w:hAnsi="楷体_GB2312" w:eastAsia="楷体_GB2312" w:cs="楷体_GB2312"/>
          <w:snapToGrid w:val="0"/>
          <w:lang w:val="en-US" w:eastAsia="zh-CN"/>
        </w:rPr>
        <w:t>发起机构的年度报告应当包含报告期内企业主要情况、审计机构出具的审计报告、经审计的财务报表、附注以及其他必要信息。信用增级机构的年度报告应包括审计报告、经审计的财务报表及附注（如有）。</w:t>
      </w:r>
      <w:r>
        <w:rPr>
          <w:rFonts w:hint="eastAsia" w:ascii="楷体_GB2312" w:hAnsi="楷体_GB2312" w:eastAsia="楷体_GB2312" w:cs="楷体_GB2312"/>
          <w:snapToGrid w:val="0"/>
        </w:rPr>
        <w:t>财务报表应当至少包含资产负债表、利润表和现金流量表。编制合并财务报表的企业，除提供合并财务报表外，还应当披露母公司财务报表。</w:t>
      </w:r>
    </w:p>
    <w:p>
      <w:pPr>
        <w:pStyle w:val="2"/>
        <w:keepNext w:val="0"/>
        <w:keepLines w:val="0"/>
        <w:pageBreakBefore w:val="0"/>
        <w:widowControl w:val="0"/>
        <w:kinsoku/>
        <w:wordWrap/>
        <w:overflowPunct/>
        <w:topLinePunct w:val="0"/>
        <w:bidi w:val="0"/>
        <w:spacing w:before="157" w:beforeLines="50" w:after="157" w:afterLines="50" w:line="240" w:lineRule="atLeast"/>
        <w:textAlignment w:val="auto"/>
        <w:rPr>
          <w:rFonts w:hint="eastAsia"/>
        </w:rPr>
      </w:pPr>
      <w:r>
        <w:rPr>
          <w:rFonts w:hint="eastAsia" w:ascii="Times New Roman" w:hAnsi="Times New Roman" w:eastAsia="楷体_GB2312" w:cs="Times New Roman"/>
          <w:b/>
          <w:bCs w:val="0"/>
          <w:i/>
          <w:color w:val="FF0000"/>
          <w:sz w:val="24"/>
          <w:szCs w:val="28"/>
          <w:u w:val="single"/>
          <w:lang w:val="en-US" w:eastAsia="zh-CN"/>
        </w:rPr>
        <w:t>应根据项目实际情况调整发起机构及信用增级机构（如有）定期报告安排。</w:t>
      </w:r>
    </w:p>
    <w:p>
      <w:pPr>
        <w:pStyle w:val="176"/>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5.5</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napToGrid w:val="0"/>
          <w:lang w:val="en-US" w:eastAsia="zh-CN"/>
        </w:rPr>
        <w:t>2在本期资产支持商业票据存续期内，</w:t>
      </w:r>
      <w:r>
        <w:rPr>
          <w:rFonts w:hint="eastAsia" w:ascii="楷体_GB2312" w:hAnsi="楷体_GB2312" w:eastAsia="楷体_GB2312" w:cs="楷体_GB2312"/>
          <w:snapToGrid w:val="0"/>
        </w:rPr>
        <w:t>发行载体</w:t>
      </w:r>
      <w:r>
        <w:rPr>
          <w:rFonts w:hint="eastAsia" w:ascii="楷体_GB2312" w:hAnsi="楷体_GB2312" w:eastAsia="楷体_GB2312" w:cs="楷体_GB2312"/>
          <w:snapToGrid w:val="0"/>
          <w:lang w:val="en-US" w:eastAsia="zh-CN"/>
        </w:rPr>
        <w:t>管理机构</w:t>
      </w:r>
      <w:r>
        <w:rPr>
          <w:rFonts w:hint="eastAsia" w:ascii="楷体_GB2312" w:hAnsi="楷体_GB2312" w:eastAsia="楷体_GB2312" w:cs="楷体_GB2312"/>
          <w:snapToGrid w:val="0"/>
        </w:rPr>
        <w:t>应于每个支付日前</w:t>
      </w:r>
      <w:r>
        <w:rPr>
          <w:rFonts w:hint="eastAsia" w:ascii="楷体_GB2312" w:hAnsi="楷体_GB2312" w:eastAsia="楷体_GB2312" w:cs="楷体_GB2312"/>
          <w:snapToGrid w:val="0"/>
          <w:lang w:val="en-US" w:eastAsia="zh-CN"/>
        </w:rPr>
        <w:t>三</w:t>
      </w:r>
      <w:r>
        <w:rPr>
          <w:rFonts w:hint="eastAsia" w:ascii="楷体_GB2312" w:hAnsi="楷体_GB2312" w:eastAsia="楷体_GB2312" w:cs="楷体_GB2312"/>
          <w:snapToGrid w:val="0"/>
        </w:rPr>
        <w:t>个工作日</w:t>
      </w:r>
      <w:r>
        <w:rPr>
          <w:rFonts w:hint="eastAsia" w:ascii="楷体_GB2312" w:hAnsi="楷体_GB2312" w:eastAsia="楷体_GB2312" w:cs="楷体_GB2312"/>
          <w:snapToGrid w:val="0"/>
          <w:lang w:val="en-US" w:eastAsia="zh-CN"/>
        </w:rPr>
        <w:t>披露资产运营报告</w:t>
      </w:r>
      <w:r>
        <w:rPr>
          <w:rFonts w:hint="eastAsia" w:ascii="楷体_GB2312" w:hAnsi="楷体_GB2312" w:eastAsia="楷体_GB2312" w:cs="楷体_GB2312"/>
          <w:snapToGrid w:val="0"/>
          <w:lang w:eastAsia="zh-CN"/>
        </w:rPr>
        <w:t>。</w:t>
      </w:r>
      <w:r>
        <w:rPr>
          <w:rFonts w:hint="eastAsia" w:ascii="楷体_GB2312" w:hAnsi="楷体_GB2312" w:eastAsia="楷体_GB2312" w:cs="楷体_GB2312"/>
          <w:snapToGrid w:val="0"/>
        </w:rPr>
        <w:t>在每年4月30日前，发行载体管理机构</w:t>
      </w:r>
      <w:r>
        <w:rPr>
          <w:rFonts w:hint="eastAsia" w:ascii="楷体_GB2312" w:hAnsi="楷体_GB2312" w:eastAsia="楷体_GB2312" w:cs="楷体_GB2312"/>
          <w:snapToGrid w:val="0"/>
          <w:lang w:val="en-US" w:eastAsia="zh-CN"/>
        </w:rPr>
        <w:t>应</w:t>
      </w:r>
      <w:r>
        <w:rPr>
          <w:rFonts w:hint="eastAsia" w:ascii="楷体_GB2312" w:hAnsi="楷体_GB2312" w:eastAsia="楷体_GB2312" w:cs="楷体_GB2312"/>
          <w:snapToGrid w:val="0"/>
        </w:rPr>
        <w:t>披露上年度</w:t>
      </w:r>
      <w:r>
        <w:rPr>
          <w:rFonts w:hint="eastAsia" w:ascii="楷体_GB2312" w:hAnsi="楷体_GB2312" w:eastAsia="楷体_GB2312" w:cs="楷体_GB2312"/>
          <w:snapToGrid w:val="0"/>
          <w:lang w:val="en-US" w:eastAsia="zh-CN"/>
        </w:rPr>
        <w:t>的</w:t>
      </w:r>
      <w:r>
        <w:rPr>
          <w:rFonts w:hint="eastAsia" w:ascii="楷体_GB2312" w:hAnsi="楷体_GB2312" w:eastAsia="楷体_GB2312" w:cs="楷体_GB2312"/>
          <w:snapToGrid w:val="0"/>
        </w:rPr>
        <w:t>资产运营报告，年度资产运营报告需经注册会计师审计。对于</w:t>
      </w:r>
      <w:r>
        <w:rPr>
          <w:rFonts w:hint="eastAsia" w:ascii="楷体_GB2312" w:hAnsi="楷体_GB2312" w:eastAsia="楷体_GB2312" w:cs="楷体_GB2312"/>
          <w:snapToGrid w:val="0"/>
          <w:lang w:val="en-US" w:eastAsia="zh-CN"/>
        </w:rPr>
        <w:t>定向</w:t>
      </w:r>
      <w:r>
        <w:rPr>
          <w:rFonts w:hint="eastAsia" w:ascii="楷体_GB2312" w:hAnsi="楷体_GB2312" w:eastAsia="楷体_GB2312" w:cs="楷体_GB2312"/>
          <w:snapToGrid w:val="0"/>
          <w:lang w:eastAsia="zh-CN"/>
        </w:rPr>
        <w:t>资产支持商业票据</w:t>
      </w:r>
      <w:r>
        <w:rPr>
          <w:rFonts w:hint="eastAsia" w:ascii="楷体_GB2312" w:hAnsi="楷体_GB2312" w:eastAsia="楷体_GB2312" w:cs="楷体_GB2312"/>
          <w:snapToGrid w:val="0"/>
        </w:rPr>
        <w:t>发行不足两个月的，可不编制</w:t>
      </w:r>
      <w:r>
        <w:rPr>
          <w:rFonts w:hint="eastAsia" w:ascii="楷体_GB2312" w:hAnsi="楷体_GB2312" w:eastAsia="楷体_GB2312" w:cs="楷体_GB2312"/>
          <w:snapToGrid w:val="0"/>
          <w:lang w:eastAsia="zh-CN"/>
        </w:rPr>
        <w:t>本期</w:t>
      </w:r>
      <w:r>
        <w:rPr>
          <w:rFonts w:hint="eastAsia" w:ascii="楷体_GB2312" w:hAnsi="楷体_GB2312" w:eastAsia="楷体_GB2312" w:cs="楷体_GB2312"/>
          <w:snapToGrid w:val="0"/>
        </w:rPr>
        <w:t>年度资产运营报告。</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napToGrid w:val="0"/>
          <w:color w:val="auto"/>
          <w:sz w:val="24"/>
          <w:szCs w:val="24"/>
          <w:lang w:val="en-US" w:eastAsia="zh-CN" w:bidi="ar-SA"/>
        </w:rPr>
      </w:pPr>
      <w:r>
        <w:rPr>
          <w:rFonts w:hint="eastAsia" w:ascii="楷体_GB2312" w:hAnsi="楷体_GB2312" w:eastAsia="楷体_GB2312" w:cs="楷体_GB2312"/>
          <w:snapToGrid w:val="0"/>
          <w:color w:val="auto"/>
          <w:sz w:val="24"/>
          <w:szCs w:val="24"/>
          <w:lang w:val="en-US" w:eastAsia="zh-CN" w:bidi="ar-SA"/>
        </w:rPr>
        <w:t>5.5.3发行载体管理机构应与评级机构就定向资产支持商业票据跟踪评级的有关安排作出约定，持续跟踪受评对象信用状况的变化情况，发布定期跟踪评级结果和报告。（如有）</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上述所有信息的披露应不晚于企业按照境内外监管机构、市场自律组织、证券交易场所要求，或者将有关信息刊登在其他指定信息披露渠道上的时间。</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5.6重大事项信息披露：</w:t>
      </w:r>
    </w:p>
    <w:p>
      <w:pPr>
        <w:pStyle w:val="176"/>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在本协议项下</w:t>
      </w:r>
      <w:r>
        <w:rPr>
          <w:rFonts w:hint="eastAsia" w:ascii="楷体_GB2312" w:hAnsi="楷体_GB2312" w:eastAsia="楷体_GB2312" w:cs="楷体_GB2312"/>
          <w:snapToGrid w:val="0"/>
          <w:lang w:eastAsia="zh-CN"/>
        </w:rPr>
        <w:t>资产支持商业票据</w:t>
      </w:r>
      <w:r>
        <w:rPr>
          <w:rFonts w:hint="eastAsia" w:ascii="楷体_GB2312" w:hAnsi="楷体_GB2312" w:eastAsia="楷体_GB2312" w:cs="楷体_GB2312"/>
          <w:snapToGrid w:val="0"/>
        </w:rPr>
        <w:t>存续期间发生可能对投资价值及投资决策判断有重要影响的</w:t>
      </w:r>
      <w:r>
        <w:rPr>
          <w:rFonts w:hint="eastAsia" w:ascii="楷体_GB2312" w:hAnsi="楷体_GB2312" w:eastAsia="楷体_GB2312" w:cs="楷体_GB2312"/>
          <w:snapToGrid w:val="0"/>
          <w:lang w:val="en-US" w:eastAsia="zh-CN"/>
        </w:rPr>
        <w:t>重大</w:t>
      </w:r>
      <w:r>
        <w:rPr>
          <w:rFonts w:hint="eastAsia" w:ascii="楷体_GB2312" w:hAnsi="楷体_GB2312" w:eastAsia="楷体_GB2312" w:cs="楷体_GB2312"/>
          <w:snapToGrid w:val="0"/>
        </w:rPr>
        <w:t>事</w:t>
      </w:r>
      <w:r>
        <w:rPr>
          <w:rFonts w:hint="eastAsia" w:ascii="楷体_GB2312" w:hAnsi="楷体_GB2312" w:eastAsia="楷体_GB2312" w:cs="楷体_GB2312"/>
          <w:snapToGrid w:val="0"/>
          <w:lang w:val="en-US" w:eastAsia="zh-CN"/>
        </w:rPr>
        <w:t>项</w:t>
      </w:r>
      <w:r>
        <w:rPr>
          <w:rFonts w:hint="eastAsia" w:ascii="楷体_GB2312" w:hAnsi="楷体_GB2312" w:eastAsia="楷体_GB2312" w:cs="楷体_GB2312"/>
          <w:snapToGrid w:val="0"/>
        </w:rPr>
        <w:t>，发行载体</w:t>
      </w:r>
      <w:r>
        <w:rPr>
          <w:rFonts w:hint="eastAsia" w:ascii="楷体_GB2312" w:hAnsi="楷体_GB2312" w:eastAsia="楷体_GB2312" w:cs="楷体_GB2312"/>
          <w:snapToGrid w:val="0"/>
          <w:lang w:val="en-US" w:eastAsia="zh-CN"/>
        </w:rPr>
        <w:t>管理机构</w:t>
      </w:r>
      <w:r>
        <w:rPr>
          <w:rFonts w:hint="eastAsia" w:ascii="楷体_GB2312" w:hAnsi="楷体_GB2312" w:eastAsia="楷体_GB2312" w:cs="楷体_GB2312"/>
          <w:snapToGrid w:val="0"/>
        </w:rPr>
        <w:t>和发起机构应在事发后三个工作日内披露相关信息，并向交易商协会报告，</w:t>
      </w:r>
      <w:r>
        <w:rPr>
          <w:rFonts w:hint="eastAsia" w:ascii="楷体_GB2312" w:hAnsi="楷体_GB2312" w:eastAsia="楷体_GB2312" w:cs="楷体_GB2312"/>
          <w:snapToGrid w:val="0"/>
          <w:lang w:val="en-US" w:eastAsia="zh-CN"/>
        </w:rPr>
        <w:t>重大</w:t>
      </w:r>
      <w:r>
        <w:rPr>
          <w:rFonts w:hint="eastAsia" w:ascii="楷体_GB2312" w:hAnsi="楷体_GB2312" w:eastAsia="楷体_GB2312" w:cs="楷体_GB2312"/>
          <w:snapToGrid w:val="0"/>
        </w:rPr>
        <w:t>事</w:t>
      </w:r>
      <w:r>
        <w:rPr>
          <w:rFonts w:hint="eastAsia" w:ascii="楷体_GB2312" w:hAnsi="楷体_GB2312" w:eastAsia="楷体_GB2312" w:cs="楷体_GB2312"/>
          <w:snapToGrid w:val="0"/>
          <w:lang w:val="en-US" w:eastAsia="zh-CN"/>
        </w:rPr>
        <w:t>项</w:t>
      </w:r>
      <w:r>
        <w:rPr>
          <w:rFonts w:hint="eastAsia" w:ascii="楷体_GB2312" w:hAnsi="楷体_GB2312" w:eastAsia="楷体_GB2312" w:cs="楷体_GB2312"/>
          <w:snapToGrid w:val="0"/>
        </w:rPr>
        <w:t>包括</w:t>
      </w:r>
      <w:r>
        <w:rPr>
          <w:rFonts w:hint="eastAsia" w:ascii="楷体_GB2312" w:hAnsi="楷体_GB2312" w:eastAsia="楷体_GB2312" w:cs="楷体_GB2312"/>
          <w:snapToGrid w:val="0"/>
          <w:lang w:val="en-US" w:eastAsia="zh-CN"/>
        </w:rPr>
        <w:t>但不限于</w:t>
      </w:r>
      <w:r>
        <w:rPr>
          <w:rFonts w:hint="eastAsia" w:ascii="楷体_GB2312" w:hAnsi="楷体_GB2312" w:eastAsia="楷体_GB2312" w:cs="楷体_GB2312"/>
          <w:snapToGrid w:val="0"/>
        </w:rPr>
        <w:t>：</w:t>
      </w:r>
    </w:p>
    <w:p>
      <w:pPr>
        <w:pStyle w:val="176"/>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lang w:val="en-US" w:eastAsia="zh-CN"/>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w:t>
      </w:r>
      <w:r>
        <w:rPr>
          <w:rFonts w:hint="eastAsia" w:ascii="楷体_GB2312" w:hAnsi="楷体_GB2312" w:eastAsia="楷体_GB2312" w:cs="楷体_GB2312"/>
          <w:snapToGrid w:val="0"/>
        </w:rPr>
        <w:t>发生或预期发生不能按照约定偿付</w:t>
      </w:r>
      <w:r>
        <w:rPr>
          <w:rFonts w:hint="eastAsia" w:ascii="楷体_GB2312" w:hAnsi="楷体_GB2312" w:eastAsia="楷体_GB2312" w:cs="楷体_GB2312"/>
          <w:snapToGrid w:val="0"/>
          <w:lang w:val="en-US" w:eastAsia="zh-CN"/>
        </w:rPr>
        <w:t>定向</w:t>
      </w:r>
      <w:r>
        <w:rPr>
          <w:rFonts w:hint="eastAsia" w:ascii="楷体_GB2312" w:hAnsi="楷体_GB2312" w:eastAsia="楷体_GB2312" w:cs="楷体_GB2312"/>
          <w:snapToGrid w:val="0"/>
          <w:lang w:eastAsia="zh-CN"/>
        </w:rPr>
        <w:t>资产支持商业票据</w:t>
      </w:r>
      <w:r>
        <w:rPr>
          <w:rFonts w:hint="eastAsia" w:ascii="楷体_GB2312" w:hAnsi="楷体_GB2312" w:eastAsia="楷体_GB2312" w:cs="楷体_GB2312"/>
          <w:snapToGrid w:val="0"/>
        </w:rPr>
        <w:t>收益等影响</w:t>
      </w:r>
      <w:r>
        <w:rPr>
          <w:rFonts w:hint="eastAsia" w:ascii="楷体_GB2312" w:hAnsi="楷体_GB2312" w:eastAsia="楷体_GB2312" w:cs="楷体_GB2312"/>
          <w:snapToGrid w:val="0"/>
          <w:lang w:eastAsia="zh-CN"/>
        </w:rPr>
        <w:t>投资人</w:t>
      </w:r>
      <w:r>
        <w:rPr>
          <w:rFonts w:hint="eastAsia" w:ascii="楷体_GB2312" w:hAnsi="楷体_GB2312" w:eastAsia="楷体_GB2312" w:cs="楷体_GB2312"/>
          <w:snapToGrid w:val="0"/>
        </w:rPr>
        <w:t>利益的事项；</w:t>
      </w:r>
      <w:r>
        <w:rPr>
          <w:rFonts w:hint="eastAsia" w:ascii="楷体_GB2312" w:hAnsi="楷体_GB2312" w:eastAsia="楷体_GB2312" w:cs="楷体_GB2312"/>
          <w:snapToGrid w:val="0"/>
          <w:lang w:val="en-US" w:eastAsia="zh-CN"/>
        </w:rPr>
        <w:t xml:space="preserve"> </w:t>
      </w:r>
    </w:p>
    <w:p>
      <w:pPr>
        <w:pStyle w:val="176"/>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w:t>
      </w:r>
      <w:r>
        <w:rPr>
          <w:rFonts w:hint="eastAsia" w:ascii="楷体_GB2312" w:hAnsi="楷体_GB2312" w:eastAsia="楷体_GB2312" w:cs="楷体_GB2312"/>
          <w:snapToGrid w:val="0"/>
          <w:lang w:val="en-US" w:eastAsia="zh-CN"/>
        </w:rPr>
        <w:t>定向</w:t>
      </w:r>
      <w:r>
        <w:rPr>
          <w:rFonts w:hint="eastAsia" w:ascii="楷体_GB2312" w:hAnsi="楷体_GB2312" w:eastAsia="楷体_GB2312" w:cs="楷体_GB2312"/>
          <w:snapToGrid w:val="0"/>
          <w:lang w:eastAsia="zh-CN"/>
        </w:rPr>
        <w:t>资产支持商业票据</w:t>
      </w:r>
      <w:r>
        <w:rPr>
          <w:rFonts w:hint="eastAsia" w:ascii="楷体_GB2312" w:hAnsi="楷体_GB2312" w:eastAsia="楷体_GB2312" w:cs="楷体_GB2312"/>
          <w:snapToGrid w:val="0"/>
        </w:rPr>
        <w:t>信用评级结果或评级展望发生不利变化</w:t>
      </w:r>
      <w:r>
        <w:rPr>
          <w:rFonts w:hint="eastAsia" w:ascii="楷体_GB2312" w:hAnsi="楷体_GB2312" w:eastAsia="楷体_GB2312" w:cs="楷体_GB2312"/>
          <w:snapToGrid w:val="0"/>
          <w:lang w:eastAsia="zh-CN"/>
        </w:rPr>
        <w:t>（</w:t>
      </w:r>
      <w:r>
        <w:rPr>
          <w:rFonts w:hint="eastAsia" w:ascii="楷体_GB2312" w:hAnsi="楷体_GB2312" w:eastAsia="楷体_GB2312" w:cs="楷体_GB2312"/>
          <w:snapToGrid w:val="0"/>
          <w:lang w:val="en-US" w:eastAsia="zh-CN"/>
        </w:rPr>
        <w:t>如有</w:t>
      </w:r>
      <w:r>
        <w:rPr>
          <w:rFonts w:hint="eastAsia" w:ascii="楷体_GB2312" w:hAnsi="楷体_GB2312" w:eastAsia="楷体_GB2312" w:cs="楷体_GB2312"/>
          <w:snapToGrid w:val="0"/>
          <w:lang w:eastAsia="zh-CN"/>
        </w:rPr>
        <w:t>）</w:t>
      </w:r>
      <w:r>
        <w:rPr>
          <w:rFonts w:hint="eastAsia" w:ascii="楷体_GB2312" w:hAnsi="楷体_GB2312" w:eastAsia="楷体_GB2312" w:cs="楷体_GB2312"/>
          <w:snapToGrid w:val="0"/>
        </w:rPr>
        <w:t>；</w:t>
      </w:r>
    </w:p>
    <w:p>
      <w:pPr>
        <w:pStyle w:val="176"/>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.3</w:t>
      </w:r>
      <w:r>
        <w:rPr>
          <w:rFonts w:hint="eastAsia" w:ascii="楷体_GB2312" w:hAnsi="楷体_GB2312" w:eastAsia="楷体_GB2312" w:cs="楷体_GB2312"/>
          <w:snapToGrid w:val="0"/>
        </w:rPr>
        <w:t>基础资产发生或预期发生超过</w:t>
      </w:r>
      <w:r>
        <w:rPr>
          <w:rFonts w:hint="eastAsia" w:ascii="楷体_GB2312" w:hAnsi="楷体_GB2312" w:eastAsia="楷体_GB2312" w:cs="楷体_GB2312"/>
          <w:snapToGrid w:val="0"/>
          <w:lang w:val="en-US" w:eastAsia="zh-CN"/>
        </w:rPr>
        <w:t>定向</w:t>
      </w:r>
      <w:r>
        <w:rPr>
          <w:rFonts w:hint="eastAsia" w:ascii="楷体_GB2312" w:hAnsi="楷体_GB2312" w:eastAsia="楷体_GB2312" w:cs="楷体_GB2312"/>
          <w:snapToGrid w:val="0"/>
          <w:lang w:eastAsia="zh-CN"/>
        </w:rPr>
        <w:t>资产支持商业票据</w:t>
      </w:r>
      <w:r>
        <w:rPr>
          <w:rFonts w:hint="eastAsia" w:ascii="楷体_GB2312" w:hAnsi="楷体_GB2312" w:eastAsia="楷体_GB2312" w:cs="楷体_GB2312"/>
          <w:snapToGrid w:val="0"/>
        </w:rPr>
        <w:t>未偿还本金余额10%以上的损失；</w:t>
      </w:r>
    </w:p>
    <w:p>
      <w:pPr>
        <w:pStyle w:val="176"/>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.4</w:t>
      </w:r>
      <w:r>
        <w:rPr>
          <w:rFonts w:hint="eastAsia" w:ascii="楷体_GB2312" w:hAnsi="楷体_GB2312" w:eastAsia="楷体_GB2312" w:cs="楷体_GB2312"/>
          <w:snapToGrid w:val="0"/>
        </w:rPr>
        <w:t>基础资产的运行情况或产生现金流的能力发生重大不利变化；</w:t>
      </w:r>
    </w:p>
    <w:p>
      <w:pPr>
        <w:pStyle w:val="176"/>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.5</w:t>
      </w:r>
      <w:r>
        <w:rPr>
          <w:rFonts w:hint="eastAsia" w:ascii="楷体_GB2312" w:hAnsi="楷体_GB2312" w:eastAsia="楷体_GB2312" w:cs="楷体_GB2312"/>
          <w:snapToGrid w:val="0"/>
        </w:rPr>
        <w:t>发行载体</w:t>
      </w:r>
      <w:r>
        <w:rPr>
          <w:rFonts w:hint="eastAsia" w:ascii="楷体_GB2312" w:hAnsi="楷体_GB2312" w:eastAsia="楷体_GB2312" w:cs="楷体_GB2312"/>
          <w:snapToGrid w:val="0"/>
          <w:lang w:val="en-US" w:eastAsia="zh-CN"/>
        </w:rPr>
        <w:t>管理机构</w:t>
      </w:r>
      <w:r>
        <w:rPr>
          <w:rFonts w:hint="eastAsia" w:ascii="楷体_GB2312" w:hAnsi="楷体_GB2312" w:eastAsia="楷体_GB2312" w:cs="楷体_GB2312"/>
          <w:snapToGrid w:val="0"/>
        </w:rPr>
        <w:t>、发起机构及相关中介机构或基础资产涉及违法行为、法律纠纷、信用等级调整等，可能对</w:t>
      </w:r>
      <w:r>
        <w:rPr>
          <w:rFonts w:hint="eastAsia" w:ascii="楷体_GB2312" w:hAnsi="楷体_GB2312" w:eastAsia="楷体_GB2312" w:cs="楷体_GB2312"/>
          <w:snapToGrid w:val="0"/>
          <w:lang w:eastAsia="zh-CN"/>
        </w:rPr>
        <w:t>投资人</w:t>
      </w:r>
      <w:r>
        <w:rPr>
          <w:rFonts w:hint="eastAsia" w:ascii="楷体_GB2312" w:hAnsi="楷体_GB2312" w:eastAsia="楷体_GB2312" w:cs="楷体_GB2312"/>
          <w:snapToGrid w:val="0"/>
        </w:rPr>
        <w:t>的利益造成严重不利影响的；</w:t>
      </w:r>
    </w:p>
    <w:p>
      <w:pPr>
        <w:pStyle w:val="176"/>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.6</w:t>
      </w:r>
      <w:r>
        <w:rPr>
          <w:rFonts w:hint="eastAsia" w:ascii="楷体_GB2312" w:hAnsi="楷体_GB2312" w:eastAsia="楷体_GB2312" w:cs="楷体_GB2312"/>
          <w:snapToGrid w:val="0"/>
        </w:rPr>
        <w:t>发行载体</w:t>
      </w:r>
      <w:r>
        <w:rPr>
          <w:rFonts w:hint="eastAsia" w:ascii="楷体_GB2312" w:hAnsi="楷体_GB2312" w:eastAsia="楷体_GB2312" w:cs="楷体_GB2312"/>
          <w:snapToGrid w:val="0"/>
          <w:lang w:val="en-US" w:eastAsia="zh-CN"/>
        </w:rPr>
        <w:t>管理机构</w:t>
      </w:r>
      <w:r>
        <w:rPr>
          <w:rFonts w:hint="eastAsia" w:ascii="楷体_GB2312" w:hAnsi="楷体_GB2312" w:eastAsia="楷体_GB2312" w:cs="楷体_GB2312"/>
          <w:snapToGrid w:val="0"/>
        </w:rPr>
        <w:t>、发起机构及相关中介机构的经营情况发生重大变化或者作出减资、合并、分立、解散、申请破产等决定，可能降低其从事</w:t>
      </w:r>
      <w:r>
        <w:rPr>
          <w:rFonts w:hint="eastAsia" w:ascii="楷体_GB2312" w:hAnsi="楷体_GB2312" w:eastAsia="楷体_GB2312" w:cs="楷体_GB2312"/>
          <w:snapToGrid w:val="0"/>
          <w:lang w:val="en-US" w:eastAsia="zh-CN"/>
        </w:rPr>
        <w:t>定向</w:t>
      </w:r>
      <w:r>
        <w:rPr>
          <w:rFonts w:hint="eastAsia" w:ascii="楷体_GB2312" w:hAnsi="楷体_GB2312" w:eastAsia="楷体_GB2312" w:cs="楷体_GB2312"/>
          <w:snapToGrid w:val="0"/>
          <w:lang w:eastAsia="zh-CN"/>
        </w:rPr>
        <w:t>资产支持商业票据</w:t>
      </w:r>
      <w:r>
        <w:rPr>
          <w:rFonts w:hint="eastAsia" w:ascii="楷体_GB2312" w:hAnsi="楷体_GB2312" w:eastAsia="楷体_GB2312" w:cs="楷体_GB2312"/>
          <w:snapToGrid w:val="0"/>
        </w:rPr>
        <w:t>业务水平，对</w:t>
      </w:r>
      <w:r>
        <w:rPr>
          <w:rFonts w:hint="eastAsia" w:ascii="楷体_GB2312" w:hAnsi="楷体_GB2312" w:eastAsia="楷体_GB2312" w:cs="楷体_GB2312"/>
          <w:snapToGrid w:val="0"/>
          <w:lang w:eastAsia="zh-CN"/>
        </w:rPr>
        <w:t>投资人</w:t>
      </w:r>
      <w:r>
        <w:rPr>
          <w:rFonts w:hint="eastAsia" w:ascii="楷体_GB2312" w:hAnsi="楷体_GB2312" w:eastAsia="楷体_GB2312" w:cs="楷体_GB2312"/>
          <w:snapToGrid w:val="0"/>
        </w:rPr>
        <w:t>的利益造成严重不利影响的；</w:t>
      </w:r>
    </w:p>
    <w:p>
      <w:pPr>
        <w:pStyle w:val="176"/>
        <w:keepNext w:val="0"/>
        <w:keepLines w:val="0"/>
        <w:pageBreakBefore w:val="0"/>
        <w:widowControl w:val="0"/>
        <w:kinsoku/>
        <w:wordWrap/>
        <w:overflowPunct/>
        <w:topLinePunct w:val="0"/>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.7</w:t>
      </w:r>
      <w:r>
        <w:rPr>
          <w:rFonts w:hint="eastAsia" w:ascii="楷体_GB2312" w:hAnsi="楷体_GB2312" w:eastAsia="楷体_GB2312" w:cs="楷体_GB2312"/>
          <w:snapToGrid w:val="0"/>
        </w:rPr>
        <w:t>可能对</w:t>
      </w:r>
      <w:r>
        <w:rPr>
          <w:rFonts w:hint="eastAsia" w:ascii="楷体_GB2312" w:hAnsi="楷体_GB2312" w:eastAsia="楷体_GB2312" w:cs="楷体_GB2312"/>
          <w:snapToGrid w:val="0"/>
          <w:lang w:eastAsia="zh-CN"/>
        </w:rPr>
        <w:t>投资人</w:t>
      </w:r>
      <w:r>
        <w:rPr>
          <w:rFonts w:hint="eastAsia" w:ascii="楷体_GB2312" w:hAnsi="楷体_GB2312" w:eastAsia="楷体_GB2312" w:cs="楷体_GB2312"/>
          <w:snapToGrid w:val="0"/>
        </w:rPr>
        <w:t>利益产生重大影响的其他事项。</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rPr>
        <w:t>除上述重大事项外，发起机构和定向投资人另外约定</w:t>
      </w:r>
      <w:r>
        <w:rPr>
          <w:rFonts w:hint="eastAsia" w:ascii="楷体_GB2312" w:hAnsi="楷体_GB2312" w:eastAsia="楷体_GB2312" w:cs="楷体_GB2312"/>
          <w:sz w:val="24"/>
          <w:szCs w:val="24"/>
          <w:lang w:val="en-US" w:eastAsia="zh-CN"/>
        </w:rPr>
        <w:t>以下事项为重大事项：</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napToGrid w:val="0"/>
          <w:color w:val="auto"/>
          <w:kern w:val="0"/>
          <w:sz w:val="24"/>
          <w:szCs w:val="24"/>
          <w:lang w:val="en-US" w:eastAsia="zh-CN" w:bidi="ar-SA"/>
        </w:rPr>
      </w:pPr>
      <w:r>
        <w:rPr>
          <w:rFonts w:hint="eastAsia" w:ascii="楷体_GB2312" w:hAnsi="楷体_GB2312" w:eastAsia="楷体_GB2312" w:cs="楷体_GB2312"/>
          <w:snapToGrid w:val="0"/>
          <w:color w:val="auto"/>
          <w:kern w:val="0"/>
          <w:sz w:val="24"/>
          <w:szCs w:val="24"/>
          <w:lang w:val="en-US" w:eastAsia="zh-CN" w:bidi="ar-SA"/>
        </w:rPr>
        <w:t>发起机构发生可能影响定向资产支持商业票据偿债能力或投资者权益的重大事项，包括但不限于：</w:t>
      </w:r>
    </w:p>
    <w:p>
      <w:pPr>
        <w:pStyle w:val="176"/>
        <w:keepNext w:val="0"/>
        <w:keepLines w:val="0"/>
        <w:pageBreakBefore w:val="0"/>
        <w:widowControl w:val="0"/>
        <w:numPr>
          <w:ilvl w:val="0"/>
          <w:numId w:val="0"/>
        </w:numPr>
        <w:kinsoku/>
        <w:wordWrap/>
        <w:overflowPunct/>
        <w:topLinePunct w:val="0"/>
        <w:bidi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.8</w:t>
      </w:r>
      <w:r>
        <w:rPr>
          <w:rFonts w:hint="eastAsia" w:ascii="楷体_GB2312" w:hAnsi="楷体_GB2312" w:eastAsia="楷体_GB2312" w:cs="楷体_GB2312"/>
          <w:snapToGrid w:val="0"/>
        </w:rPr>
        <w:t>企业名称变更；</w:t>
      </w:r>
    </w:p>
    <w:p>
      <w:pPr>
        <w:pStyle w:val="176"/>
        <w:keepNext w:val="0"/>
        <w:keepLines w:val="0"/>
        <w:pageBreakBefore w:val="0"/>
        <w:widowControl w:val="0"/>
        <w:numPr>
          <w:ilvl w:val="0"/>
          <w:numId w:val="0"/>
        </w:numPr>
        <w:kinsoku/>
        <w:wordWrap/>
        <w:overflowPunct/>
        <w:topLinePunct w:val="0"/>
        <w:bidi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.9</w:t>
      </w:r>
      <w:r>
        <w:rPr>
          <w:rFonts w:hint="eastAsia" w:ascii="楷体_GB2312" w:hAnsi="楷体_GB2312" w:eastAsia="楷体_GB2312" w:cs="楷体_GB2312"/>
          <w:snapToGrid w:val="0"/>
        </w:rPr>
        <w:t>企业生产经营状况发生重大变化，包括全部或主要业务陷入停顿、生产经营外部条件发生重大变化等；</w:t>
      </w:r>
    </w:p>
    <w:p>
      <w:pPr>
        <w:pStyle w:val="176"/>
        <w:keepNext w:val="0"/>
        <w:keepLines w:val="0"/>
        <w:pageBreakBefore w:val="0"/>
        <w:widowControl w:val="0"/>
        <w:numPr>
          <w:ilvl w:val="0"/>
          <w:numId w:val="0"/>
        </w:numPr>
        <w:kinsoku/>
        <w:wordWrap/>
        <w:overflowPunct/>
        <w:topLinePunct w:val="0"/>
        <w:bidi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.10</w:t>
      </w:r>
      <w:r>
        <w:rPr>
          <w:rFonts w:hint="eastAsia" w:ascii="楷体_GB2312" w:hAnsi="楷体_GB2312" w:eastAsia="楷体_GB2312" w:cs="楷体_GB2312"/>
          <w:snapToGrid w:val="0"/>
        </w:rPr>
        <w:t>企业变更财务报告审计机构、债务融资工具受托管理人、信用评级机构；</w:t>
      </w:r>
    </w:p>
    <w:p>
      <w:pPr>
        <w:pStyle w:val="176"/>
        <w:keepNext w:val="0"/>
        <w:keepLines w:val="0"/>
        <w:pageBreakBefore w:val="0"/>
        <w:widowControl w:val="0"/>
        <w:numPr>
          <w:ilvl w:val="0"/>
          <w:numId w:val="0"/>
        </w:numPr>
        <w:kinsoku/>
        <w:wordWrap/>
        <w:overflowPunct/>
        <w:topLinePunct w:val="0"/>
        <w:bidi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.11</w:t>
      </w:r>
      <w:r>
        <w:rPr>
          <w:rFonts w:hint="eastAsia" w:ascii="楷体_GB2312" w:hAnsi="楷体_GB2312" w:eastAsia="楷体_GB2312" w:cs="楷体_GB2312"/>
          <w:snapToGrid w:val="0"/>
        </w:rPr>
        <w:t>企业1/3以上董事、2/3以上监事、董事长、总经理或具有同等职责的人员发生变动；</w:t>
      </w:r>
    </w:p>
    <w:p>
      <w:pPr>
        <w:pStyle w:val="176"/>
        <w:keepNext w:val="0"/>
        <w:keepLines w:val="0"/>
        <w:pageBreakBefore w:val="0"/>
        <w:widowControl w:val="0"/>
        <w:numPr>
          <w:ilvl w:val="0"/>
          <w:numId w:val="0"/>
        </w:numPr>
        <w:kinsoku/>
        <w:wordWrap/>
        <w:overflowPunct/>
        <w:topLinePunct w:val="0"/>
        <w:bidi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.12</w:t>
      </w:r>
      <w:r>
        <w:rPr>
          <w:rFonts w:hint="eastAsia" w:ascii="楷体_GB2312" w:hAnsi="楷体_GB2312" w:eastAsia="楷体_GB2312" w:cs="楷体_GB2312"/>
          <w:snapToGrid w:val="0"/>
        </w:rPr>
        <w:t>企业法定代表人、董事长、总经理或具有同等职责的人员无法履行职责；</w:t>
      </w:r>
    </w:p>
    <w:p>
      <w:pPr>
        <w:pStyle w:val="176"/>
        <w:keepNext w:val="0"/>
        <w:keepLines w:val="0"/>
        <w:pageBreakBefore w:val="0"/>
        <w:widowControl w:val="0"/>
        <w:numPr>
          <w:ilvl w:val="0"/>
          <w:numId w:val="0"/>
        </w:numPr>
        <w:kinsoku/>
        <w:wordWrap/>
        <w:overflowPunct/>
        <w:topLinePunct w:val="0"/>
        <w:bidi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.13</w:t>
      </w:r>
      <w:r>
        <w:rPr>
          <w:rFonts w:hint="eastAsia" w:ascii="楷体_GB2312" w:hAnsi="楷体_GB2312" w:eastAsia="楷体_GB2312" w:cs="楷体_GB2312"/>
          <w:snapToGrid w:val="0"/>
        </w:rPr>
        <w:t>企业控股股东或者实际控制人变更，或股权结构发生重大变化；</w:t>
      </w:r>
    </w:p>
    <w:p>
      <w:pPr>
        <w:pStyle w:val="176"/>
        <w:keepNext w:val="0"/>
        <w:keepLines w:val="0"/>
        <w:pageBreakBefore w:val="0"/>
        <w:widowControl w:val="0"/>
        <w:numPr>
          <w:ilvl w:val="0"/>
          <w:numId w:val="0"/>
        </w:numPr>
        <w:kinsoku/>
        <w:wordWrap/>
        <w:overflowPunct/>
        <w:topLinePunct w:val="0"/>
        <w:bidi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.14</w:t>
      </w:r>
      <w:r>
        <w:rPr>
          <w:rFonts w:hint="eastAsia" w:ascii="楷体_GB2312" w:hAnsi="楷体_GB2312" w:eastAsia="楷体_GB2312" w:cs="楷体_GB2312"/>
          <w:snapToGrid w:val="0"/>
        </w:rPr>
        <w:t>企业提供重大资产抵押、质押，或者对外提供担保超过上年末净资产的20%；</w:t>
      </w:r>
    </w:p>
    <w:p>
      <w:pPr>
        <w:pStyle w:val="176"/>
        <w:keepNext w:val="0"/>
        <w:keepLines w:val="0"/>
        <w:pageBreakBefore w:val="0"/>
        <w:widowControl w:val="0"/>
        <w:numPr>
          <w:ilvl w:val="0"/>
          <w:numId w:val="0"/>
        </w:numPr>
        <w:kinsoku/>
        <w:wordWrap/>
        <w:overflowPunct/>
        <w:topLinePunct w:val="0"/>
        <w:bidi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.15</w:t>
      </w:r>
      <w:r>
        <w:rPr>
          <w:rFonts w:hint="eastAsia" w:ascii="楷体_GB2312" w:hAnsi="楷体_GB2312" w:eastAsia="楷体_GB2312" w:cs="楷体_GB2312"/>
          <w:snapToGrid w:val="0"/>
        </w:rPr>
        <w:t>企业发生可能影响其偿债能力的资产出售、转让、报废、无偿划转以及重大投资行为、重大资产重组；</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.16</w:t>
      </w:r>
      <w:r>
        <w:rPr>
          <w:rFonts w:hint="eastAsia" w:ascii="楷体_GB2312" w:hAnsi="楷体_GB2312" w:eastAsia="楷体_GB2312" w:cs="楷体_GB2312"/>
          <w:snapToGrid w:val="0"/>
        </w:rPr>
        <w:t>企业发生超过上年末净资产10%的重大损失，或者放弃债权或者财产超过上年末净资产的10%；</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.17</w:t>
      </w:r>
      <w:r>
        <w:rPr>
          <w:rFonts w:hint="eastAsia" w:ascii="楷体_GB2312" w:hAnsi="楷体_GB2312" w:eastAsia="楷体_GB2312" w:cs="楷体_GB2312"/>
          <w:snapToGrid w:val="0"/>
        </w:rPr>
        <w:t>企业股权、经营权涉及被委托管理；</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.18</w:t>
      </w:r>
      <w:r>
        <w:rPr>
          <w:rFonts w:hint="eastAsia" w:ascii="楷体_GB2312" w:hAnsi="楷体_GB2312" w:eastAsia="楷体_GB2312" w:cs="楷体_GB2312"/>
          <w:snapToGrid w:val="0"/>
        </w:rPr>
        <w:t>企业丧失对重要子公司的实际控制权；</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.19</w:t>
      </w:r>
      <w:r>
        <w:rPr>
          <w:rFonts w:hint="eastAsia" w:ascii="楷体_GB2312" w:hAnsi="楷体_GB2312" w:eastAsia="楷体_GB2312" w:cs="楷体_GB2312"/>
          <w:snapToGrid w:val="0"/>
          <w:lang w:val="en-US" w:eastAsia="zh-CN"/>
        </w:rPr>
        <w:t>资产支持商业票据</w:t>
      </w:r>
      <w:r>
        <w:rPr>
          <w:rFonts w:hint="eastAsia" w:ascii="楷体_GB2312" w:hAnsi="楷体_GB2312" w:eastAsia="楷体_GB2312" w:cs="楷体_GB2312"/>
          <w:snapToGrid w:val="0"/>
        </w:rPr>
        <w:t>信用增</w:t>
      </w:r>
      <w:r>
        <w:rPr>
          <w:rFonts w:hint="eastAsia" w:ascii="楷体_GB2312" w:hAnsi="楷体_GB2312" w:eastAsia="楷体_GB2312" w:cs="楷体_GB2312"/>
          <w:snapToGrid w:val="0"/>
          <w:lang w:val="en-US" w:eastAsia="zh-CN"/>
        </w:rPr>
        <w:t>级</w:t>
      </w:r>
      <w:r>
        <w:rPr>
          <w:rFonts w:hint="eastAsia" w:ascii="楷体_GB2312" w:hAnsi="楷体_GB2312" w:eastAsia="楷体_GB2312" w:cs="楷体_GB2312"/>
          <w:snapToGrid w:val="0"/>
        </w:rPr>
        <w:t>安排发生变更；</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.20</w:t>
      </w:r>
      <w:r>
        <w:rPr>
          <w:rFonts w:hint="eastAsia" w:ascii="楷体_GB2312" w:hAnsi="楷体_GB2312" w:eastAsia="楷体_GB2312" w:cs="楷体_GB2312"/>
          <w:snapToGrid w:val="0"/>
        </w:rPr>
        <w:t>企业一次承担他人债务超过上年末净资产10%，或者新增借款超过上年末净资产的20%；</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.21</w:t>
      </w:r>
      <w:r>
        <w:rPr>
          <w:rFonts w:hint="eastAsia" w:ascii="楷体_GB2312" w:hAnsi="楷体_GB2312" w:eastAsia="楷体_GB2312" w:cs="楷体_GB2312"/>
          <w:snapToGrid w:val="0"/>
        </w:rPr>
        <w:t>企业未能清偿到期债务或企业进行债务重组；</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.22</w:t>
      </w:r>
      <w:r>
        <w:rPr>
          <w:rFonts w:hint="eastAsia" w:ascii="楷体_GB2312" w:hAnsi="楷体_GB2312" w:eastAsia="楷体_GB2312" w:cs="楷体_GB2312"/>
          <w:snapToGrid w:val="0"/>
        </w:rPr>
        <w:t>企业涉嫌违法违规被有权机关调查，受到刑事处罚、重大行政处罚或行政监管措施、市场自律组织做出的债券业务相关的处分，或者存在严重失信行为；</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.23</w:t>
      </w:r>
      <w:r>
        <w:rPr>
          <w:rFonts w:hint="eastAsia" w:ascii="楷体_GB2312" w:hAnsi="楷体_GB2312" w:eastAsia="楷体_GB2312" w:cs="楷体_GB2312"/>
          <w:snapToGrid w:val="0"/>
        </w:rPr>
        <w:t>企业法定代表人、控股股东、实际控制人、董事、监事、高级管理人员涉嫌违法违规被有权机关调查、采取强制措施，或者存在严重失信行为；</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.24</w:t>
      </w:r>
      <w:r>
        <w:rPr>
          <w:rFonts w:hint="eastAsia" w:ascii="楷体_GB2312" w:hAnsi="楷体_GB2312" w:eastAsia="楷体_GB2312" w:cs="楷体_GB2312"/>
          <w:snapToGrid w:val="0"/>
        </w:rPr>
        <w:t>企业涉及重大诉讼、仲裁事项；</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.25</w:t>
      </w:r>
      <w:r>
        <w:rPr>
          <w:rFonts w:hint="eastAsia" w:ascii="楷体_GB2312" w:hAnsi="楷体_GB2312" w:eastAsia="楷体_GB2312" w:cs="楷体_GB2312"/>
          <w:snapToGrid w:val="0"/>
        </w:rPr>
        <w:t>企业发生可能影响其偿债能力的资产被查封、扣押或冻结的情况；</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.26</w:t>
      </w:r>
      <w:r>
        <w:rPr>
          <w:rFonts w:hint="eastAsia" w:ascii="楷体_GB2312" w:hAnsi="楷体_GB2312" w:eastAsia="楷体_GB2312" w:cs="楷体_GB2312"/>
          <w:snapToGrid w:val="0"/>
        </w:rPr>
        <w:t>企业拟分配股利，或发生减资、合并、分立、解散及申请破产的情形；</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.27</w:t>
      </w:r>
      <w:r>
        <w:rPr>
          <w:rFonts w:hint="eastAsia" w:ascii="楷体_GB2312" w:hAnsi="楷体_GB2312" w:eastAsia="楷体_GB2312" w:cs="楷体_GB2312"/>
          <w:snapToGrid w:val="0"/>
        </w:rPr>
        <w:t>企业涉及需要说明的市场传闻；</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.28</w:t>
      </w:r>
      <w:r>
        <w:rPr>
          <w:rFonts w:hint="eastAsia" w:ascii="楷体_GB2312" w:hAnsi="楷体_GB2312" w:eastAsia="楷体_GB2312" w:cs="楷体_GB2312"/>
          <w:snapToGrid w:val="0"/>
          <w:lang w:val="en-US" w:eastAsia="zh-CN"/>
        </w:rPr>
        <w:t>资产支持商业票据</w:t>
      </w:r>
      <w:r>
        <w:rPr>
          <w:rFonts w:hint="eastAsia" w:ascii="楷体_GB2312" w:hAnsi="楷体_GB2312" w:eastAsia="楷体_GB2312" w:cs="楷体_GB2312"/>
          <w:snapToGrid w:val="0"/>
        </w:rPr>
        <w:t>信用评级发生变化；</w:t>
      </w:r>
    </w:p>
    <w:p>
      <w:pPr>
        <w:pStyle w:val="176"/>
        <w:keepNext w:val="0"/>
        <w:keepLines w:val="0"/>
        <w:pageBreakBefore w:val="0"/>
        <w:widowControl w:val="0"/>
        <w:numPr>
          <w:ilvl w:val="0"/>
          <w:numId w:val="0"/>
        </w:numPr>
        <w:kinsoku/>
        <w:wordWrap/>
        <w:overflowPunct/>
        <w:topLinePunct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.29</w:t>
      </w:r>
      <w:r>
        <w:rPr>
          <w:rFonts w:hint="eastAsia" w:ascii="楷体_GB2312" w:hAnsi="楷体_GB2312" w:eastAsia="楷体_GB2312" w:cs="楷体_GB2312"/>
          <w:snapToGrid w:val="0"/>
        </w:rPr>
        <w:t>企业订立其他可能对其资产、负债、权益和经营成果产生重要影响的重大合同；</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.30</w:t>
      </w:r>
      <w:r>
        <w:rPr>
          <w:rFonts w:hint="eastAsia" w:ascii="楷体_GB2312" w:hAnsi="楷体_GB2312" w:eastAsia="楷体_GB2312" w:cs="楷体_GB2312"/>
          <w:snapToGrid w:val="0"/>
        </w:rPr>
        <w:t>发行文件中约定或企业承诺的其他应当披露事项；</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.31</w:t>
      </w:r>
      <w:r>
        <w:rPr>
          <w:rFonts w:hint="eastAsia" w:ascii="楷体_GB2312" w:hAnsi="楷体_GB2312" w:eastAsia="楷体_GB2312" w:cs="楷体_GB2312"/>
          <w:snapToGrid w:val="0"/>
        </w:rPr>
        <w:t>其他可能影响其偿债能力或投资者权益的事项。</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信用</w:t>
      </w:r>
      <w:r>
        <w:rPr>
          <w:rFonts w:hint="eastAsia" w:ascii="楷体_GB2312" w:hAnsi="楷体_GB2312" w:eastAsia="楷体_GB2312" w:cs="楷体_GB2312"/>
          <w:sz w:val="24"/>
          <w:szCs w:val="24"/>
        </w:rPr>
        <w:t>增</w:t>
      </w:r>
      <w:r>
        <w:rPr>
          <w:rFonts w:hint="eastAsia" w:ascii="楷体_GB2312" w:hAnsi="楷体_GB2312" w:eastAsia="楷体_GB2312" w:cs="楷体_GB2312"/>
          <w:sz w:val="24"/>
          <w:szCs w:val="24"/>
          <w:lang w:val="en-US" w:eastAsia="zh-CN"/>
        </w:rPr>
        <w:t>级</w:t>
      </w:r>
      <w:r>
        <w:rPr>
          <w:rFonts w:hint="eastAsia" w:ascii="楷体_GB2312" w:hAnsi="楷体_GB2312" w:eastAsia="楷体_GB2312" w:cs="楷体_GB2312"/>
          <w:sz w:val="24"/>
          <w:szCs w:val="24"/>
        </w:rPr>
        <w:t>机构发生可能影响其信用增</w:t>
      </w:r>
      <w:r>
        <w:rPr>
          <w:rFonts w:hint="eastAsia" w:ascii="楷体_GB2312" w:hAnsi="楷体_GB2312" w:eastAsia="楷体_GB2312" w:cs="楷体_GB2312"/>
          <w:sz w:val="24"/>
          <w:szCs w:val="24"/>
          <w:lang w:val="en-US" w:eastAsia="zh-CN"/>
        </w:rPr>
        <w:t>级</w:t>
      </w:r>
      <w:r>
        <w:rPr>
          <w:rFonts w:hint="eastAsia" w:ascii="楷体_GB2312" w:hAnsi="楷体_GB2312" w:eastAsia="楷体_GB2312" w:cs="楷体_GB2312"/>
          <w:sz w:val="24"/>
          <w:szCs w:val="24"/>
        </w:rPr>
        <w:t>能力的重大事项</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napToGrid w:val="0"/>
          <w:color w:val="auto"/>
          <w:kern w:val="0"/>
          <w:sz w:val="24"/>
          <w:szCs w:val="24"/>
          <w:lang w:val="en-US" w:eastAsia="zh-CN" w:bidi="ar-SA"/>
        </w:rPr>
        <w:t>包括但不限于：</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.32</w:t>
      </w:r>
      <w:r>
        <w:rPr>
          <w:rFonts w:hint="eastAsia" w:ascii="楷体_GB2312" w:hAnsi="楷体_GB2312" w:eastAsia="楷体_GB2312" w:cs="楷体_GB2312"/>
          <w:sz w:val="24"/>
          <w:szCs w:val="24"/>
        </w:rPr>
        <w:t>名称变更；</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.33</w:t>
      </w:r>
      <w:r>
        <w:rPr>
          <w:rFonts w:hint="eastAsia" w:ascii="楷体_GB2312" w:hAnsi="楷体_GB2312" w:eastAsia="楷体_GB2312" w:cs="楷体_GB2312"/>
          <w:sz w:val="24"/>
          <w:szCs w:val="24"/>
        </w:rPr>
        <w:t>未能清偿到期债务；</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.34</w:t>
      </w:r>
      <w:r>
        <w:rPr>
          <w:rFonts w:hint="eastAsia" w:ascii="楷体_GB2312" w:hAnsi="楷体_GB2312" w:eastAsia="楷体_GB2312" w:cs="楷体_GB2312"/>
          <w:sz w:val="24"/>
          <w:szCs w:val="24"/>
        </w:rPr>
        <w:t>未能按照约定履行债券信用增</w:t>
      </w:r>
      <w:r>
        <w:rPr>
          <w:rFonts w:hint="eastAsia" w:ascii="楷体_GB2312" w:hAnsi="楷体_GB2312" w:eastAsia="楷体_GB2312" w:cs="楷体_GB2312"/>
          <w:sz w:val="24"/>
          <w:szCs w:val="24"/>
          <w:lang w:val="en-US" w:eastAsia="zh-CN"/>
        </w:rPr>
        <w:t>级</w:t>
      </w:r>
      <w:r>
        <w:rPr>
          <w:rFonts w:hint="eastAsia" w:ascii="楷体_GB2312" w:hAnsi="楷体_GB2312" w:eastAsia="楷体_GB2312" w:cs="楷体_GB2312"/>
          <w:sz w:val="24"/>
          <w:szCs w:val="24"/>
        </w:rPr>
        <w:t>义务或超过上年末净资产10%以上的担保责任；</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.35</w:t>
      </w:r>
      <w:r>
        <w:rPr>
          <w:rFonts w:hint="eastAsia" w:ascii="楷体_GB2312" w:hAnsi="楷体_GB2312" w:eastAsia="楷体_GB2312" w:cs="楷体_GB2312"/>
          <w:sz w:val="24"/>
          <w:szCs w:val="24"/>
        </w:rPr>
        <w:t>发生减资、合并、分立、解散及申请破产的情形，或受到重大行政处罚；</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.36</w:t>
      </w:r>
      <w:r>
        <w:rPr>
          <w:rFonts w:hint="eastAsia" w:ascii="楷体_GB2312" w:hAnsi="楷体_GB2312" w:eastAsia="楷体_GB2312" w:cs="楷体_GB2312"/>
          <w:sz w:val="24"/>
          <w:szCs w:val="24"/>
        </w:rPr>
        <w:t>发行文件中约定或</w:t>
      </w:r>
      <w:r>
        <w:rPr>
          <w:rFonts w:hint="eastAsia" w:ascii="楷体_GB2312" w:hAnsi="楷体_GB2312" w:eastAsia="楷体_GB2312" w:cs="楷体_GB2312"/>
          <w:sz w:val="24"/>
          <w:szCs w:val="24"/>
          <w:lang w:val="en-US" w:eastAsia="zh-CN"/>
        </w:rPr>
        <w:t>信用增级</w:t>
      </w:r>
      <w:r>
        <w:rPr>
          <w:rFonts w:hint="eastAsia" w:ascii="楷体_GB2312" w:hAnsi="楷体_GB2312" w:eastAsia="楷体_GB2312" w:cs="楷体_GB2312"/>
          <w:sz w:val="24"/>
          <w:szCs w:val="24"/>
        </w:rPr>
        <w:t>机构承诺的其他应当披露事项；</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5.6</w:t>
      </w:r>
      <w:r>
        <w:rPr>
          <w:rFonts w:hint="eastAsia" w:ascii="楷体_GB2312" w:hAnsi="楷体_GB2312" w:eastAsia="楷体_GB2312" w:cs="楷体_GB2312"/>
          <w:sz w:val="24"/>
          <w:szCs w:val="24"/>
          <w:lang w:val="en-US" w:eastAsia="zh-CN"/>
        </w:rPr>
        <w:t>.37</w:t>
      </w:r>
      <w:r>
        <w:rPr>
          <w:rFonts w:hint="eastAsia" w:ascii="楷体_GB2312" w:hAnsi="楷体_GB2312" w:eastAsia="楷体_GB2312" w:cs="楷体_GB2312"/>
          <w:sz w:val="24"/>
          <w:szCs w:val="24"/>
        </w:rPr>
        <w:t>其他可能影响其信用增</w:t>
      </w:r>
      <w:r>
        <w:rPr>
          <w:rFonts w:hint="eastAsia" w:ascii="楷体_GB2312" w:hAnsi="楷体_GB2312" w:eastAsia="楷体_GB2312" w:cs="楷体_GB2312"/>
          <w:sz w:val="24"/>
          <w:szCs w:val="24"/>
          <w:lang w:val="en-US" w:eastAsia="zh-CN"/>
        </w:rPr>
        <w:t>级</w:t>
      </w:r>
      <w:r>
        <w:rPr>
          <w:rFonts w:hint="eastAsia" w:ascii="楷体_GB2312" w:hAnsi="楷体_GB2312" w:eastAsia="楷体_GB2312" w:cs="楷体_GB2312"/>
          <w:sz w:val="24"/>
          <w:szCs w:val="24"/>
        </w:rPr>
        <w:t>能力或投资者权益的事项。</w:t>
      </w:r>
    </w:p>
    <w:p>
      <w:pPr>
        <w:pStyle w:val="110"/>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snapToGrid w:val="0"/>
          <w:color w:val="auto"/>
          <w:sz w:val="24"/>
          <w:szCs w:val="24"/>
          <w:lang w:val="en-US" w:eastAsia="zh-CN" w:bidi="ar-SA"/>
        </w:rPr>
      </w:pPr>
      <w:r>
        <w:rPr>
          <w:rFonts w:hint="eastAsia" w:hAnsi="楷体_GB2312" w:cs="楷体_GB2312"/>
          <w:snapToGrid w:val="0"/>
          <w:color w:val="auto"/>
          <w:sz w:val="24"/>
          <w:szCs w:val="24"/>
          <w:lang w:val="en-US" w:eastAsia="zh-CN" w:bidi="ar-SA"/>
        </w:rPr>
        <w:t>以上</w:t>
      </w:r>
      <w:r>
        <w:rPr>
          <w:rFonts w:hint="eastAsia" w:ascii="楷体_GB2312" w:hAnsi="楷体_GB2312" w:eastAsia="楷体_GB2312" w:cs="楷体_GB2312"/>
          <w:snapToGrid w:val="0"/>
          <w:color w:val="auto"/>
          <w:sz w:val="24"/>
          <w:szCs w:val="24"/>
          <w:lang w:val="en-US" w:eastAsia="zh-CN" w:bidi="ar-SA"/>
        </w:rPr>
        <w:t>重大事项出现泄露或市场传闻的，应当在出现该情形之日后2个工作日内履行重大事项的信息披露义务。已披露的重大事项出现重大进展或变化的，应当在进展或变化发生之日后2个工作日内披露进展或者变化情况及可能产生的影响。</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line="240" w:lineRule="atLeast"/>
        <w:ind w:firstLine="460" w:firstLineChars="192"/>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5.7付息兑付披露：约定</w:t>
      </w:r>
      <w:r>
        <w:rPr>
          <w:rFonts w:hint="eastAsia" w:ascii="楷体_GB2312" w:hAnsi="楷体_GB2312" w:eastAsia="楷体_GB2312" w:cs="楷体_GB2312"/>
          <w:sz w:val="24"/>
          <w:szCs w:val="24"/>
          <w:lang w:val="en-US" w:eastAsia="zh-CN"/>
        </w:rPr>
        <w:t>发行载体管理机构</w:t>
      </w:r>
      <w:r>
        <w:rPr>
          <w:rFonts w:hint="eastAsia" w:ascii="楷体_GB2312" w:hAnsi="楷体_GB2312" w:eastAsia="楷体_GB2312" w:cs="楷体_GB2312"/>
          <w:sz w:val="24"/>
          <w:szCs w:val="24"/>
        </w:rPr>
        <w:t>将于</w:t>
      </w: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本息兑付日前5个工作日定向披露本金兑付及付息事项。</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both"/>
        <w:textAlignment w:val="auto"/>
        <w:outlineLvl w:val="9"/>
        <w:rPr>
          <w:rFonts w:hint="eastAsia" w:ascii="楷体_GB2312" w:hAnsi="楷体_GB2312" w:eastAsia="楷体_GB2312" w:cs="楷体_GB2312"/>
          <w:b/>
          <w:bCs/>
          <w:kern w:val="0"/>
          <w:sz w:val="24"/>
          <w:szCs w:val="24"/>
        </w:rPr>
      </w:pPr>
      <w:bookmarkStart w:id="4002" w:name="_Toc351119915"/>
      <w:bookmarkStart w:id="4003" w:name="_Toc28160"/>
      <w:bookmarkStart w:id="4004" w:name="_Toc11092"/>
      <w:bookmarkStart w:id="4005" w:name="_Toc21169"/>
      <w:bookmarkStart w:id="4006" w:name="_Toc30478"/>
      <w:bookmarkStart w:id="4007" w:name="_Toc352070927"/>
      <w:bookmarkStart w:id="4008" w:name="_Toc22562"/>
      <w:bookmarkStart w:id="4009" w:name="_Toc21841"/>
      <w:bookmarkStart w:id="4010" w:name="_Toc350434220"/>
      <w:bookmarkStart w:id="4011" w:name="_Toc484693557"/>
      <w:bookmarkStart w:id="4012" w:name="_Toc27072"/>
      <w:bookmarkStart w:id="4013" w:name="_Toc3584"/>
      <w:r>
        <w:rPr>
          <w:rFonts w:hint="eastAsia" w:ascii="楷体_GB2312" w:hAnsi="楷体_GB2312" w:eastAsia="楷体_GB2312" w:cs="楷体_GB2312"/>
          <w:b/>
          <w:bCs/>
          <w:kern w:val="0"/>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014" w:name="_Toc22259"/>
      <w:bookmarkStart w:id="4015" w:name="_Toc19043"/>
      <w:bookmarkStart w:id="4016" w:name="_Toc4327"/>
      <w:r>
        <w:rPr>
          <w:rFonts w:hint="eastAsia" w:ascii="楷体_GB2312" w:hAnsi="楷体_GB2312" w:eastAsia="楷体_GB2312" w:cs="楷体_GB2312"/>
          <w:b/>
          <w:bCs/>
          <w:kern w:val="0"/>
          <w:sz w:val="30"/>
          <w:szCs w:val="30"/>
        </w:rPr>
        <w:t>第六条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投资人保护</w:t>
      </w:r>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lang w:val="en-US" w:eastAsia="zh-CN"/>
        </w:rPr>
      </w:pPr>
      <w:bookmarkStart w:id="4017" w:name="_Toc17290"/>
      <w:bookmarkStart w:id="4018" w:name="_Toc19798"/>
      <w:bookmarkStart w:id="4019" w:name="_Toc1815"/>
      <w:bookmarkStart w:id="4020" w:name="_Toc1110"/>
      <w:bookmarkStart w:id="4021" w:name="_Toc23112"/>
      <w:bookmarkStart w:id="4022" w:name="_Toc29077"/>
      <w:r>
        <w:rPr>
          <w:rFonts w:hint="eastAsia" w:ascii="楷体_GB2312" w:hAnsi="楷体_GB2312" w:eastAsia="楷体_GB2312" w:cs="楷体_GB2312"/>
          <w:sz w:val="24"/>
          <w:szCs w:val="24"/>
          <w:lang w:val="en-US" w:eastAsia="zh-CN"/>
        </w:rPr>
        <w:t>6.1违约事件</w:t>
      </w:r>
      <w:bookmarkEnd w:id="4017"/>
      <w:bookmarkEnd w:id="4018"/>
      <w:bookmarkEnd w:id="4019"/>
      <w:bookmarkEnd w:id="4020"/>
      <w:bookmarkEnd w:id="4021"/>
      <w:bookmarkEnd w:id="4022"/>
    </w:p>
    <w:p>
      <w:pPr>
        <w:pStyle w:val="2"/>
        <w:keepNext w:val="0"/>
        <w:keepLines w:val="0"/>
        <w:pageBreakBefore w:val="0"/>
        <w:widowControl w:val="0"/>
        <w:kinsoku/>
        <w:wordWrap/>
        <w:overflowPunct/>
        <w:topLinePunct w:val="0"/>
        <w:autoSpaceDE/>
        <w:autoSpaceDN/>
        <w:bidi w:val="0"/>
        <w:snapToGrid/>
        <w:spacing w:before="157" w:beforeLines="50" w:after="157" w:afterLines="50" w:line="240" w:lineRule="atLeast"/>
        <w:jc w:val="both"/>
        <w:textAlignment w:val="auto"/>
        <w:rPr>
          <w:rFonts w:hint="eastAsia" w:ascii="Times New Roman" w:hAnsi="Times New Roman" w:eastAsia="楷体_GB2312" w:cs="Times New Roman"/>
          <w:b/>
          <w:bCs w:val="0"/>
          <w:i/>
          <w:color w:val="FF0000"/>
          <w:sz w:val="24"/>
          <w:szCs w:val="28"/>
          <w:u w:val="single"/>
          <w:lang w:val="en-US" w:eastAsia="zh-CN"/>
        </w:rPr>
      </w:pPr>
      <w:r>
        <w:rPr>
          <w:rFonts w:hint="eastAsia" w:ascii="Times New Roman" w:hAnsi="Times New Roman" w:eastAsia="楷体_GB2312" w:cs="Times New Roman"/>
          <w:b/>
          <w:bCs w:val="0"/>
          <w:i/>
          <w:color w:val="FF0000"/>
          <w:sz w:val="24"/>
          <w:szCs w:val="28"/>
          <w:u w:val="single"/>
          <w:lang w:val="en-US" w:eastAsia="zh-CN"/>
        </w:rPr>
        <w:t>应参照《主定义表》“一、定义（139）违约事件”的内容。</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lang w:val="en-US" w:eastAsia="zh-CN"/>
        </w:rPr>
      </w:pPr>
      <w:bookmarkStart w:id="4023" w:name="_Toc16283"/>
      <w:bookmarkStart w:id="4024" w:name="_Toc5665"/>
      <w:bookmarkStart w:id="4025" w:name="_Toc30810"/>
      <w:bookmarkStart w:id="4026" w:name="_Toc3416"/>
      <w:bookmarkStart w:id="4027" w:name="_Toc1891"/>
      <w:bookmarkStart w:id="4028" w:name="_Toc12406"/>
      <w:r>
        <w:rPr>
          <w:rFonts w:hint="eastAsia" w:ascii="楷体_GB2312" w:hAnsi="楷体_GB2312" w:eastAsia="楷体_GB2312" w:cs="楷体_GB2312"/>
          <w:sz w:val="24"/>
          <w:szCs w:val="24"/>
          <w:lang w:val="en-US" w:eastAsia="zh-CN"/>
        </w:rPr>
        <w:t>6.2 违约责任</w:t>
      </w:r>
      <w:bookmarkEnd w:id="4023"/>
      <w:bookmarkEnd w:id="4024"/>
      <w:bookmarkEnd w:id="4025"/>
      <w:bookmarkEnd w:id="4026"/>
      <w:bookmarkEnd w:id="4027"/>
      <w:bookmarkEnd w:id="4028"/>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lang w:val="en-US" w:eastAsia="zh-CN"/>
        </w:rPr>
      </w:pPr>
      <w:bookmarkStart w:id="4029" w:name="_Toc1672"/>
      <w:bookmarkStart w:id="4030" w:name="_Toc22265"/>
      <w:bookmarkStart w:id="4031" w:name="_Toc23188"/>
      <w:bookmarkStart w:id="4032" w:name="_Toc10321"/>
      <w:bookmarkStart w:id="4033" w:name="_Toc28594"/>
      <w:bookmarkStart w:id="4034" w:name="_Toc5105"/>
      <w:r>
        <w:rPr>
          <w:rFonts w:hint="eastAsia" w:ascii="楷体_GB2312" w:hAnsi="楷体_GB2312" w:eastAsia="楷体_GB2312" w:cs="楷体_GB2312"/>
          <w:sz w:val="24"/>
          <w:szCs w:val="24"/>
          <w:lang w:val="en-US" w:eastAsia="zh-CN"/>
        </w:rPr>
        <w:t>6.3 投资人保护机制</w:t>
      </w:r>
      <w:bookmarkEnd w:id="4029"/>
      <w:bookmarkEnd w:id="4030"/>
      <w:bookmarkEnd w:id="4031"/>
      <w:bookmarkEnd w:id="4032"/>
      <w:bookmarkEnd w:id="4033"/>
      <w:bookmarkEnd w:id="4034"/>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6.3.1信用评级结果或评级展望下调的应对措施（如有）</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6.3.2基础资产现金流恶化或其他可能影响投资人利益等情况的应对措施</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6.3.3基础资产现金流与预测值偏差的处理机制</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6.3.4基础资产权属争议的解决机制</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6.3.5定向资产支持商业票据发生违约后的保障机制和清偿安排</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default" w:ascii="楷体_GB2312" w:hAnsi="楷体_GB2312" w:eastAsia="楷体_GB2312" w:cs="楷体_GB2312"/>
          <w:sz w:val="24"/>
          <w:szCs w:val="24"/>
          <w:lang w:val="en-US" w:eastAsia="zh-CN"/>
        </w:rPr>
      </w:pPr>
      <w:bookmarkStart w:id="4035" w:name="_Toc2868"/>
      <w:r>
        <w:rPr>
          <w:rFonts w:hint="eastAsia" w:ascii="楷体_GB2312" w:hAnsi="楷体_GB2312" w:eastAsia="楷体_GB2312" w:cs="楷体_GB2312"/>
          <w:sz w:val="24"/>
          <w:szCs w:val="24"/>
          <w:lang w:val="en-US" w:eastAsia="zh-CN"/>
        </w:rPr>
        <w:t>6.4投资人保护条款（如有）</w:t>
      </w:r>
      <w:bookmarkEnd w:id="4035"/>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eastAsia" w:ascii="楷体_GB2312" w:hAnsi="楷体_GB2312" w:eastAsia="楷体_GB2312" w:cs="楷体_GB2312"/>
          <w:sz w:val="24"/>
          <w:szCs w:val="24"/>
          <w:lang w:val="en-US" w:eastAsia="zh-CN"/>
        </w:rPr>
      </w:pPr>
      <w:bookmarkStart w:id="4036" w:name="_Toc16930"/>
      <w:r>
        <w:rPr>
          <w:rFonts w:hint="eastAsia" w:ascii="楷体_GB2312" w:hAnsi="楷体_GB2312" w:eastAsia="楷体_GB2312" w:cs="楷体_GB2312"/>
          <w:sz w:val="24"/>
          <w:szCs w:val="24"/>
          <w:lang w:val="en-US" w:eastAsia="zh-CN"/>
        </w:rPr>
        <w:t>6.5定向资产支持商业票据持有人会议机制</w:t>
      </w:r>
      <w:bookmarkEnd w:id="4036"/>
    </w:p>
    <w:p>
      <w:pPr>
        <w:pStyle w:val="2"/>
        <w:keepNext w:val="0"/>
        <w:keepLines w:val="0"/>
        <w:pageBreakBefore w:val="0"/>
        <w:widowControl w:val="0"/>
        <w:kinsoku/>
        <w:wordWrap/>
        <w:overflowPunct/>
        <w:topLinePunct w:val="0"/>
        <w:autoSpaceDE/>
        <w:autoSpaceDN/>
        <w:bidi w:val="0"/>
        <w:snapToGrid/>
        <w:spacing w:before="157" w:beforeLines="50" w:after="157" w:afterLines="50" w:line="240" w:lineRule="atLeast"/>
        <w:jc w:val="both"/>
        <w:textAlignment w:val="auto"/>
        <w:rPr>
          <w:rFonts w:hint="eastAsia" w:ascii="Times New Roman" w:hAnsi="Times New Roman" w:eastAsia="楷体_GB2312" w:cs="Times New Roman"/>
          <w:b/>
          <w:bCs w:val="0"/>
          <w:i/>
          <w:color w:val="FF0000"/>
          <w:sz w:val="24"/>
          <w:szCs w:val="28"/>
          <w:u w:val="single"/>
          <w:lang w:val="en-US" w:eastAsia="zh-CN"/>
        </w:rPr>
      </w:pPr>
      <w:r>
        <w:rPr>
          <w:rFonts w:hint="eastAsia" w:ascii="Times New Roman" w:hAnsi="Times New Roman" w:eastAsia="楷体_GB2312" w:cs="Times New Roman"/>
          <w:b/>
          <w:bCs w:val="0"/>
          <w:i/>
          <w:color w:val="FF0000"/>
          <w:sz w:val="24"/>
          <w:szCs w:val="28"/>
          <w:u w:val="single"/>
          <w:lang w:val="en-US" w:eastAsia="zh-CN"/>
        </w:rPr>
        <w:t>应参照《信托合同》“19资产支持商业票据持有人会议组成与权利”的内容。</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6.6不可抗力</w:t>
      </w:r>
    </w:p>
    <w:p>
      <w:pPr>
        <w:pStyle w:val="176"/>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240" w:lineRule="atLeast"/>
        <w:ind w:left="480" w:leftChars="0"/>
        <w:jc w:val="both"/>
        <w:textAlignment w:val="auto"/>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6.7修改和弃权</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both"/>
        <w:textAlignment w:val="auto"/>
        <w:outlineLvl w:val="9"/>
        <w:rPr>
          <w:rFonts w:hint="eastAsia" w:ascii="楷体_GB2312" w:hAnsi="楷体_GB2312" w:eastAsia="楷体_GB2312" w:cs="楷体_GB2312"/>
          <w:b/>
          <w:bCs/>
          <w:kern w:val="0"/>
          <w:sz w:val="24"/>
          <w:szCs w:val="24"/>
        </w:rPr>
      </w:pPr>
      <w:bookmarkStart w:id="4037" w:name="_Toc351119916"/>
      <w:bookmarkStart w:id="4038" w:name="_Toc350434221"/>
      <w:bookmarkStart w:id="4039" w:name="_Toc16568"/>
      <w:bookmarkStart w:id="4040" w:name="_Toc17493"/>
      <w:bookmarkStart w:id="4041" w:name="_Toc3881"/>
      <w:bookmarkStart w:id="4042" w:name="_Toc2897"/>
      <w:bookmarkStart w:id="4043" w:name="_Toc12843"/>
      <w:bookmarkStart w:id="4044" w:name="_Toc16931"/>
      <w:bookmarkStart w:id="4045" w:name="_Toc484693558"/>
      <w:bookmarkStart w:id="4046" w:name="_Toc352070928"/>
      <w:r>
        <w:rPr>
          <w:rFonts w:hint="eastAsia" w:ascii="楷体_GB2312" w:hAnsi="楷体_GB2312" w:eastAsia="楷体_GB2312" w:cs="楷体_GB2312"/>
          <w:b/>
          <w:bCs/>
          <w:kern w:val="0"/>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047" w:name="_Toc3548"/>
      <w:bookmarkStart w:id="4048" w:name="_Toc24453"/>
      <w:bookmarkStart w:id="4049" w:name="_Toc13704"/>
      <w:bookmarkStart w:id="4050" w:name="_Toc21444"/>
      <w:r>
        <w:rPr>
          <w:rFonts w:hint="eastAsia" w:ascii="楷体_GB2312" w:hAnsi="楷体_GB2312" w:eastAsia="楷体_GB2312" w:cs="楷体_GB2312"/>
          <w:b/>
          <w:bCs/>
          <w:kern w:val="0"/>
          <w:sz w:val="30"/>
          <w:szCs w:val="30"/>
        </w:rPr>
        <w:t>第七条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发起机构</w:t>
      </w:r>
      <w:r>
        <w:rPr>
          <w:rFonts w:hint="eastAsia" w:ascii="楷体_GB2312" w:hAnsi="楷体_GB2312" w:eastAsia="楷体_GB2312" w:cs="楷体_GB2312"/>
          <w:b/>
          <w:bCs/>
          <w:kern w:val="0"/>
          <w:sz w:val="30"/>
          <w:szCs w:val="30"/>
          <w:lang w:val="en-US" w:eastAsia="zh-CN"/>
        </w:rPr>
        <w:t>/委托人</w:t>
      </w:r>
      <w:r>
        <w:rPr>
          <w:rFonts w:hint="eastAsia" w:ascii="楷体_GB2312" w:hAnsi="楷体_GB2312" w:eastAsia="楷体_GB2312" w:cs="楷体_GB2312"/>
          <w:b/>
          <w:bCs/>
          <w:kern w:val="0"/>
          <w:sz w:val="30"/>
          <w:szCs w:val="30"/>
        </w:rPr>
        <w:t>的</w:t>
      </w:r>
      <w:bookmarkEnd w:id="4037"/>
      <w:bookmarkEnd w:id="4038"/>
      <w:r>
        <w:rPr>
          <w:rFonts w:hint="eastAsia" w:ascii="楷体_GB2312" w:hAnsi="楷体_GB2312" w:eastAsia="楷体_GB2312" w:cs="楷体_GB2312"/>
          <w:b/>
          <w:bCs/>
          <w:kern w:val="0"/>
          <w:sz w:val="30"/>
          <w:szCs w:val="30"/>
        </w:rPr>
        <w:t>权利及义务</w:t>
      </w:r>
      <w:bookmarkEnd w:id="4039"/>
      <w:bookmarkEnd w:id="4040"/>
      <w:bookmarkEnd w:id="4041"/>
      <w:bookmarkEnd w:id="4042"/>
      <w:bookmarkEnd w:id="4043"/>
      <w:bookmarkEnd w:id="4044"/>
      <w:bookmarkEnd w:id="4045"/>
      <w:bookmarkEnd w:id="4046"/>
      <w:bookmarkEnd w:id="4047"/>
      <w:bookmarkEnd w:id="4048"/>
      <w:bookmarkEnd w:id="4049"/>
      <w:bookmarkEnd w:id="4050"/>
    </w:p>
    <w:p>
      <w:pPr>
        <w:pStyle w:val="2"/>
        <w:keepNext w:val="0"/>
        <w:keepLines w:val="0"/>
        <w:pageBreakBefore w:val="0"/>
        <w:widowControl w:val="0"/>
        <w:kinsoku/>
        <w:wordWrap/>
        <w:overflowPunct/>
        <w:topLinePunct w:val="0"/>
        <w:bidi w:val="0"/>
        <w:spacing w:before="157" w:beforeLines="50" w:after="157" w:afterLines="50" w:line="240" w:lineRule="atLeast"/>
        <w:ind w:left="0" w:leftChars="0" w:firstLine="480" w:firstLineChars="200"/>
        <w:jc w:val="both"/>
        <w:rPr>
          <w:rFonts w:hint="eastAsia"/>
        </w:rPr>
      </w:pPr>
      <w:r>
        <w:rPr>
          <w:rFonts w:hint="eastAsia" w:ascii="楷体_GB2312" w:hAnsi="楷体_GB2312" w:eastAsia="楷体_GB2312" w:cs="楷体_GB2312"/>
          <w:sz w:val="24"/>
          <w:szCs w:val="24"/>
          <w:lang w:val="en-US" w:eastAsia="zh-CN"/>
        </w:rPr>
        <w:t>详见</w:t>
      </w:r>
      <w:r>
        <w:rPr>
          <w:rFonts w:hint="eastAsia" w:ascii="楷体_GB2312" w:hAnsi="楷体_GB2312" w:eastAsia="楷体_GB2312" w:cs="楷体_GB2312"/>
          <w:sz w:val="24"/>
          <w:szCs w:val="24"/>
        </w:rPr>
        <w:t>“定向资产支持商业票据信息披露文件</w:t>
      </w:r>
      <w:r>
        <w:rPr>
          <w:rFonts w:hint="eastAsia" w:ascii="楷体_GB2312" w:hAnsi="楷体_GB2312" w:eastAsia="楷体_GB2312" w:cs="楷体_GB2312"/>
          <w:sz w:val="24"/>
          <w:szCs w:val="24"/>
          <w:lang w:val="en-US" w:eastAsia="zh-CN"/>
        </w:rPr>
        <w:t xml:space="preserve"> 第三章 交易结构 三、各当事方的权利与义务 （一）发起机构/委托人”。</w:t>
      </w:r>
      <w:r>
        <w:rPr>
          <w:rFonts w:hint="eastAsia"/>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051" w:name="_Toc14977"/>
      <w:bookmarkStart w:id="4052" w:name="_Toc21974"/>
      <w:bookmarkStart w:id="4053" w:name="_Toc14875"/>
      <w:bookmarkStart w:id="4054" w:name="_Toc27024"/>
      <w:bookmarkStart w:id="4055" w:name="_Toc21380"/>
      <w:bookmarkStart w:id="4056" w:name="_Toc15282"/>
      <w:bookmarkStart w:id="4057" w:name="_Toc16589"/>
      <w:bookmarkStart w:id="4058" w:name="_Toc22844"/>
      <w:bookmarkStart w:id="4059" w:name="_Toc23082"/>
      <w:bookmarkStart w:id="4060" w:name="_Toc19501"/>
      <w:bookmarkStart w:id="4061" w:name="_Toc484693559"/>
      <w:r>
        <w:rPr>
          <w:rFonts w:hint="eastAsia" w:ascii="楷体_GB2312" w:hAnsi="楷体_GB2312" w:eastAsia="楷体_GB2312" w:cs="楷体_GB2312"/>
          <w:b/>
          <w:bCs/>
          <w:kern w:val="0"/>
          <w:sz w:val="30"/>
          <w:szCs w:val="30"/>
        </w:rPr>
        <w:t>第八条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发行载体管理机构</w:t>
      </w:r>
      <w:r>
        <w:rPr>
          <w:rFonts w:hint="eastAsia" w:ascii="楷体_GB2312" w:hAnsi="楷体_GB2312" w:eastAsia="楷体_GB2312" w:cs="楷体_GB2312"/>
          <w:b/>
          <w:bCs/>
          <w:kern w:val="0"/>
          <w:sz w:val="30"/>
          <w:szCs w:val="30"/>
          <w:lang w:val="en-US" w:eastAsia="zh-CN"/>
        </w:rPr>
        <w:t>/受托人</w:t>
      </w:r>
      <w:r>
        <w:rPr>
          <w:rFonts w:hint="eastAsia" w:ascii="楷体_GB2312" w:hAnsi="楷体_GB2312" w:eastAsia="楷体_GB2312" w:cs="楷体_GB2312"/>
          <w:b/>
          <w:bCs/>
          <w:kern w:val="0"/>
          <w:sz w:val="30"/>
          <w:szCs w:val="30"/>
        </w:rPr>
        <w:t>的权利及义务</w:t>
      </w:r>
      <w:bookmarkEnd w:id="4051"/>
      <w:bookmarkEnd w:id="4052"/>
      <w:bookmarkEnd w:id="4053"/>
      <w:bookmarkEnd w:id="4054"/>
      <w:bookmarkEnd w:id="4055"/>
      <w:bookmarkEnd w:id="4056"/>
      <w:bookmarkEnd w:id="4057"/>
      <w:bookmarkEnd w:id="4058"/>
      <w:bookmarkEnd w:id="4059"/>
      <w:bookmarkEnd w:id="4060"/>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详见</w:t>
      </w:r>
      <w:r>
        <w:rPr>
          <w:rFonts w:hint="eastAsia" w:ascii="楷体_GB2312" w:hAnsi="楷体_GB2312" w:eastAsia="楷体_GB2312" w:cs="楷体_GB2312"/>
          <w:sz w:val="24"/>
          <w:szCs w:val="24"/>
        </w:rPr>
        <w:t>“定向资产支持商业票据信息披露文件</w:t>
      </w:r>
      <w:r>
        <w:rPr>
          <w:rFonts w:hint="eastAsia" w:ascii="楷体_GB2312" w:hAnsi="楷体_GB2312" w:eastAsia="楷体_GB2312" w:cs="楷体_GB2312"/>
          <w:sz w:val="24"/>
          <w:szCs w:val="24"/>
          <w:lang w:val="en-US" w:eastAsia="zh-CN"/>
        </w:rPr>
        <w:t xml:space="preserve"> 第三章 交易结构 三、各当事方的权利与义务 （二）发行载体管理机构/受托人”。</w:t>
      </w:r>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062" w:name="_Toc12034"/>
      <w:bookmarkStart w:id="4063" w:name="_Toc22069"/>
      <w:bookmarkStart w:id="4064" w:name="_Toc2279"/>
      <w:bookmarkStart w:id="4065" w:name="_Toc20298"/>
      <w:bookmarkStart w:id="4066" w:name="_Toc19035"/>
      <w:bookmarkStart w:id="4067" w:name="_Toc851"/>
      <w:bookmarkStart w:id="4068" w:name="_Toc4515"/>
      <w:bookmarkStart w:id="4069" w:name="_Toc7311"/>
      <w:bookmarkStart w:id="4070" w:name="_Toc11566"/>
      <w:bookmarkStart w:id="4071" w:name="_Toc20780"/>
      <w:r>
        <w:rPr>
          <w:rFonts w:hint="eastAsia" w:ascii="楷体_GB2312" w:hAnsi="楷体_GB2312" w:eastAsia="楷体_GB2312" w:cs="楷体_GB2312"/>
          <w:b/>
          <w:bCs/>
          <w:kern w:val="0"/>
          <w:sz w:val="30"/>
          <w:szCs w:val="30"/>
        </w:rPr>
        <w:t>第九条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定向投资人</w:t>
      </w:r>
      <w:r>
        <w:rPr>
          <w:rFonts w:hint="eastAsia" w:ascii="楷体_GB2312" w:hAnsi="楷体_GB2312" w:eastAsia="楷体_GB2312" w:cs="楷体_GB2312"/>
          <w:b/>
          <w:bCs/>
          <w:kern w:val="0"/>
          <w:sz w:val="30"/>
          <w:szCs w:val="30"/>
          <w:lang w:val="en-US" w:eastAsia="zh-CN"/>
        </w:rPr>
        <w:t>/受益人</w:t>
      </w:r>
      <w:r>
        <w:rPr>
          <w:rFonts w:hint="eastAsia" w:ascii="楷体_GB2312" w:hAnsi="楷体_GB2312" w:eastAsia="楷体_GB2312" w:cs="楷体_GB2312"/>
          <w:b/>
          <w:bCs/>
          <w:kern w:val="0"/>
          <w:sz w:val="30"/>
          <w:szCs w:val="30"/>
        </w:rPr>
        <w:t>的权利及义务</w:t>
      </w:r>
      <w:bookmarkEnd w:id="4061"/>
      <w:bookmarkEnd w:id="4062"/>
      <w:bookmarkEnd w:id="4063"/>
      <w:bookmarkEnd w:id="4064"/>
      <w:bookmarkEnd w:id="4065"/>
      <w:bookmarkEnd w:id="4066"/>
      <w:bookmarkEnd w:id="4067"/>
      <w:bookmarkEnd w:id="4068"/>
      <w:bookmarkEnd w:id="4069"/>
      <w:bookmarkEnd w:id="4070"/>
      <w:bookmarkEnd w:id="4071"/>
    </w:p>
    <w:p>
      <w:pPr>
        <w:keepNext w:val="0"/>
        <w:keepLines w:val="0"/>
        <w:pageBreakBefore w:val="0"/>
        <w:widowControl w:val="0"/>
        <w:kinsoku/>
        <w:wordWrap/>
        <w:overflowPunct/>
        <w:topLinePunct w:val="0"/>
        <w:autoSpaceDE/>
        <w:autoSpaceDN/>
        <w:bidi w:val="0"/>
        <w:spacing w:before="157" w:beforeLines="50" w:after="157" w:afterLines="50" w:line="240" w:lineRule="atLeast"/>
        <w:ind w:firstLine="480" w:firstLineChars="200"/>
        <w:jc w:val="both"/>
        <w:textAlignment w:val="auto"/>
        <w:outlineLvl w:val="9"/>
        <w:rPr>
          <w:rFonts w:hint="eastAsia" w:ascii="楷体_GB2312" w:hAnsi="楷体_GB2312" w:eastAsia="楷体_GB2312" w:cs="楷体_GB2312"/>
          <w:sz w:val="24"/>
          <w:szCs w:val="24"/>
        </w:rPr>
      </w:pPr>
      <w:bookmarkStart w:id="4072" w:name="_Toc484693560"/>
      <w:bookmarkStart w:id="4073" w:name="_Toc12416"/>
      <w:bookmarkStart w:id="4074" w:name="_Toc15160"/>
      <w:bookmarkStart w:id="4075" w:name="_Toc29998"/>
      <w:bookmarkStart w:id="4076" w:name="_Toc1193"/>
      <w:bookmarkStart w:id="4077" w:name="_Toc8067"/>
      <w:bookmarkStart w:id="4078" w:name="_Toc20817"/>
      <w:bookmarkStart w:id="4079" w:name="_Toc5664"/>
      <w:r>
        <w:rPr>
          <w:rFonts w:hint="eastAsia" w:ascii="楷体_GB2312" w:hAnsi="楷体_GB2312" w:eastAsia="楷体_GB2312" w:cs="楷体_GB2312"/>
          <w:sz w:val="24"/>
          <w:szCs w:val="24"/>
          <w:lang w:val="en-US" w:eastAsia="zh-CN"/>
        </w:rPr>
        <w:t>详见</w:t>
      </w:r>
      <w:r>
        <w:rPr>
          <w:rFonts w:hint="eastAsia" w:ascii="楷体_GB2312" w:hAnsi="楷体_GB2312" w:eastAsia="楷体_GB2312" w:cs="楷体_GB2312"/>
          <w:sz w:val="24"/>
          <w:szCs w:val="24"/>
        </w:rPr>
        <w:t>“定向资产支持商业票据信息披露文件</w:t>
      </w:r>
      <w:r>
        <w:rPr>
          <w:rFonts w:hint="eastAsia" w:ascii="楷体_GB2312" w:hAnsi="楷体_GB2312" w:eastAsia="楷体_GB2312" w:cs="楷体_GB2312"/>
          <w:sz w:val="24"/>
          <w:szCs w:val="24"/>
          <w:lang w:val="en-US" w:eastAsia="zh-CN"/>
        </w:rPr>
        <w:t xml:space="preserve"> 第三章 交易结构 三、各当事方的权利与义务 （三）投资人/受益人”。</w:t>
      </w:r>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080" w:name="_Toc18221"/>
      <w:bookmarkStart w:id="4081" w:name="_Toc23991"/>
      <w:bookmarkStart w:id="4082" w:name="_Toc740"/>
      <w:r>
        <w:rPr>
          <w:rFonts w:hint="eastAsia" w:ascii="楷体_GB2312" w:hAnsi="楷体_GB2312" w:eastAsia="楷体_GB2312" w:cs="楷体_GB2312"/>
          <w:b/>
          <w:bCs/>
          <w:kern w:val="0"/>
          <w:sz w:val="30"/>
          <w:szCs w:val="30"/>
        </w:rPr>
        <w:t>第十条 保密义务</w:t>
      </w:r>
      <w:bookmarkEnd w:id="4072"/>
      <w:bookmarkEnd w:id="4073"/>
      <w:bookmarkEnd w:id="4074"/>
      <w:bookmarkEnd w:id="4075"/>
      <w:bookmarkEnd w:id="4076"/>
      <w:bookmarkEnd w:id="4077"/>
      <w:bookmarkEnd w:id="4078"/>
      <w:bookmarkEnd w:id="4079"/>
      <w:bookmarkEnd w:id="4080"/>
      <w:bookmarkEnd w:id="4081"/>
      <w:bookmarkEnd w:id="4082"/>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10.1协议签署各方因本协议项下相关工作获得其他方有关业务、财务状况及其他非公开信息的资料（包括书面资料和非书面资料，以下简称“保密资料”），除本协议另有约定外，接受上述保密资料的一方应当对该资料予以保密，不向任何人或机构透露。</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sz w:val="24"/>
          <w:szCs w:val="24"/>
        </w:rPr>
        <w:t>10.2上述第10.1款的规定不适用于下述保密资料：</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10.3协议签署各方均应确保其本身及其与本协议项下工作有关的关联方的董事、监事、高级管理人员和其他相关雇员同样遵守本条所述的保密义务。</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10.4接受方有权为本协议项下相关工作的目的把保密资料披露给其关联方、中介机构及各方的雇员和顾问；但在这种情况下，只应向有合理业务需要的人或机构披露该等资料，并要求上述各方遵守本保密条款。</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10.5协议签署任何一方有权根据法律法规、交易商协会相关自律规则及有权机构的要求把资料披露给相关政府部门或有关机构。但是，在不违反法律法规、交易商协会相关自律规则的前提下，被要求做出上述披露的一方应在上述披露前把该要求通知其他方。</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10.6本条的任何规定不应妨碍一方按其诚信判断做出符合法律法规及交易商协会相关自律规则的公布或披露。</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10.7 本条规定不适用于在本协议各方事先给予书面同意之情形下所做出的披露。</w:t>
      </w:r>
    </w:p>
    <w:p>
      <w:pPr>
        <w:pStyle w:val="2"/>
        <w:keepNext w:val="0"/>
        <w:keepLines w:val="0"/>
        <w:pageBreakBefore w:val="0"/>
        <w:widowControl w:val="0"/>
        <w:kinsoku/>
        <w:wordWrap/>
        <w:overflowPunct/>
        <w:topLinePunct w:val="0"/>
        <w:bidi w:val="0"/>
        <w:spacing w:before="157" w:beforeLines="50" w:after="157" w:afterLines="50" w:line="240" w:lineRule="atLeast"/>
        <w:ind w:left="0" w:leftChars="0" w:firstLine="0" w:firstLineChars="0"/>
        <w:rPr>
          <w:rFonts w:hint="eastAsia"/>
        </w:rPr>
      </w:pPr>
      <w:r>
        <w:rPr>
          <w:rFonts w:hint="eastAsia"/>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083" w:name="_Toc350434230"/>
      <w:bookmarkStart w:id="4084" w:name="_Toc277271598"/>
      <w:bookmarkStart w:id="4085" w:name="_Toc260324679"/>
      <w:bookmarkStart w:id="4086" w:name="_Toc351119924"/>
      <w:bookmarkStart w:id="4087" w:name="_Toc30554"/>
      <w:bookmarkStart w:id="4088" w:name="_Toc17026"/>
      <w:bookmarkStart w:id="4089" w:name="_Toc484693561"/>
      <w:bookmarkStart w:id="4090" w:name="_Toc30909"/>
      <w:bookmarkStart w:id="4091" w:name="_Toc13205"/>
      <w:bookmarkStart w:id="4092" w:name="_Toc8127"/>
      <w:bookmarkStart w:id="4093" w:name="_Toc12208"/>
      <w:bookmarkStart w:id="4094" w:name="_Toc17888"/>
      <w:bookmarkStart w:id="4095" w:name="_Toc352070932"/>
      <w:bookmarkStart w:id="4096" w:name="_Toc1643"/>
      <w:bookmarkStart w:id="4097" w:name="_Toc11612"/>
      <w:bookmarkStart w:id="4098" w:name="_Toc23008"/>
      <w:bookmarkStart w:id="4099" w:name="_Toc7862"/>
      <w:r>
        <w:rPr>
          <w:rFonts w:hint="eastAsia" w:ascii="楷体_GB2312" w:hAnsi="楷体_GB2312" w:eastAsia="楷体_GB2312" w:cs="楷体_GB2312"/>
          <w:b/>
          <w:bCs/>
          <w:kern w:val="0"/>
          <w:sz w:val="30"/>
          <w:szCs w:val="30"/>
        </w:rPr>
        <w:t xml:space="preserve">第十一条 </w:t>
      </w:r>
      <w:bookmarkEnd w:id="4083"/>
      <w:bookmarkEnd w:id="4084"/>
      <w:bookmarkEnd w:id="4085"/>
      <w:bookmarkEnd w:id="4086"/>
      <w:r>
        <w:rPr>
          <w:rFonts w:hint="eastAsia" w:ascii="楷体_GB2312" w:hAnsi="楷体_GB2312" w:eastAsia="楷体_GB2312" w:cs="楷体_GB2312"/>
          <w:b/>
          <w:bCs/>
          <w:kern w:val="0"/>
          <w:sz w:val="30"/>
          <w:szCs w:val="30"/>
        </w:rPr>
        <w:t>发行的终止</w:t>
      </w:r>
      <w:bookmarkEnd w:id="4087"/>
      <w:bookmarkEnd w:id="4088"/>
      <w:bookmarkEnd w:id="4089"/>
      <w:bookmarkEnd w:id="4090"/>
      <w:bookmarkEnd w:id="4091"/>
      <w:bookmarkEnd w:id="4092"/>
      <w:bookmarkEnd w:id="4093"/>
      <w:bookmarkEnd w:id="4094"/>
      <w:bookmarkEnd w:id="4095"/>
      <w:bookmarkEnd w:id="4096"/>
      <w:bookmarkEnd w:id="4097"/>
      <w:bookmarkEnd w:id="4098"/>
      <w:bookmarkEnd w:id="4099"/>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11.1如发生下列情况，各方可首先友好协商，经友好协商后仍未能达成一致的，定向投资人有权撤销已经向发行载体管理机构提交的认购申请：</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11.2如发生下列情况，发起机构有权向定向投资人发出书面通知，取消定向投资人的认购资格：</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both"/>
        <w:textAlignment w:val="auto"/>
        <w:outlineLvl w:val="9"/>
        <w:rPr>
          <w:rFonts w:hint="eastAsia" w:ascii="楷体_GB2312" w:hAnsi="楷体_GB2312" w:eastAsia="楷体_GB2312" w:cs="楷体_GB2312"/>
          <w:b/>
          <w:bCs/>
          <w:kern w:val="0"/>
          <w:sz w:val="24"/>
          <w:szCs w:val="24"/>
        </w:rPr>
      </w:pPr>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100" w:name="_Toc10027"/>
      <w:bookmarkStart w:id="4101" w:name="_Toc484693562"/>
      <w:bookmarkStart w:id="4102" w:name="_Toc3568"/>
      <w:bookmarkStart w:id="4103" w:name="_Toc1267"/>
      <w:bookmarkStart w:id="4104" w:name="_Toc9777"/>
      <w:bookmarkStart w:id="4105" w:name="_Toc351119927"/>
      <w:bookmarkStart w:id="4106" w:name="_Toc350434233"/>
      <w:bookmarkStart w:id="4107" w:name="_Toc352070933"/>
      <w:bookmarkStart w:id="4108" w:name="_Toc9726"/>
      <w:bookmarkStart w:id="4109" w:name="_Toc32348"/>
      <w:bookmarkStart w:id="4110" w:name="_Toc3518"/>
      <w:bookmarkStart w:id="4111" w:name="_Toc9564"/>
      <w:bookmarkStart w:id="4112" w:name="_Toc26893"/>
      <w:bookmarkStart w:id="4113" w:name="_Toc13966"/>
      <w:r>
        <w:rPr>
          <w:rFonts w:hint="eastAsia" w:ascii="楷体_GB2312" w:hAnsi="楷体_GB2312" w:eastAsia="楷体_GB2312" w:cs="楷体_GB2312"/>
          <w:b/>
          <w:bCs/>
          <w:kern w:val="0"/>
          <w:sz w:val="30"/>
          <w:szCs w:val="30"/>
        </w:rPr>
        <w:t>第十二条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评级安排</w:t>
      </w:r>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详见</w:t>
      </w:r>
      <w:r>
        <w:rPr>
          <w:rFonts w:hint="eastAsia" w:ascii="楷体_GB2312" w:hAnsi="楷体_GB2312" w:eastAsia="楷体_GB2312" w:cs="楷体_GB2312"/>
          <w:sz w:val="24"/>
          <w:szCs w:val="24"/>
        </w:rPr>
        <w:t>“定向资产支持商业票据信息披露文件</w:t>
      </w:r>
      <w:r>
        <w:rPr>
          <w:rFonts w:hint="eastAsia" w:ascii="楷体_GB2312" w:hAnsi="楷体_GB2312" w:eastAsia="楷体_GB2312" w:cs="楷体_GB2312"/>
          <w:sz w:val="24"/>
          <w:szCs w:val="24"/>
          <w:lang w:val="en-US" w:eastAsia="zh-CN"/>
        </w:rPr>
        <w:t xml:space="preserve"> 第十一章 评级状况”。</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114" w:name="_Toc9100"/>
      <w:bookmarkStart w:id="4115" w:name="_Toc8724"/>
      <w:bookmarkStart w:id="4116" w:name="_Toc19227"/>
      <w:bookmarkStart w:id="4117" w:name="_Toc14318"/>
      <w:bookmarkStart w:id="4118" w:name="_Toc30640"/>
      <w:bookmarkStart w:id="4119" w:name="_Toc15831"/>
      <w:bookmarkStart w:id="4120" w:name="_Toc22204"/>
      <w:bookmarkStart w:id="4121" w:name="_Toc14804"/>
      <w:bookmarkStart w:id="4122" w:name="_Toc13193"/>
      <w:bookmarkStart w:id="4123" w:name="_Toc26984"/>
      <w:bookmarkStart w:id="4124" w:name="_Toc29526"/>
      <w:bookmarkStart w:id="4125" w:name="_Toc484693563"/>
      <w:r>
        <w:rPr>
          <w:rFonts w:hint="eastAsia" w:ascii="楷体_GB2312" w:hAnsi="楷体_GB2312" w:eastAsia="楷体_GB2312" w:cs="楷体_GB2312"/>
          <w:b/>
          <w:bCs/>
          <w:kern w:val="0"/>
          <w:sz w:val="30"/>
          <w:szCs w:val="30"/>
        </w:rPr>
        <w:t>第十三条</w:t>
      </w:r>
      <w:r>
        <w:rPr>
          <w:rFonts w:hint="eastAsia" w:ascii="楷体_GB2312" w:hAnsi="楷体_GB2312" w:eastAsia="楷体_GB2312" w:cs="楷体_GB2312"/>
          <w:b/>
          <w:bCs/>
          <w:kern w:val="0"/>
          <w:sz w:val="30"/>
          <w:szCs w:val="30"/>
          <w:lang w:val="en-US" w:eastAsia="zh-CN"/>
        </w:rPr>
        <w:t xml:space="preserve"> </w:t>
      </w:r>
      <w:r>
        <w:rPr>
          <w:rFonts w:hint="eastAsia" w:ascii="楷体_GB2312" w:hAnsi="楷体_GB2312" w:eastAsia="楷体_GB2312" w:cs="楷体_GB2312"/>
          <w:b/>
          <w:bCs/>
          <w:kern w:val="0"/>
          <w:sz w:val="30"/>
          <w:szCs w:val="30"/>
        </w:rPr>
        <w:t>信用增级安排</w:t>
      </w:r>
      <w:bookmarkEnd w:id="4114"/>
      <w:bookmarkEnd w:id="4115"/>
      <w:bookmarkEnd w:id="4116"/>
      <w:bookmarkEnd w:id="4117"/>
      <w:bookmarkEnd w:id="4118"/>
      <w:bookmarkEnd w:id="4119"/>
      <w:bookmarkEnd w:id="4120"/>
      <w:bookmarkEnd w:id="4121"/>
      <w:bookmarkEnd w:id="4122"/>
      <w:bookmarkEnd w:id="4123"/>
      <w:bookmarkEnd w:id="4124"/>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详见</w:t>
      </w:r>
      <w:r>
        <w:rPr>
          <w:rFonts w:hint="eastAsia" w:ascii="楷体_GB2312" w:hAnsi="楷体_GB2312" w:eastAsia="楷体_GB2312" w:cs="楷体_GB2312"/>
          <w:sz w:val="24"/>
          <w:szCs w:val="24"/>
        </w:rPr>
        <w:t>“定向资产支持商业票据信息披露文件</w:t>
      </w:r>
      <w:r>
        <w:rPr>
          <w:rFonts w:hint="eastAsia" w:ascii="楷体_GB2312" w:hAnsi="楷体_GB2312" w:eastAsia="楷体_GB2312" w:cs="楷体_GB2312"/>
          <w:sz w:val="24"/>
          <w:szCs w:val="24"/>
          <w:lang w:val="en-US" w:eastAsia="zh-CN"/>
        </w:rPr>
        <w:t xml:space="preserve"> 第四章 信用增级方式”。</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126" w:name="_Toc6022"/>
      <w:bookmarkStart w:id="4127" w:name="_Toc31897"/>
      <w:bookmarkStart w:id="4128" w:name="_Toc28028"/>
      <w:bookmarkStart w:id="4129" w:name="_Toc10604"/>
      <w:bookmarkStart w:id="4130" w:name="_Toc18862"/>
      <w:bookmarkStart w:id="4131" w:name="_Toc25507"/>
      <w:bookmarkStart w:id="4132" w:name="_Toc2838"/>
      <w:bookmarkStart w:id="4133" w:name="_Toc2705"/>
      <w:bookmarkStart w:id="4134" w:name="_Toc11364"/>
      <w:r>
        <w:rPr>
          <w:rFonts w:hint="eastAsia" w:ascii="楷体_GB2312" w:hAnsi="楷体_GB2312" w:eastAsia="楷体_GB2312" w:cs="楷体_GB2312"/>
          <w:b/>
          <w:bCs/>
          <w:kern w:val="0"/>
          <w:sz w:val="30"/>
          <w:szCs w:val="30"/>
        </w:rPr>
        <w:t>第十四条 声明、保证和承诺</w:t>
      </w:r>
      <w:bookmarkEnd w:id="4125"/>
      <w:bookmarkEnd w:id="4126"/>
      <w:bookmarkEnd w:id="4127"/>
      <w:bookmarkEnd w:id="4128"/>
      <w:bookmarkEnd w:id="4129"/>
      <w:bookmarkEnd w:id="4130"/>
      <w:bookmarkEnd w:id="4131"/>
      <w:bookmarkEnd w:id="4132"/>
      <w:bookmarkEnd w:id="4133"/>
      <w:bookmarkEnd w:id="4134"/>
    </w:p>
    <w:p>
      <w:pPr>
        <w:keepNext w:val="0"/>
        <w:keepLines w:val="0"/>
        <w:pageBreakBefore w:val="0"/>
        <w:widowControl w:val="0"/>
        <w:tabs>
          <w:tab w:val="left" w:pos="720"/>
        </w:tabs>
        <w:kinsoku/>
        <w:wordWrap/>
        <w:overflowPunct/>
        <w:topLinePunct w:val="0"/>
        <w:autoSpaceDE/>
        <w:autoSpaceDN/>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14.1协议签署各方签署本协议和履行其在本协议项下的义务，不会违反任何法律法规及交易商协会相关自律规则、该方的公司章程或内部规章、约束该方的任何合同或文件。</w:t>
      </w:r>
    </w:p>
    <w:p>
      <w:pPr>
        <w:keepNext w:val="0"/>
        <w:keepLines w:val="0"/>
        <w:pageBreakBefore w:val="0"/>
        <w:widowControl w:val="0"/>
        <w:tabs>
          <w:tab w:val="left" w:pos="720"/>
        </w:tabs>
        <w:kinsoku/>
        <w:wordWrap/>
        <w:overflowPunct/>
        <w:topLinePunct w:val="0"/>
        <w:autoSpaceDE/>
        <w:autoSpaceDN/>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14.2协议签署各方没有正在进行的或潜在的可能严重影响其签署或履行本协议能力的诉讼、仲裁、政府调查、其他法律或行政程序。</w:t>
      </w:r>
    </w:p>
    <w:p>
      <w:pPr>
        <w:keepNext w:val="0"/>
        <w:keepLines w:val="0"/>
        <w:pageBreakBefore w:val="0"/>
        <w:widowControl w:val="0"/>
        <w:tabs>
          <w:tab w:val="left" w:pos="720"/>
          <w:tab w:val="left" w:pos="1134"/>
        </w:tabs>
        <w:kinsoku/>
        <w:wordWrap/>
        <w:overflowPunct/>
        <w:topLinePunct w:val="0"/>
        <w:autoSpaceDE/>
        <w:autoSpaceDN/>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14.3 </w:t>
      </w:r>
      <w:r>
        <w:rPr>
          <w:rFonts w:hint="eastAsia" w:ascii="楷体_GB2312" w:hAnsi="楷体_GB2312" w:eastAsia="楷体_GB2312" w:cs="楷体_GB2312"/>
          <w:sz w:val="24"/>
          <w:szCs w:val="24"/>
          <w:lang w:val="en-US" w:eastAsia="zh-CN"/>
        </w:rPr>
        <w:t>牵头</w:t>
      </w:r>
      <w:r>
        <w:rPr>
          <w:rFonts w:hint="eastAsia" w:ascii="楷体_GB2312" w:hAnsi="楷体_GB2312" w:eastAsia="楷体_GB2312" w:cs="楷体_GB2312"/>
          <w:sz w:val="24"/>
          <w:szCs w:val="24"/>
        </w:rPr>
        <w:t>主承销商和联席主承销商（如有）作为投资人签署本协议，即视为认同本协议关于</w:t>
      </w:r>
      <w:r>
        <w:rPr>
          <w:rFonts w:hint="eastAsia" w:ascii="楷体_GB2312" w:hAnsi="楷体_GB2312" w:eastAsia="楷体_GB2312" w:cs="楷体_GB2312"/>
          <w:sz w:val="24"/>
          <w:szCs w:val="24"/>
          <w:lang w:val="en-US" w:eastAsia="zh-CN"/>
        </w:rPr>
        <w:t>牵头</w:t>
      </w:r>
      <w:r>
        <w:rPr>
          <w:rFonts w:hint="eastAsia" w:ascii="楷体_GB2312" w:hAnsi="楷体_GB2312" w:eastAsia="楷体_GB2312" w:cs="楷体_GB2312"/>
          <w:sz w:val="24"/>
          <w:szCs w:val="24"/>
        </w:rPr>
        <w:t>主承销商和联席主承销商（如有）的相关权利义务约定。</w:t>
      </w:r>
    </w:p>
    <w:p>
      <w:pPr>
        <w:keepNext w:val="0"/>
        <w:keepLines w:val="0"/>
        <w:pageBreakBefore w:val="0"/>
        <w:widowControl w:val="0"/>
        <w:tabs>
          <w:tab w:val="left" w:pos="720"/>
        </w:tabs>
        <w:kinsoku/>
        <w:wordWrap/>
        <w:overflowPunct/>
        <w:topLinePunct w:val="0"/>
        <w:autoSpaceDE/>
        <w:autoSpaceDN/>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14.4各方均了解本协议项下</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拟在交易商协会注册，注册不代表交易商协会对</w:t>
      </w:r>
      <w:r>
        <w:rPr>
          <w:rFonts w:hint="eastAsia" w:ascii="楷体_GB2312" w:hAnsi="楷体_GB2312" w:eastAsia="楷体_GB2312" w:cs="楷体_GB2312"/>
          <w:sz w:val="24"/>
          <w:szCs w:val="24"/>
          <w:lang w:val="en-US" w:eastAsia="zh-CN"/>
        </w:rPr>
        <w:t>本期</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的投资价值作出任何评价，也不代表对</w:t>
      </w:r>
      <w:r>
        <w:rPr>
          <w:rFonts w:hint="eastAsia" w:ascii="楷体_GB2312" w:hAnsi="楷体_GB2312" w:eastAsia="楷体_GB2312" w:cs="楷体_GB2312"/>
          <w:sz w:val="24"/>
          <w:szCs w:val="24"/>
          <w:lang w:val="en-US" w:eastAsia="zh-CN"/>
        </w:rPr>
        <w:t>本期</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的投资风险作出任何判断。凡欲认购</w:t>
      </w:r>
      <w:r>
        <w:rPr>
          <w:rFonts w:hint="eastAsia" w:ascii="楷体_GB2312" w:hAnsi="楷体_GB2312" w:eastAsia="楷体_GB2312" w:cs="楷体_GB2312"/>
          <w:sz w:val="24"/>
          <w:szCs w:val="24"/>
          <w:lang w:val="en-US" w:eastAsia="zh-CN"/>
        </w:rPr>
        <w:t>本期</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票据的投资者，请认真阅读本定向发行协议全文及有关的信息披露文件，同时应了解</w:t>
      </w:r>
      <w:r>
        <w:rPr>
          <w:rFonts w:hint="eastAsia" w:ascii="楷体_GB2312" w:hAnsi="楷体_GB2312" w:eastAsia="楷体_GB2312" w:cs="楷体_GB2312"/>
          <w:sz w:val="24"/>
          <w:szCs w:val="24"/>
          <w:lang w:eastAsia="zh-CN"/>
        </w:rPr>
        <w:t>定向发行协议</w:t>
      </w:r>
      <w:r>
        <w:rPr>
          <w:rFonts w:hint="eastAsia" w:ascii="楷体_GB2312" w:hAnsi="楷体_GB2312" w:eastAsia="楷体_GB2312" w:cs="楷体_GB2312"/>
          <w:sz w:val="24"/>
          <w:szCs w:val="24"/>
        </w:rPr>
        <w:t>仅对信息披露做最低限度的要求，投资人需对信息披露的真实性、准确性和完整性进行独立分析，并据以独立判断投资价值，自行承担与其有关的任何投资风险。</w:t>
      </w:r>
    </w:p>
    <w:p>
      <w:pPr>
        <w:keepNext w:val="0"/>
        <w:keepLines w:val="0"/>
        <w:pageBreakBefore w:val="0"/>
        <w:widowControl w:val="0"/>
        <w:kinsoku/>
        <w:wordWrap/>
        <w:overflowPunct/>
        <w:topLinePunct w:val="0"/>
        <w:autoSpaceDE/>
        <w:autoSpaceDN/>
        <w:bidi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14.5发起机构声明：发起机构及时、公平地履行信息披露义务，发起机构及其全体董事、监事、高级管理人员或履行同等职责的人员保证</w:t>
      </w:r>
      <w:r>
        <w:rPr>
          <w:rFonts w:hint="eastAsia" w:ascii="楷体_GB2312" w:hAnsi="楷体_GB2312" w:eastAsia="楷体_GB2312" w:cs="楷体_GB2312"/>
          <w:sz w:val="24"/>
          <w:szCs w:val="24"/>
          <w:lang w:eastAsia="zh-CN"/>
        </w:rPr>
        <w:t>定向发行协议</w:t>
      </w:r>
      <w:r>
        <w:rPr>
          <w:rFonts w:hint="eastAsia" w:ascii="楷体_GB2312" w:hAnsi="楷体_GB2312" w:eastAsia="楷体_GB2312" w:cs="楷体_GB2312"/>
          <w:sz w:val="24"/>
          <w:szCs w:val="24"/>
        </w:rPr>
        <w:t>信息披露的真实、准确、完整，不存在虚假记载、误导性陈述或重大遗漏。董事、监事、高级管理人员或履行同等职责的人员不能保证所披露的信息真实、准确、完整的，作出相应声明并说明理由。发起机构等信息披露义务人未按照规定履行信息披露义务或所披露信息存在虚假记载、误导性陈述或重大遗漏，给</w:t>
      </w: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投资者造成损失的，依法承担赔偿责任。发起机构的控股股东、实际控制人、董事、监事、高级管理人员和其他直接责任人员，依法与发起机构承担连带赔偿责任，但是能够证明自己没有过错的除外。</w:t>
      </w:r>
    </w:p>
    <w:p>
      <w:pPr>
        <w:pStyle w:val="2"/>
        <w:keepNext w:val="0"/>
        <w:keepLines w:val="0"/>
        <w:pageBreakBefore w:val="0"/>
        <w:widowControl w:val="0"/>
        <w:kinsoku/>
        <w:wordWrap/>
        <w:overflowPunct/>
        <w:topLinePunct w:val="0"/>
        <w:bidi w:val="0"/>
        <w:snapToGrid/>
        <w:spacing w:before="157" w:beforeLines="50" w:after="157" w:afterLines="50" w:line="240" w:lineRule="atLeast"/>
        <w:jc w:val="both"/>
        <w:textAlignment w:val="auto"/>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b/>
          <w:bCs/>
          <w:color w:val="FF0000"/>
          <w:kern w:val="0"/>
          <w:sz w:val="24"/>
          <w:szCs w:val="24"/>
          <w:lang w:val="en-US" w:eastAsia="zh-CN" w:bidi="ar-SA"/>
        </w:rPr>
        <w:t>【涉密企业应声明】</w:t>
      </w:r>
      <w:r>
        <w:rPr>
          <w:rFonts w:hint="eastAsia" w:ascii="楷体_GB2312" w:hAnsi="楷体_GB2312" w:eastAsia="楷体_GB2312" w:cs="楷体_GB2312"/>
          <w:kern w:val="0"/>
          <w:sz w:val="24"/>
          <w:szCs w:val="24"/>
          <w:lang w:val="en-US" w:eastAsia="zh-CN" w:bidi="ar-SA"/>
        </w:rPr>
        <w:t>发起机构声明：“本公司承诺，本公司发行定向资产支持商业票据所披露的全部信息不涉及国家秘密，因披露信息产生的一切后果由本公司自行承担。”</w:t>
      </w:r>
    </w:p>
    <w:p>
      <w:pPr>
        <w:keepNext w:val="0"/>
        <w:keepLines w:val="0"/>
        <w:pageBreakBefore w:val="0"/>
        <w:widowControl w:val="0"/>
        <w:kinsoku/>
        <w:wordWrap/>
        <w:overflowPunct/>
        <w:topLinePunct w:val="0"/>
        <w:autoSpaceDE/>
        <w:autoSpaceDN/>
        <w:bidi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lang w:val="en-US" w:eastAsia="zh-CN"/>
        </w:rPr>
        <w:t>14.6</w:t>
      </w:r>
      <w:r>
        <w:rPr>
          <w:rFonts w:hint="eastAsia" w:ascii="楷体_GB2312" w:hAnsi="楷体_GB2312" w:eastAsia="楷体_GB2312" w:cs="楷体_GB2312"/>
          <w:sz w:val="24"/>
          <w:szCs w:val="24"/>
        </w:rPr>
        <w:t>发起机构</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发行载体管理机构</w:t>
      </w:r>
      <w:r>
        <w:rPr>
          <w:rFonts w:hint="eastAsia" w:ascii="楷体_GB2312" w:hAnsi="楷体_GB2312" w:eastAsia="楷体_GB2312" w:cs="楷体_GB2312"/>
          <w:sz w:val="24"/>
          <w:szCs w:val="24"/>
        </w:rPr>
        <w:t>或其授权的机构已就定向发行协议中引用中介机构意见的内容向相关中介机构进行了确认，中介机构确认定向发行协议所引用的内容与其就</w:t>
      </w:r>
      <w:r>
        <w:rPr>
          <w:rFonts w:hint="eastAsia" w:ascii="楷体_GB2312" w:hAnsi="楷体_GB2312" w:eastAsia="楷体_GB2312" w:cs="楷体_GB2312"/>
          <w:sz w:val="24"/>
          <w:szCs w:val="24"/>
          <w:lang w:val="en-US" w:eastAsia="zh-CN"/>
        </w:rPr>
        <w:t>本期</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发行出具的相关意见不存在矛盾，对所引用的内容无异议。中介机构未确认或无法保证一致性或对引用内容有异议的，发起机构</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发行载体管理机构</w:t>
      </w:r>
      <w:r>
        <w:rPr>
          <w:rFonts w:hint="eastAsia" w:ascii="楷体_GB2312" w:hAnsi="楷体_GB2312" w:eastAsia="楷体_GB2312" w:cs="楷体_GB2312"/>
          <w:sz w:val="24"/>
          <w:szCs w:val="24"/>
        </w:rPr>
        <w:t>和相关中介机构应对异议情况进行披露。</w:t>
      </w:r>
    </w:p>
    <w:p>
      <w:pPr>
        <w:pStyle w:val="2"/>
        <w:keepNext w:val="0"/>
        <w:keepLines w:val="0"/>
        <w:pageBreakBefore w:val="0"/>
        <w:widowControl w:val="0"/>
        <w:kinsoku/>
        <w:wordWrap/>
        <w:overflowPunct/>
        <w:topLinePunct w:val="0"/>
        <w:bidi w:val="0"/>
        <w:snapToGrid/>
        <w:spacing w:before="157" w:beforeLines="50" w:after="157" w:afterLines="50" w:line="240" w:lineRule="atLeast"/>
        <w:jc w:val="both"/>
        <w:textAlignment w:val="auto"/>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sz w:val="24"/>
          <w:szCs w:val="24"/>
          <w:lang w:val="en-US" w:eastAsia="zh-CN"/>
        </w:rPr>
        <w:t>14.7</w:t>
      </w:r>
      <w:r>
        <w:rPr>
          <w:rFonts w:hint="eastAsia" w:ascii="楷体_GB2312" w:hAnsi="楷体_GB2312" w:eastAsia="楷体_GB2312" w:cs="楷体_GB2312"/>
          <w:kern w:val="0"/>
          <w:sz w:val="24"/>
          <w:szCs w:val="24"/>
          <w:lang w:val="en-US" w:eastAsia="zh-CN" w:bidi="ar-SA"/>
        </w:rPr>
        <w:t>对预测性信息的陈述是基于定向发行协议签署日的事件或信息，并基于当前的预期、假设、估计和预测，不存在误导投资人的故意。请投资人注意预测性存在固有的风险和不确定性，许多因素可能导致预测和实际结果存在偏差。投资人不应过度依赖前瞻性陈述。</w:t>
      </w:r>
    </w:p>
    <w:p>
      <w:pPr>
        <w:pStyle w:val="2"/>
        <w:keepNext w:val="0"/>
        <w:keepLines w:val="0"/>
        <w:pageBreakBefore w:val="0"/>
        <w:widowControl w:val="0"/>
        <w:kinsoku/>
        <w:wordWrap/>
        <w:overflowPunct/>
        <w:topLinePunct w:val="0"/>
        <w:bidi w:val="0"/>
        <w:snapToGrid/>
        <w:spacing w:before="157" w:beforeLines="50" w:after="157" w:afterLines="50" w:line="240" w:lineRule="atLeast"/>
        <w:jc w:val="both"/>
        <w:textAlignment w:val="auto"/>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sz w:val="24"/>
          <w:szCs w:val="24"/>
          <w:lang w:val="en-US" w:eastAsia="zh-CN"/>
        </w:rPr>
        <w:t>14.8</w:t>
      </w:r>
      <w:r>
        <w:rPr>
          <w:rFonts w:hint="eastAsia" w:ascii="楷体_GB2312" w:hAnsi="楷体_GB2312" w:eastAsia="楷体_GB2312" w:cs="楷体_GB2312"/>
          <w:kern w:val="0"/>
          <w:sz w:val="24"/>
          <w:szCs w:val="24"/>
          <w:lang w:val="en-US" w:eastAsia="zh-CN" w:bidi="ar-SA"/>
        </w:rPr>
        <w:t>发起机构、发行载体管理机构根据法律法规的规定、交易商协会相关自律规则的规定和本定向发行协议的约定履行义务，接受定向投资人监督，不因定向投资人和定向资产支持商业票据持有人的变化影响上述义务的履行。</w:t>
      </w:r>
    </w:p>
    <w:p>
      <w:pPr>
        <w:pStyle w:val="2"/>
        <w:keepNext w:val="0"/>
        <w:keepLines w:val="0"/>
        <w:pageBreakBefore w:val="0"/>
        <w:widowControl w:val="0"/>
        <w:kinsoku/>
        <w:wordWrap/>
        <w:overflowPunct/>
        <w:topLinePunct w:val="0"/>
        <w:bidi w:val="0"/>
        <w:snapToGrid/>
        <w:spacing w:before="157" w:beforeLines="50" w:after="157" w:afterLines="50" w:line="240" w:lineRule="atLeast"/>
        <w:jc w:val="both"/>
        <w:textAlignment w:val="auto"/>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sz w:val="24"/>
          <w:szCs w:val="24"/>
          <w:lang w:val="en-US" w:eastAsia="zh-CN"/>
        </w:rPr>
        <w:t>14.9</w:t>
      </w:r>
      <w:r>
        <w:rPr>
          <w:rFonts w:hint="eastAsia" w:ascii="楷体_GB2312" w:hAnsi="楷体_GB2312" w:eastAsia="楷体_GB2312" w:cs="楷体_GB2312"/>
          <w:kern w:val="0"/>
          <w:sz w:val="24"/>
          <w:szCs w:val="24"/>
          <w:lang w:val="en-US" w:eastAsia="zh-CN" w:bidi="ar-SA"/>
        </w:rPr>
        <w:t>截至本定向发行协议签署日，除已披露信息外，无其他影响兑付本期资产支持商业票据的重大事项。</w:t>
      </w:r>
    </w:p>
    <w:p>
      <w:pPr>
        <w:pStyle w:val="2"/>
        <w:keepNext w:val="0"/>
        <w:keepLines w:val="0"/>
        <w:pageBreakBefore w:val="0"/>
        <w:widowControl w:val="0"/>
        <w:kinsoku/>
        <w:wordWrap/>
        <w:overflowPunct/>
        <w:topLinePunct w:val="0"/>
        <w:bidi w:val="0"/>
        <w:snapToGrid/>
        <w:spacing w:before="157" w:beforeLines="50" w:after="157" w:afterLines="50" w:line="240" w:lineRule="atLeast"/>
        <w:jc w:val="both"/>
        <w:textAlignment w:val="auto"/>
        <w:rPr>
          <w:rFonts w:hint="eastAsia" w:ascii="楷体_GB2312" w:hAnsi="楷体_GB2312" w:eastAsia="楷体_GB2312" w:cs="楷体_GB2312"/>
          <w:kern w:val="0"/>
          <w:sz w:val="24"/>
          <w:szCs w:val="24"/>
          <w:lang w:val="en-US" w:eastAsia="zh-CN" w:bidi="ar-SA"/>
        </w:rPr>
      </w:pPr>
      <w:r>
        <w:rPr>
          <w:rFonts w:hint="eastAsia" w:ascii="楷体_GB2312" w:hAnsi="楷体_GB2312" w:eastAsia="楷体_GB2312" w:cs="楷体_GB2312"/>
          <w:sz w:val="24"/>
          <w:szCs w:val="24"/>
          <w:lang w:val="en-US" w:eastAsia="zh-CN"/>
        </w:rPr>
        <w:t>14.10</w:t>
      </w:r>
      <w:r>
        <w:rPr>
          <w:rFonts w:hint="eastAsia" w:ascii="楷体_GB2312" w:hAnsi="楷体_GB2312" w:eastAsia="楷体_GB2312" w:cs="楷体_GB2312"/>
          <w:kern w:val="0"/>
          <w:sz w:val="24"/>
          <w:szCs w:val="24"/>
          <w:lang w:val="en-US" w:eastAsia="zh-CN" w:bidi="ar-SA"/>
        </w:rPr>
        <w:t>本定向发行协议索引内容，投资人可通过规定的信息披露渠道查阅定向发行协议、存续期信息披露等文件</w:t>
      </w:r>
      <w:r>
        <w:rPr>
          <w:rStyle w:val="48"/>
          <w:rFonts w:hint="eastAsia" w:ascii="楷体_GB2312" w:hAnsi="楷体_GB2312" w:eastAsia="楷体_GB2312" w:cs="楷体_GB2312"/>
          <w:kern w:val="0"/>
          <w:sz w:val="24"/>
          <w:szCs w:val="24"/>
          <w:lang w:val="en-US" w:eastAsia="zh-CN"/>
        </w:rPr>
        <w:footnoteReference w:id="65"/>
      </w:r>
      <w:r>
        <w:rPr>
          <w:rFonts w:hint="eastAsia" w:ascii="楷体_GB2312" w:hAnsi="楷体_GB2312" w:eastAsia="楷体_GB2312" w:cs="楷体_GB2312"/>
          <w:kern w:val="0"/>
          <w:sz w:val="24"/>
          <w:szCs w:val="24"/>
          <w:lang w:val="en-US" w:eastAsia="zh-CN" w:bidi="ar-SA"/>
        </w:rPr>
        <w:t>，相关文件链接已在对应章节进行披露。索引内容也是定向发行协议的组成部分，发起机构、发行载体管理机构、中介机构及相关人员应当对其承担相应的法律责任。</w:t>
      </w:r>
    </w:p>
    <w:p>
      <w:pPr>
        <w:pStyle w:val="2"/>
        <w:keepNext w:val="0"/>
        <w:keepLines w:val="0"/>
        <w:pageBreakBefore w:val="0"/>
        <w:widowControl w:val="0"/>
        <w:kinsoku/>
        <w:wordWrap/>
        <w:overflowPunct/>
        <w:topLinePunct w:val="0"/>
        <w:bidi w:val="0"/>
        <w:spacing w:before="157" w:beforeLines="50" w:after="157" w:afterLines="50" w:line="240" w:lineRule="atLeast"/>
        <w:jc w:val="both"/>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14.</w:t>
      </w:r>
      <w:r>
        <w:rPr>
          <w:rFonts w:hint="eastAsia" w:ascii="楷体_GB2312" w:hAnsi="楷体_GB2312" w:eastAsia="楷体_GB2312" w:cs="楷体_GB2312"/>
          <w:sz w:val="24"/>
          <w:szCs w:val="24"/>
          <w:lang w:val="en-US" w:eastAsia="zh-CN"/>
        </w:rPr>
        <w:t>11</w:t>
      </w:r>
      <w:r>
        <w:rPr>
          <w:rFonts w:hint="eastAsia" w:ascii="楷体_GB2312" w:hAnsi="楷体_GB2312" w:eastAsia="楷体_GB2312" w:cs="楷体_GB2312"/>
          <w:sz w:val="24"/>
          <w:szCs w:val="24"/>
        </w:rPr>
        <w:t>发行载体管理机构声明：发行载体管理机构</w:t>
      </w:r>
      <w:r>
        <w:rPr>
          <w:rFonts w:hint="eastAsia" w:ascii="楷体_GB2312" w:hAnsi="楷体_GB2312" w:eastAsia="楷体_GB2312" w:cs="楷体_GB2312"/>
          <w:sz w:val="24"/>
          <w:szCs w:val="24"/>
          <w:lang w:val="en-US" w:eastAsia="zh-CN"/>
        </w:rPr>
        <w:t>及时、公平地履行信息披露</w:t>
      </w:r>
      <w:r>
        <w:rPr>
          <w:rFonts w:hint="eastAsia" w:ascii="楷体_GB2312" w:hAnsi="楷体_GB2312" w:eastAsia="楷体_GB2312" w:cs="楷体_GB2312"/>
          <w:sz w:val="24"/>
          <w:szCs w:val="24"/>
        </w:rPr>
        <w:t>义务</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保证定向发行协议信息披露的真实、准确、完整，不存在虚假记载、误导性陈述或重大遗漏。</w:t>
      </w:r>
      <w:r>
        <w:rPr>
          <w:rFonts w:hint="eastAsia" w:ascii="楷体_GB2312" w:hAnsi="楷体_GB2312" w:eastAsia="楷体_GB2312" w:cs="楷体_GB2312"/>
          <w:kern w:val="0"/>
          <w:sz w:val="24"/>
          <w:szCs w:val="24"/>
        </w:rPr>
        <w:t>未按照规定履行信息披露义务或所披露信息存在虚假记载、误导性陈述或重大遗漏，给定向资产支持商业票据投资人造成损失的，依法承担赔偿责任。</w:t>
      </w:r>
      <w:r>
        <w:rPr>
          <w:rFonts w:hint="eastAsia" w:ascii="楷体_GB2312" w:hAnsi="楷体_GB2312" w:eastAsia="楷体_GB2312" w:cs="楷体_GB2312"/>
          <w:sz w:val="24"/>
          <w:szCs w:val="24"/>
        </w:rPr>
        <w:t>截至</w:t>
      </w:r>
      <w:r>
        <w:rPr>
          <w:rFonts w:hint="eastAsia" w:ascii="楷体_GB2312" w:hAnsi="楷体_GB2312" w:eastAsia="楷体_GB2312" w:cs="楷体_GB2312"/>
          <w:sz w:val="24"/>
          <w:szCs w:val="24"/>
          <w:lang w:eastAsia="zh-CN"/>
        </w:rPr>
        <w:t>定向发行协议</w:t>
      </w:r>
      <w:r>
        <w:rPr>
          <w:rFonts w:hint="eastAsia" w:ascii="楷体_GB2312" w:hAnsi="楷体_GB2312" w:eastAsia="楷体_GB2312" w:cs="楷体_GB2312"/>
          <w:sz w:val="24"/>
          <w:szCs w:val="24"/>
        </w:rPr>
        <w:t>签署日，除已披露信息外，无其他对投资价值及投资决策判断有重要影响的重大事项。</w:t>
      </w: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仅代表信托权益的相应份额，不属于发行载体管理机构的负债。认购或受让</w:t>
      </w: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的投资者，视为作为受益人接受本</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项下《信托合同》的全部约定。发起机构、发行载体管理机构、保管银行及其他业务参与人因依法解散、被依法撤销或者宣告破产等原因进行清算的，信托资产不属于其清算资产。</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14.</w:t>
      </w:r>
      <w:r>
        <w:rPr>
          <w:rFonts w:hint="eastAsia" w:ascii="楷体_GB2312" w:hAnsi="楷体_GB2312" w:eastAsia="楷体_GB2312" w:cs="楷体_GB2312"/>
          <w:sz w:val="24"/>
          <w:szCs w:val="24"/>
          <w:lang w:val="en-US" w:eastAsia="zh-CN"/>
        </w:rPr>
        <w:t>12</w:t>
      </w:r>
      <w:r>
        <w:rPr>
          <w:rFonts w:hint="eastAsia" w:ascii="楷体_GB2312" w:hAnsi="楷体_GB2312" w:eastAsia="楷体_GB2312" w:cs="楷体_GB2312"/>
          <w:sz w:val="24"/>
          <w:szCs w:val="24"/>
        </w:rPr>
        <w:t>定向投资人声明：定向投资人购买本协议项下</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应当认真阅读本定向发行协议（含定向信息披露文件），对信息披露的真实性、准确性、完整性和及时性进行独立分析，并据以独立判断投资价值，自行承担与其有关的任何投资风险。凡通过认购、受让等合法手段自愿取得并持有本协议项下</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的定向投资人，均视同了解本协议项下</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风险特征和投资流程，具有承担该</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投资风险的意愿和能力，自愿接受交易商协会自律管理，同意发起机构及主承销商按照相关规则遴选增加定向投资人，认可发起机构信息披露标准和频率，了解、愿意并有能力承担</w:t>
      </w:r>
      <w:r>
        <w:rPr>
          <w:rFonts w:hint="eastAsia" w:ascii="楷体_GB2312" w:hAnsi="楷体_GB2312" w:eastAsia="楷体_GB2312" w:cs="楷体_GB2312"/>
          <w:sz w:val="24"/>
          <w:szCs w:val="24"/>
          <w:lang w:val="en-US" w:eastAsia="zh-CN"/>
        </w:rPr>
        <w:t>本期</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投资风险，自愿接受交易商协会自律管理。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tLeast"/>
        <w:ind w:firstLine="600" w:firstLineChars="25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14.</w:t>
      </w:r>
      <w:r>
        <w:rPr>
          <w:rFonts w:hint="eastAsia" w:ascii="楷体_GB2312" w:hAnsi="楷体_GB2312" w:eastAsia="楷体_GB2312" w:cs="楷体_GB2312"/>
          <w:sz w:val="24"/>
          <w:szCs w:val="24"/>
          <w:lang w:val="en-US" w:eastAsia="zh-CN"/>
        </w:rPr>
        <w:t>13</w:t>
      </w:r>
      <w:r>
        <w:rPr>
          <w:rFonts w:hint="eastAsia" w:ascii="楷体_GB2312" w:hAnsi="楷体_GB2312" w:eastAsia="楷体_GB2312" w:cs="楷体_GB2312"/>
          <w:sz w:val="24"/>
          <w:szCs w:val="24"/>
        </w:rPr>
        <w:t>协议签署各方一致同意，上述声明、保证和承诺是本定向发行协议的组成部分，对声明各方具有不可撤销的法律约束力。</w:t>
      </w:r>
    </w:p>
    <w:p>
      <w:pPr>
        <w:keepNext w:val="0"/>
        <w:keepLines w:val="0"/>
        <w:pageBreakBefore w:val="0"/>
        <w:widowControl w:val="0"/>
        <w:kinsoku/>
        <w:wordWrap/>
        <w:overflowPunct/>
        <w:topLinePunct w:val="0"/>
        <w:autoSpaceDE/>
        <w:autoSpaceDN/>
        <w:bidi w:val="0"/>
        <w:spacing w:before="157" w:beforeLines="50" w:after="157" w:afterLines="50" w:line="240" w:lineRule="atLeast"/>
        <w:jc w:val="both"/>
        <w:textAlignment w:val="auto"/>
        <w:outlineLvl w:val="9"/>
        <w:rPr>
          <w:rFonts w:hint="eastAsia" w:ascii="楷体_GB2312" w:hAnsi="楷体_GB2312" w:eastAsia="楷体_GB2312" w:cs="楷体_GB2312"/>
          <w:sz w:val="24"/>
          <w:szCs w:val="24"/>
        </w:rPr>
      </w:pPr>
      <w:bookmarkStart w:id="4135" w:name="_Toc351119930"/>
      <w:bookmarkStart w:id="4136" w:name="_Toc10532"/>
      <w:bookmarkStart w:id="4137" w:name="_Toc260324683"/>
      <w:bookmarkStart w:id="4138" w:name="_Toc21553"/>
      <w:bookmarkStart w:id="4139" w:name="_Toc2745"/>
      <w:bookmarkStart w:id="4140" w:name="_Toc277271603"/>
      <w:bookmarkStart w:id="4141" w:name="_Toc350439630"/>
      <w:bookmarkStart w:id="4142" w:name="_Toc21192"/>
      <w:bookmarkStart w:id="4143" w:name="_Toc351124254"/>
      <w:bookmarkStart w:id="4144" w:name="_Toc351119931"/>
      <w:bookmarkStart w:id="4145" w:name="_Toc350434236"/>
      <w:bookmarkStart w:id="4146" w:name="_Toc3581"/>
      <w:bookmarkStart w:id="4147" w:name="_Toc5184"/>
      <w:bookmarkStart w:id="4148" w:name="_Toc30139"/>
      <w:bookmarkStart w:id="4149" w:name="_Toc350434237"/>
      <w:bookmarkStart w:id="4150" w:name="_Toc484693564"/>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151" w:name="_Toc6343"/>
      <w:bookmarkStart w:id="4152" w:name="_Toc5727"/>
      <w:bookmarkStart w:id="4153" w:name="_Toc28800"/>
      <w:r>
        <w:rPr>
          <w:rFonts w:hint="eastAsia" w:ascii="楷体_GB2312" w:hAnsi="楷体_GB2312" w:eastAsia="楷体_GB2312" w:cs="楷体_GB2312"/>
          <w:b/>
          <w:bCs/>
          <w:kern w:val="0"/>
          <w:sz w:val="30"/>
          <w:szCs w:val="30"/>
        </w:rPr>
        <w:t>第</w:t>
      </w:r>
      <w:bookmarkStart w:id="4154" w:name="_Toc352070935"/>
      <w:r>
        <w:rPr>
          <w:rFonts w:hint="eastAsia" w:ascii="楷体_GB2312" w:hAnsi="楷体_GB2312" w:eastAsia="楷体_GB2312" w:cs="楷体_GB2312"/>
          <w:b/>
          <w:bCs/>
          <w:kern w:val="0"/>
          <w:sz w:val="30"/>
          <w:szCs w:val="30"/>
        </w:rPr>
        <w:t>十五条 协议的签署和生效</w:t>
      </w:r>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p>
    <w:bookmarkEnd w:id="4154"/>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15.1 本协议的生效应同时满足下述条件：</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15.1.1本协议经协议签署各方法定代表人或授权代理人签字并加盖公章。</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15.1.2 本协议项下的</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已在交易商协会注册。</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15.2本协议正本壹式若干份，本协议签署各方各持</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份并按交易商协会相关自律规则报送规定份数的协议正本，各份具有同等的法律效力，约定协议签署各方应持有的协议份数及协议不一致时的处理方法。</w:t>
      </w:r>
    </w:p>
    <w:p>
      <w:pPr>
        <w:keepNext w:val="0"/>
        <w:keepLines w:val="0"/>
        <w:pageBreakBefore w:val="0"/>
        <w:widowControl w:val="0"/>
        <w:tabs>
          <w:tab w:val="left" w:pos="720"/>
          <w:tab w:val="left" w:pos="1134"/>
        </w:tabs>
        <w:kinsoku/>
        <w:wordWrap/>
        <w:overflowPunct/>
        <w:topLinePunct w:val="0"/>
        <w:autoSpaceDE/>
        <w:autoSpaceDN/>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155" w:name="_Toc32542"/>
      <w:bookmarkStart w:id="4156" w:name="_Toc484693565"/>
      <w:bookmarkStart w:id="4157" w:name="_Toc7451"/>
      <w:bookmarkStart w:id="4158" w:name="_Toc8648"/>
      <w:bookmarkStart w:id="4159" w:name="_Toc9749"/>
      <w:bookmarkStart w:id="4160" w:name="_Toc26351"/>
      <w:bookmarkStart w:id="4161" w:name="_Toc31132"/>
      <w:bookmarkStart w:id="4162" w:name="_Toc26573"/>
      <w:bookmarkStart w:id="4163" w:name="_Toc24276"/>
      <w:bookmarkStart w:id="4164" w:name="_Toc24844"/>
      <w:bookmarkStart w:id="4165" w:name="_Toc4579"/>
      <w:r>
        <w:rPr>
          <w:rFonts w:hint="eastAsia" w:ascii="楷体_GB2312" w:hAnsi="楷体_GB2312" w:eastAsia="楷体_GB2312" w:cs="楷体_GB2312"/>
          <w:b/>
          <w:bCs/>
          <w:kern w:val="0"/>
          <w:sz w:val="30"/>
          <w:szCs w:val="30"/>
        </w:rPr>
        <w:t>第十六条 协议的变更与终止</w:t>
      </w:r>
      <w:bookmarkEnd w:id="4155"/>
      <w:bookmarkEnd w:id="4156"/>
      <w:bookmarkEnd w:id="4157"/>
      <w:bookmarkEnd w:id="4158"/>
      <w:bookmarkEnd w:id="4159"/>
      <w:bookmarkEnd w:id="4160"/>
      <w:bookmarkEnd w:id="4161"/>
      <w:bookmarkEnd w:id="4162"/>
      <w:bookmarkEnd w:id="4163"/>
      <w:bookmarkEnd w:id="4164"/>
      <w:bookmarkEnd w:id="4165"/>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16.1协议签署各方一致同意，本协议项下的</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在注册后，关于本协议正文的任何变更，在不违反中华人民共和国（为本协议之目的，不包括香港特别行政区、澳门特别行政区和台湾地区）法律（不包括冲突法规则）和交易商协会自律规则的前提下，应由协议签署各方以签署补充协议的形式进行变更，并按交易商协会相关自律规则进行报备。补充协议不得修改或排除本协议的下述内容：</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16.1.1 第二条“协议的构成与效力等级”；</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16.1.2 第十三条“声明、保证和承诺”；</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16.1.3 第十四条“协议的签署和生效”；</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16.1.4 第十五条“协议的变更和终止”；</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16.1.5 第十七条第17.1款、第17.3款和第17.4款。</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16.2 本协议项下的</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在注册后至信托生效前，关于</w:t>
      </w:r>
      <w:r>
        <w:rPr>
          <w:rFonts w:hint="eastAsia" w:ascii="楷体_GB2312" w:hAnsi="楷体_GB2312" w:eastAsia="楷体_GB2312" w:cs="楷体_GB2312"/>
          <w:sz w:val="24"/>
          <w:szCs w:val="24"/>
          <w:lang w:eastAsia="zh-CN"/>
        </w:rPr>
        <w:t>定向发行协议</w:t>
      </w:r>
      <w:r>
        <w:rPr>
          <w:rFonts w:hint="eastAsia" w:ascii="楷体_GB2312" w:hAnsi="楷体_GB2312" w:eastAsia="楷体_GB2312" w:cs="楷体_GB2312"/>
          <w:sz w:val="24"/>
          <w:szCs w:val="24"/>
        </w:rPr>
        <w:t>正文的任何变更，应由协议签署各方以签署补充协议的形式进行变更，并按交易商协会相关自律规则进行备案，按本协议相关约定向定向投资人披露。</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16.3 本协议项下的</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在注册后至信托生效前，关于定向信息披露文件的任何变更（包括但不限于发行条款、募集资金用途的变更），应通过综合服务平台将变更后的定向信息披露文件及时告知定向投资人并向交易商协会备案。存续期内变更定向信息披露文件（包括但不限于募集资金用途变更），按照《信息披露规则》等相关自律规则要求及本协议约定向定向投资人进行披露。定向信息披露文件内容前后不一致的，以最新披露的补充信息披露文件为准。</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16.4 本协议项下的</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在发行后（即信托生效后），对</w:t>
      </w:r>
      <w:r>
        <w:rPr>
          <w:rFonts w:hint="eastAsia" w:ascii="楷体_GB2312" w:hAnsi="楷体_GB2312" w:eastAsia="楷体_GB2312" w:cs="楷体_GB2312"/>
          <w:sz w:val="24"/>
          <w:szCs w:val="24"/>
          <w:lang w:eastAsia="zh-CN"/>
        </w:rPr>
        <w:t>定向发行协议</w:t>
      </w:r>
      <w:r>
        <w:rPr>
          <w:rFonts w:hint="eastAsia" w:ascii="楷体_GB2312" w:hAnsi="楷体_GB2312" w:eastAsia="楷体_GB2312" w:cs="楷体_GB2312"/>
          <w:sz w:val="24"/>
          <w:szCs w:val="24"/>
        </w:rPr>
        <w:t>正文的任何变更，应由通过认购、受让等合法手段自愿取得并持有各期</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的定向投资人以签署补充协议的形式进行变更并按交易商协会相关自律规则备案，同时按本协议相关约定向定向投资人披露。</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16.5 本协议到期日以各方在本协议项下的全部权利义务关系终止为准。</w:t>
      </w:r>
    </w:p>
    <w:p>
      <w:pPr>
        <w:keepNext w:val="0"/>
        <w:keepLines w:val="0"/>
        <w:pageBreakBefore w:val="0"/>
        <w:widowControl w:val="0"/>
        <w:kinsoku/>
        <w:wordWrap/>
        <w:overflowPunct/>
        <w:topLinePunct w:val="0"/>
        <w:autoSpaceDE/>
        <w:autoSpaceDN/>
        <w:bidi w:val="0"/>
        <w:spacing w:before="157" w:beforeLines="50" w:after="157" w:afterLines="50" w:line="240" w:lineRule="atLeast"/>
        <w:textAlignment w:val="auto"/>
        <w:rPr>
          <w:rFonts w:hint="eastAsia" w:ascii="楷体_GB2312" w:hAnsi="楷体_GB2312" w:eastAsia="楷体_GB2312" w:cs="楷体_GB2312"/>
          <w:sz w:val="24"/>
          <w:szCs w:val="24"/>
        </w:rPr>
      </w:pPr>
      <w:bookmarkStart w:id="4166" w:name="_Toc484693566"/>
      <w:bookmarkStart w:id="4167" w:name="_Toc2014"/>
      <w:bookmarkStart w:id="4168" w:name="_Toc1081"/>
      <w:bookmarkStart w:id="4169" w:name="_Toc17844"/>
      <w:bookmarkStart w:id="4170" w:name="_Toc26628"/>
      <w:bookmarkStart w:id="4171" w:name="_Toc19988"/>
      <w:bookmarkStart w:id="4172" w:name="_Toc22941"/>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173" w:name="_Toc31143"/>
      <w:bookmarkStart w:id="4174" w:name="_Toc14187"/>
      <w:bookmarkStart w:id="4175" w:name="_Toc25489"/>
      <w:bookmarkStart w:id="4176" w:name="_Toc14523"/>
      <w:r>
        <w:rPr>
          <w:rFonts w:hint="eastAsia" w:ascii="楷体_GB2312" w:hAnsi="楷体_GB2312" w:eastAsia="楷体_GB2312" w:cs="楷体_GB2312"/>
          <w:b/>
          <w:bCs/>
          <w:kern w:val="0"/>
          <w:sz w:val="30"/>
          <w:szCs w:val="30"/>
        </w:rPr>
        <w:t>第十七条 争议的解决</w:t>
      </w:r>
      <w:bookmarkEnd w:id="4166"/>
      <w:bookmarkEnd w:id="4167"/>
      <w:bookmarkEnd w:id="4168"/>
      <w:bookmarkEnd w:id="4169"/>
      <w:bookmarkEnd w:id="4170"/>
      <w:bookmarkEnd w:id="4171"/>
      <w:bookmarkEnd w:id="4172"/>
      <w:bookmarkEnd w:id="4173"/>
      <w:bookmarkEnd w:id="4174"/>
      <w:bookmarkEnd w:id="4175"/>
      <w:bookmarkEnd w:id="4176"/>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17.1本协议受中华人民共和国（为本协议之目的，不包括香港特别行政区、澳门特别行政区和台湾地区）法律（不包括冲突法规则）管辖，并按其解释。</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17.2本协议签署各方应首先通过协商方式解决各方之间在本协议下或与本协议相关的任何争议；若各方不进行协商或在协商开始后</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个工作日内无法达成一致意见，则各方一致同意选择</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仲裁/诉讼</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方式解决争端。</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17.3若协议签署各方选择以仲裁方式解决争端，任何一方均有权将争议提交中国国际经济贸易仲裁委员会按照届时有效的《中国国际经济贸易仲裁委员会仲裁规则》在北京市以仲裁方式解决，仲裁裁决是终局的，对协议各方具有约束力。若各方另行约定其他仲裁机构解决争端或约定其他仲裁地点，该其他仲裁机构应是在中华人民共和国（为本协议之目的，不包括香港特别行政区、澳门特别行政区及台湾地区）境内合法登记或设立的仲裁机构，仲裁地点应位于中华人民共和国（为本协议之目的，不包括香港特别行政区、澳门特别行政区及台湾地区）境内。</w:t>
      </w:r>
    </w:p>
    <w:p>
      <w:pPr>
        <w:keepNext w:val="0"/>
        <w:keepLines w:val="0"/>
        <w:pageBreakBefore w:val="0"/>
        <w:widowControl w:val="0"/>
        <w:tabs>
          <w:tab w:val="left" w:pos="0"/>
          <w:tab w:val="left" w:pos="540"/>
          <w:tab w:val="left" w:pos="900"/>
          <w:tab w:val="left" w:pos="1080"/>
          <w:tab w:val="left" w:pos="1260"/>
          <w:tab w:val="left" w:pos="1440"/>
        </w:tabs>
        <w:kinsoku/>
        <w:wordWrap/>
        <w:overflowPunct/>
        <w:topLinePunct w:val="0"/>
        <w:autoSpaceDE/>
        <w:autoSpaceDN/>
        <w:bidi w:val="0"/>
        <w:snapToGrid w:val="0"/>
        <w:spacing w:before="157" w:beforeLines="50" w:after="157" w:afterLines="50" w:line="240" w:lineRule="atLeast"/>
        <w:ind w:firstLine="432" w:firstLineChars="18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17.4若协议各方另行约定不采用仲裁而采用诉讼方式解决争端，则任何一方只能按中华人民共和国（为本协议之目的，不包括香港特别行政区、澳门特别行政区和台湾地区）法律（不包括冲突法规则）向中国人民共和国（为本协议之目的，不包括香港特别行政区、澳门特别行政区和台湾地区）境内的人民法院提起诉讼。</w:t>
      </w:r>
    </w:p>
    <w:p>
      <w:pPr>
        <w:keepNext w:val="0"/>
        <w:keepLines w:val="0"/>
        <w:pageBreakBefore w:val="0"/>
        <w:widowControl w:val="0"/>
        <w:tabs>
          <w:tab w:val="left" w:pos="720"/>
          <w:tab w:val="left" w:pos="1134"/>
        </w:tabs>
        <w:kinsoku/>
        <w:wordWrap/>
        <w:overflowPunct/>
        <w:topLinePunct w:val="0"/>
        <w:autoSpaceDE/>
        <w:autoSpaceDN/>
        <w:bidi w:val="0"/>
        <w:adjustRightInd w:val="0"/>
        <w:snapToGrid w:val="0"/>
        <w:spacing w:before="157" w:beforeLines="50" w:after="157" w:afterLines="50" w:line="240" w:lineRule="atLeast"/>
        <w:ind w:firstLine="480" w:firstLineChars="200"/>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17.5针对本协议任何争议条款所进行的仲裁或诉讼不影响本协议其他条款的效力和继续履行。</w:t>
      </w:r>
    </w:p>
    <w:p>
      <w:pPr>
        <w:keepNext w:val="0"/>
        <w:keepLines w:val="0"/>
        <w:pageBreakBefore w:val="0"/>
        <w:widowControl w:val="0"/>
        <w:tabs>
          <w:tab w:val="left" w:pos="720"/>
          <w:tab w:val="left" w:pos="1134"/>
        </w:tabs>
        <w:kinsoku/>
        <w:wordWrap/>
        <w:overflowPunct/>
        <w:topLinePunct w:val="0"/>
        <w:autoSpaceDE/>
        <w:autoSpaceDN/>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br w:type="page"/>
      </w: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center"/>
        <w:textAlignment w:val="auto"/>
        <w:outlineLvl w:val="1"/>
        <w:rPr>
          <w:rFonts w:hint="eastAsia" w:ascii="楷体_GB2312" w:hAnsi="楷体_GB2312" w:eastAsia="楷体_GB2312" w:cs="楷体_GB2312"/>
          <w:b/>
          <w:bCs/>
          <w:kern w:val="0"/>
          <w:sz w:val="30"/>
          <w:szCs w:val="30"/>
        </w:rPr>
      </w:pPr>
      <w:bookmarkStart w:id="4177" w:name="_Toc6958"/>
      <w:bookmarkStart w:id="4178" w:name="_Toc7636"/>
      <w:bookmarkStart w:id="4179" w:name="_Toc15018"/>
      <w:bookmarkStart w:id="4180" w:name="_Toc11123"/>
      <w:bookmarkStart w:id="4181" w:name="_Toc20997"/>
      <w:bookmarkStart w:id="4182" w:name="_Toc21083"/>
      <w:bookmarkStart w:id="4183" w:name="_Toc1178"/>
      <w:bookmarkStart w:id="4184" w:name="_Toc14008"/>
      <w:bookmarkStart w:id="4185" w:name="_Toc484693567"/>
      <w:bookmarkStart w:id="4186" w:name="_Toc132"/>
      <w:bookmarkStart w:id="4187" w:name="_Toc28528"/>
      <w:r>
        <w:rPr>
          <w:rFonts w:hint="eastAsia" w:ascii="楷体_GB2312" w:hAnsi="楷体_GB2312" w:eastAsia="楷体_GB2312" w:cs="楷体_GB2312"/>
          <w:b/>
          <w:bCs/>
          <w:kern w:val="0"/>
          <w:sz w:val="30"/>
          <w:szCs w:val="30"/>
        </w:rPr>
        <w:t>第十八条 附则</w:t>
      </w:r>
      <w:bookmarkEnd w:id="4177"/>
      <w:bookmarkEnd w:id="4178"/>
      <w:bookmarkEnd w:id="4179"/>
      <w:bookmarkEnd w:id="4180"/>
      <w:bookmarkEnd w:id="4181"/>
      <w:bookmarkEnd w:id="4182"/>
      <w:bookmarkEnd w:id="4183"/>
      <w:bookmarkEnd w:id="4184"/>
      <w:bookmarkEnd w:id="4185"/>
      <w:bookmarkEnd w:id="4186"/>
      <w:bookmarkEnd w:id="4187"/>
    </w:p>
    <w:p>
      <w:pPr>
        <w:pStyle w:val="16"/>
        <w:keepNext w:val="0"/>
        <w:keepLines w:val="0"/>
        <w:pageBreakBefore w:val="0"/>
        <w:widowControl w:val="0"/>
        <w:tabs>
          <w:tab w:val="left" w:pos="900"/>
          <w:tab w:val="left" w:pos="1559"/>
        </w:tabs>
        <w:kinsoku/>
        <w:wordWrap/>
        <w:overflowPunct/>
        <w:topLinePunct w:val="0"/>
        <w:autoSpaceDE/>
        <w:autoSpaceDN/>
        <w:bidi w:val="0"/>
        <w:spacing w:before="157" w:beforeLines="50" w:after="157" w:afterLines="50" w:line="240" w:lineRule="atLeast"/>
        <w:ind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本协议包括以下附件：</w:t>
      </w:r>
    </w:p>
    <w:p>
      <w:pPr>
        <w:pStyle w:val="16"/>
        <w:keepNext w:val="0"/>
        <w:keepLines w:val="0"/>
        <w:pageBreakBefore w:val="0"/>
        <w:widowControl w:val="0"/>
        <w:tabs>
          <w:tab w:val="left" w:pos="900"/>
          <w:tab w:val="left" w:pos="1559"/>
        </w:tabs>
        <w:kinsoku/>
        <w:wordWrap/>
        <w:overflowPunct/>
        <w:topLinePunct w:val="0"/>
        <w:autoSpaceDE/>
        <w:autoSpaceDN/>
        <w:bidi w:val="0"/>
        <w:spacing w:before="157" w:beforeLines="50" w:after="157" w:afterLines="50" w:line="240" w:lineRule="atLeast"/>
        <w:ind w:firstLine="480" w:firstLineChars="200"/>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附件：</w:t>
      </w: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lang w:eastAsia="zh-CN"/>
        </w:rPr>
        <w:t>资产支持商业票据</w:t>
      </w:r>
      <w:r>
        <w:rPr>
          <w:rFonts w:hint="eastAsia" w:ascii="楷体_GB2312" w:hAnsi="楷体_GB2312" w:eastAsia="楷体_GB2312" w:cs="楷体_GB2312"/>
          <w:sz w:val="24"/>
          <w:szCs w:val="24"/>
        </w:rPr>
        <w:t>信息披露文件</w:t>
      </w:r>
    </w:p>
    <w:p>
      <w:pPr>
        <w:pStyle w:val="16"/>
        <w:keepNext w:val="0"/>
        <w:keepLines w:val="0"/>
        <w:pageBreakBefore w:val="0"/>
        <w:widowControl w:val="0"/>
        <w:tabs>
          <w:tab w:val="left" w:pos="900"/>
          <w:tab w:val="left" w:pos="1559"/>
        </w:tabs>
        <w:kinsoku/>
        <w:wordWrap/>
        <w:overflowPunct/>
        <w:topLinePunct w:val="0"/>
        <w:autoSpaceDE/>
        <w:autoSpaceDN/>
        <w:bidi w:val="0"/>
        <w:spacing w:before="157" w:beforeLines="50" w:after="157" w:afterLines="50" w:line="240" w:lineRule="atLeas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br w:type="page"/>
      </w:r>
      <w:r>
        <w:rPr>
          <w:rFonts w:hint="eastAsia" w:ascii="楷体_GB2312" w:hAnsi="楷体_GB2312" w:eastAsia="楷体_GB2312" w:cs="楷体_GB2312"/>
          <w:sz w:val="24"/>
          <w:szCs w:val="24"/>
        </w:rPr>
        <w:t>（本页为《</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公司【  】—【  】年度</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资产支持商业票据定向发行协议》之签字页，本页无正文）</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发起机构：</w:t>
      </w:r>
      <w:r>
        <w:rPr>
          <w:rFonts w:hint="eastAsia" w:ascii="楷体_GB2312" w:hAnsi="楷体_GB2312" w:eastAsia="楷体_GB2312" w:cs="楷体_GB2312"/>
          <w:spacing w:val="20"/>
          <w:sz w:val="24"/>
          <w:szCs w:val="24"/>
        </w:rPr>
        <w:t>公司</w:t>
      </w:r>
      <w:r>
        <w:rPr>
          <w:rFonts w:hint="eastAsia" w:ascii="楷体_GB2312" w:hAnsi="楷体_GB2312" w:eastAsia="楷体_GB2312" w:cs="楷体_GB2312"/>
          <w:sz w:val="24"/>
          <w:szCs w:val="24"/>
        </w:rPr>
        <w:t>（盖章）</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u w:val="single"/>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rPr>
        <w:t xml:space="preserve">法定代表人（或授权代表）：（签章） </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u w:val="single"/>
        </w:rPr>
      </w:pPr>
    </w:p>
    <w:p>
      <w:pPr>
        <w:keepNext w:val="0"/>
        <w:keepLines w:val="0"/>
        <w:pageBreakBefore w:val="0"/>
        <w:widowControl w:val="0"/>
        <w:tabs>
          <w:tab w:val="left" w:pos="720"/>
          <w:tab w:val="left" w:pos="1134"/>
        </w:tabs>
        <w:kinsoku/>
        <w:wordWrap/>
        <w:overflowPunct/>
        <w:topLinePunct w:val="0"/>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p>
    <w:p>
      <w:pPr>
        <w:keepNext w:val="0"/>
        <w:keepLines w:val="0"/>
        <w:pageBreakBefore w:val="0"/>
        <w:widowControl w:val="0"/>
        <w:tabs>
          <w:tab w:val="left" w:pos="720"/>
          <w:tab w:val="left" w:pos="1134"/>
        </w:tabs>
        <w:kinsoku/>
        <w:wordWrap/>
        <w:overflowPunct/>
        <w:topLinePunct w:val="0"/>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p>
    <w:p>
      <w:pPr>
        <w:keepNext w:val="0"/>
        <w:keepLines w:val="0"/>
        <w:pageBreakBefore w:val="0"/>
        <w:widowControl w:val="0"/>
        <w:tabs>
          <w:tab w:val="left" w:pos="720"/>
          <w:tab w:val="left" w:pos="1134"/>
        </w:tabs>
        <w:kinsoku/>
        <w:wordWrap/>
        <w:overflowPunct/>
        <w:topLinePunct w:val="0"/>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p>
    <w:p>
      <w:pPr>
        <w:keepNext w:val="0"/>
        <w:keepLines w:val="0"/>
        <w:pageBreakBefore w:val="0"/>
        <w:widowControl w:val="0"/>
        <w:tabs>
          <w:tab w:val="left" w:pos="720"/>
          <w:tab w:val="left" w:pos="1134"/>
        </w:tabs>
        <w:kinsoku/>
        <w:wordWrap/>
        <w:overflowPunct/>
        <w:topLinePunct w:val="0"/>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p>
    <w:p>
      <w:pPr>
        <w:keepNext w:val="0"/>
        <w:keepLines w:val="0"/>
        <w:pageBreakBefore w:val="0"/>
        <w:widowControl w:val="0"/>
        <w:tabs>
          <w:tab w:val="left" w:pos="720"/>
          <w:tab w:val="left" w:pos="1134"/>
        </w:tabs>
        <w:kinsoku/>
        <w:wordWrap/>
        <w:overflowPunct/>
        <w:topLinePunct w:val="0"/>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ind w:firstLine="360" w:firstLineChars="150"/>
        <w:jc w:val="righ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ind w:firstLine="360" w:firstLineChars="150"/>
        <w:jc w:val="righ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  】年【  】月【  】日</w:t>
      </w:r>
    </w:p>
    <w:p>
      <w:pPr>
        <w:keepNext w:val="0"/>
        <w:keepLines w:val="0"/>
        <w:pageBreakBefore w:val="0"/>
        <w:widowControl w:val="0"/>
        <w:tabs>
          <w:tab w:val="left" w:pos="720"/>
          <w:tab w:val="left" w:pos="1134"/>
        </w:tabs>
        <w:kinsoku/>
        <w:wordWrap/>
        <w:overflowPunct/>
        <w:topLinePunct w:val="0"/>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br w:type="page"/>
      </w:r>
      <w:r>
        <w:rPr>
          <w:rFonts w:hint="eastAsia" w:ascii="楷体_GB2312" w:hAnsi="楷体_GB2312" w:eastAsia="楷体_GB2312" w:cs="楷体_GB2312"/>
          <w:sz w:val="24"/>
          <w:szCs w:val="24"/>
        </w:rPr>
        <w:t>（本页为《</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公司【  】—【  】年度</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资产支持商业票据定向发行协议》之签字页，本页无正文）</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特定目的载体管理机构：公司（盖章）</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u w:val="single"/>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rPr>
        <w:t>法定代表人（或授权代表）：（签章）</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b/>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ind w:firstLine="240" w:firstLineChars="100"/>
        <w:jc w:val="righ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】年【  】月【  】日</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keepNext w:val="0"/>
        <w:keepLines w:val="0"/>
        <w:pageBreakBefore w:val="0"/>
        <w:widowControl w:val="0"/>
        <w:tabs>
          <w:tab w:val="left" w:pos="720"/>
          <w:tab w:val="left" w:pos="1134"/>
        </w:tabs>
        <w:kinsoku/>
        <w:wordWrap/>
        <w:overflowPunct/>
        <w:topLinePunct w:val="0"/>
        <w:bidi w:val="0"/>
        <w:adjustRightInd w:val="0"/>
        <w:snapToGrid w:val="0"/>
        <w:spacing w:before="157" w:beforeLines="50" w:after="157" w:afterLines="50" w:line="240" w:lineRule="atLeast"/>
        <w:jc w:val="both"/>
        <w:textAlignment w:val="auto"/>
        <w:rPr>
          <w:rFonts w:hint="eastAsia" w:ascii="楷体_GB2312" w:hAnsi="楷体_GB2312" w:eastAsia="楷体_GB2312" w:cs="楷体_GB2312"/>
          <w:sz w:val="24"/>
          <w:szCs w:val="24"/>
        </w:rPr>
      </w:pPr>
      <w:bookmarkStart w:id="4188" w:name="_Toc484693568"/>
      <w:r>
        <w:rPr>
          <w:rFonts w:hint="eastAsia" w:ascii="楷体_GB2312" w:hAnsi="楷体_GB2312" w:eastAsia="楷体_GB2312" w:cs="楷体_GB2312"/>
          <w:sz w:val="24"/>
          <w:szCs w:val="24"/>
        </w:rPr>
        <w:br w:type="page"/>
      </w:r>
      <w:r>
        <w:rPr>
          <w:rFonts w:hint="eastAsia" w:ascii="楷体_GB2312" w:hAnsi="楷体_GB2312" w:eastAsia="楷体_GB2312" w:cs="楷体_GB2312"/>
          <w:sz w:val="24"/>
          <w:szCs w:val="24"/>
        </w:rPr>
        <w:t>（本页为《</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公司【  】—【  】年度</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 w:val="24"/>
          <w:szCs w:val="24"/>
          <w:u w:val="single"/>
          <w:lang w:val="en-US" w:eastAsia="zh-CN"/>
        </w:rPr>
        <w:t xml:space="preserve">  </w:t>
      </w: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sz w:val="24"/>
          <w:szCs w:val="24"/>
        </w:rPr>
        <w:t>资产支持商业票据定向发行协议》之签字页，本页无正文）</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投资人：公司（盖章）</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u w:val="single"/>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u w:val="single"/>
        </w:rPr>
      </w:pPr>
      <w:r>
        <w:rPr>
          <w:rFonts w:hint="eastAsia" w:ascii="楷体_GB2312" w:hAnsi="楷体_GB2312" w:eastAsia="楷体_GB2312" w:cs="楷体_GB2312"/>
          <w:sz w:val="24"/>
          <w:szCs w:val="24"/>
        </w:rPr>
        <w:t>法定代表人（或授权代表）：（签章）</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b/>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pP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ind w:firstLine="240" w:firstLineChars="100"/>
        <w:jc w:val="right"/>
        <w:textAlignment w:val="auto"/>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】年【  】月【  】日</w:t>
      </w:r>
    </w:p>
    <w:p>
      <w:pPr>
        <w:pStyle w:val="16"/>
        <w:keepNext w:val="0"/>
        <w:keepLines w:val="0"/>
        <w:pageBreakBefore w:val="0"/>
        <w:widowControl w:val="0"/>
        <w:tabs>
          <w:tab w:val="left" w:pos="900"/>
          <w:tab w:val="left" w:pos="1559"/>
        </w:tabs>
        <w:kinsoku/>
        <w:wordWrap/>
        <w:overflowPunct/>
        <w:topLinePunct w:val="0"/>
        <w:bidi w:val="0"/>
        <w:spacing w:before="157" w:beforeLines="50" w:after="157" w:afterLines="50" w:line="240" w:lineRule="atLeast"/>
        <w:textAlignment w:val="auto"/>
        <w:rPr>
          <w:rFonts w:hint="eastAsia" w:ascii="楷体_GB2312" w:hAnsi="楷体_GB2312" w:eastAsia="楷体_GB2312" w:cs="楷体_GB2312"/>
          <w:sz w:val="24"/>
          <w:szCs w:val="24"/>
        </w:rPr>
        <w:sectPr>
          <w:footerReference r:id="rId19" w:type="default"/>
          <w:footnotePr>
            <w:numFmt w:val="decimal"/>
            <w:numRestart w:val="eachPage"/>
          </w:footnotePr>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both"/>
        <w:textAlignment w:val="auto"/>
        <w:outlineLvl w:val="1"/>
        <w:rPr>
          <w:rFonts w:hint="eastAsia" w:ascii="楷体_GB2312" w:hAnsi="楷体_GB2312" w:eastAsia="楷体_GB2312" w:cs="楷体_GB2312"/>
          <w:b/>
          <w:bCs/>
          <w:kern w:val="0"/>
          <w:sz w:val="30"/>
          <w:szCs w:val="30"/>
        </w:rPr>
        <w:sectPr>
          <w:footnotePr>
            <w:numFmt w:val="decimal"/>
            <w:numRestart w:val="eachPage"/>
          </w:footnotePr>
          <w:type w:val="continuous"/>
          <w:pgSz w:w="11906" w:h="16838"/>
          <w:pgMar w:top="1440" w:right="1800" w:bottom="1440" w:left="1800" w:header="0" w:footer="0" w:gutter="0"/>
          <w:pgBorders>
            <w:top w:val="none" w:sz="0" w:space="0"/>
            <w:left w:val="none" w:sz="0" w:space="0"/>
            <w:bottom w:val="none" w:sz="0" w:space="0"/>
            <w:right w:val="none" w:sz="0" w:space="0"/>
          </w:pgBorders>
          <w:pgNumType w:fmt="decimal"/>
          <w:cols w:space="720" w:num="1"/>
          <w:docGrid w:type="lines" w:linePitch="312" w:charSpace="0"/>
        </w:sectPr>
      </w:pPr>
      <w:bookmarkStart w:id="4189" w:name="_Toc19868"/>
      <w:bookmarkStart w:id="4190" w:name="_Toc30389"/>
      <w:bookmarkStart w:id="4191" w:name="_Toc9728"/>
      <w:bookmarkStart w:id="4192" w:name="_Toc16753"/>
      <w:bookmarkStart w:id="4193" w:name="_Toc3954"/>
      <w:bookmarkStart w:id="4194" w:name="_Toc18612"/>
      <w:bookmarkStart w:id="4195" w:name="_Toc31792"/>
      <w:bookmarkStart w:id="4196" w:name="_Toc7668"/>
    </w:p>
    <w:p>
      <w:pPr>
        <w:keepNext w:val="0"/>
        <w:keepLines w:val="0"/>
        <w:pageBreakBefore w:val="0"/>
        <w:widowControl w:val="0"/>
        <w:kinsoku/>
        <w:wordWrap/>
        <w:overflowPunct/>
        <w:topLinePunct w:val="0"/>
        <w:autoSpaceDE w:val="0"/>
        <w:autoSpaceDN w:val="0"/>
        <w:bidi w:val="0"/>
        <w:adjustRightInd w:val="0"/>
        <w:snapToGrid/>
        <w:spacing w:before="157" w:beforeLines="50" w:after="157" w:afterLines="50" w:line="240" w:lineRule="atLeast"/>
        <w:jc w:val="both"/>
        <w:textAlignment w:val="auto"/>
        <w:outlineLvl w:val="1"/>
        <w:rPr>
          <w:rFonts w:hint="eastAsia" w:ascii="楷体_GB2312" w:hAnsi="楷体_GB2312" w:eastAsia="楷体_GB2312" w:cs="楷体_GB2312"/>
          <w:b/>
          <w:bCs/>
          <w:kern w:val="0"/>
          <w:sz w:val="30"/>
          <w:szCs w:val="30"/>
        </w:rPr>
      </w:pPr>
      <w:bookmarkStart w:id="4197" w:name="_Toc13543"/>
      <w:bookmarkStart w:id="4198" w:name="_Toc27307"/>
      <w:r>
        <w:rPr>
          <w:rFonts w:hint="eastAsia" w:ascii="楷体_GB2312" w:hAnsi="楷体_GB2312" w:eastAsia="楷体_GB2312" w:cs="楷体_GB2312"/>
          <w:b/>
          <w:bCs/>
          <w:kern w:val="0"/>
          <w:sz w:val="30"/>
          <w:szCs w:val="30"/>
        </w:rPr>
        <w:t>附件：</w:t>
      </w:r>
      <w:r>
        <w:rPr>
          <w:rFonts w:hint="eastAsia" w:ascii="楷体_GB2312" w:hAnsi="楷体_GB2312" w:eastAsia="楷体_GB2312" w:cs="楷体_GB2312"/>
          <w:b/>
          <w:bCs/>
          <w:kern w:val="0"/>
          <w:sz w:val="30"/>
          <w:szCs w:val="30"/>
          <w:lang w:val="en-US" w:eastAsia="zh-CN"/>
        </w:rPr>
        <w:t>定向</w:t>
      </w:r>
      <w:r>
        <w:rPr>
          <w:rFonts w:hint="eastAsia" w:ascii="楷体_GB2312" w:hAnsi="楷体_GB2312" w:eastAsia="楷体_GB2312" w:cs="楷体_GB2312"/>
          <w:b/>
          <w:bCs/>
          <w:kern w:val="0"/>
          <w:sz w:val="30"/>
          <w:szCs w:val="30"/>
          <w:lang w:eastAsia="zh-CN"/>
        </w:rPr>
        <w:t>资产支持商业票据</w:t>
      </w:r>
      <w:r>
        <w:rPr>
          <w:rFonts w:hint="eastAsia" w:ascii="楷体_GB2312" w:hAnsi="楷体_GB2312" w:eastAsia="楷体_GB2312" w:cs="楷体_GB2312"/>
          <w:b/>
          <w:bCs/>
          <w:kern w:val="0"/>
          <w:sz w:val="30"/>
          <w:szCs w:val="30"/>
        </w:rPr>
        <w:t>信息披露文件</w:t>
      </w:r>
      <w:bookmarkEnd w:id="4188"/>
      <w:bookmarkEnd w:id="4189"/>
      <w:bookmarkEnd w:id="4190"/>
      <w:bookmarkEnd w:id="4191"/>
      <w:bookmarkEnd w:id="4192"/>
      <w:bookmarkEnd w:id="4193"/>
      <w:bookmarkEnd w:id="4194"/>
      <w:bookmarkEnd w:id="4195"/>
      <w:bookmarkEnd w:id="4196"/>
      <w:bookmarkEnd w:id="4197"/>
      <w:bookmarkEnd w:id="4198"/>
    </w:p>
    <w:p>
      <w:pPr>
        <w:pStyle w:val="156"/>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0" w:firstLineChars="0"/>
        <w:jc w:val="center"/>
        <w:textAlignment w:val="auto"/>
        <w:outlineLvl w:val="1"/>
        <w:rPr>
          <w:rFonts w:ascii="楷体_GB2312" w:hAnsi="楷体_GB2312" w:eastAsia="楷体_GB2312" w:cs="楷体_GB2312"/>
          <w:b/>
          <w:bCs/>
          <w:kern w:val="0"/>
          <w:sz w:val="30"/>
          <w:szCs w:val="30"/>
        </w:rPr>
      </w:pPr>
      <w:bookmarkStart w:id="4199" w:name="_Toc4925"/>
      <w:r>
        <w:rPr>
          <w:rFonts w:hint="eastAsia" w:ascii="楷体_GB2312" w:hAnsi="楷体_GB2312" w:eastAsia="楷体_GB2312" w:cs="楷体_GB2312"/>
          <w:b/>
          <w:bCs/>
          <w:kern w:val="0"/>
          <w:sz w:val="30"/>
          <w:szCs w:val="30"/>
        </w:rPr>
        <w:t>重要提示</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一、基础资产</w:t>
      </w:r>
      <w:r>
        <w:rPr>
          <w:rStyle w:val="48"/>
          <w:rFonts w:hint="eastAsia" w:ascii="楷体_GB2312" w:hAnsi="楷体_GB2312" w:eastAsia="楷体_GB2312" w:cs="楷体_GB2312"/>
          <w:b/>
          <w:bCs/>
          <w:kern w:val="0"/>
          <w:sz w:val="24"/>
          <w:szCs w:val="24"/>
          <w:lang w:val="en-US" w:eastAsia="zh-CN"/>
        </w:rPr>
        <w:footnoteReference w:id="66"/>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本期资产支持商业票据的基础资产类型为【应收账款债权/租赁债权/（其他）】。基础资产系【发起机构为设立信托委托给受托人，根据业务合同对债务人依法享有的应收账款债权及其附属担保权益(如有)，初始入池的基础资产总额为人民币XX亿元，涉及应收账款XX笔，债务人XX个/（其他）】，具体信息详见“第六章 基础资产情况及现金流预测分析 一、基础资产情况”。</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二、交易结构</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default"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（一）滚动发行安排</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本期资产支持商业票据设置了滚动发行机制，委托人可根据应根据交易文件的约定，选择由受托人发行后一期优先级资产支持商业票据用于兑付前一期优先级资产支持商业票据。具体安排详见“第三章 交易结构 二、交易结构介绍 （三）滚动发行安排”。</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（二）循环购买安排（如有）</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本期资产支持商业票据设置了循环购买机制，受托人可根据应根据交易文件的约定，以信托账户中的可用资金向委托人购买基础资产。具体安排详见“第三章 交易结构 二、交易结构介绍 （五）循环购买安排”。</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（三）回购资产安排</w:t>
      </w:r>
      <w:r>
        <w:rPr>
          <w:rStyle w:val="48"/>
          <w:rFonts w:hint="eastAsia" w:ascii="楷体_GB2312" w:hAnsi="楷体_GB2312" w:eastAsia="楷体_GB2312" w:cs="楷体_GB2312"/>
          <w:b/>
          <w:bCs/>
          <w:kern w:val="0"/>
          <w:sz w:val="24"/>
          <w:szCs w:val="24"/>
          <w:lang w:val="en-US" w:eastAsia="zh-CN"/>
        </w:rPr>
        <w:footnoteReference w:id="67"/>
      </w:r>
      <w:r>
        <w:rPr>
          <w:rFonts w:hint="eastAsia" w:ascii="楷体_GB2312" w:hAnsi="楷体_GB2312" w:eastAsia="楷体_GB2312" w:cs="楷体_GB2312"/>
          <w:b/>
          <w:bCs/>
          <w:kern w:val="0"/>
          <w:sz w:val="24"/>
          <w:szCs w:val="24"/>
          <w:lang w:val="en-US" w:eastAsia="zh-CN"/>
        </w:rPr>
        <w:t>（如有）</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本期资产支持商业票据设置了回购资产机制，委托人可根据应根据交易文件的约定行使权利回购基础资产。具体内容请详见“第三章 交易结构 二、交易结构介绍 （七）回购资产安排”。</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default"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（四）差额支付承诺（如有）</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本期资产支持商业票据设置了差额支付承诺的信用增级方式，在差额支付启动事件发生时，由【</w:t>
      </w:r>
      <w:r>
        <w:rPr>
          <w:rFonts w:hint="eastAsia" w:ascii="楷体_GB2312" w:hAnsi="楷体_GB2312" w:eastAsia="楷体_GB2312" w:cs="楷体_GB2312"/>
          <w:b/>
          <w:bCs/>
          <w:i/>
          <w:iCs/>
          <w:color w:val="FF0000"/>
          <w:kern w:val="0"/>
          <w:sz w:val="24"/>
          <w:szCs w:val="24"/>
          <w:u w:val="single"/>
          <w:lang w:val="en-US" w:eastAsia="zh-CN"/>
        </w:rPr>
        <w:t>信用增级机构</w:t>
      </w:r>
      <w:r>
        <w:rPr>
          <w:rFonts w:hint="eastAsia" w:ascii="楷体_GB2312" w:hAnsi="楷体_GB2312" w:eastAsia="楷体_GB2312" w:cs="楷体_GB2312"/>
          <w:kern w:val="0"/>
          <w:sz w:val="24"/>
          <w:szCs w:val="24"/>
          <w:lang w:val="en-US" w:eastAsia="zh-CN"/>
        </w:rPr>
        <w:t>】根据交易文件及《差额支付承诺函》的约定履行差额支付义务。具体内容请详见“第四章 信用增级方式 二、外部增信安排 （一）差额支付承诺”。</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（五）回购资产池</w:t>
      </w:r>
      <w:r>
        <w:rPr>
          <w:rStyle w:val="48"/>
          <w:rFonts w:hint="eastAsia" w:ascii="楷体_GB2312" w:hAnsi="楷体_GB2312" w:eastAsia="楷体_GB2312" w:cs="楷体_GB2312"/>
          <w:b/>
          <w:bCs/>
          <w:kern w:val="0"/>
          <w:sz w:val="24"/>
          <w:szCs w:val="24"/>
          <w:lang w:val="en-US" w:eastAsia="zh-CN"/>
        </w:rPr>
        <w:footnoteReference w:id="68"/>
      </w:r>
      <w:r>
        <w:rPr>
          <w:rFonts w:hint="default" w:ascii="楷体_GB2312" w:hAnsi="楷体_GB2312" w:eastAsia="楷体_GB2312" w:cs="楷体_GB2312"/>
          <w:b/>
          <w:bCs/>
          <w:kern w:val="0"/>
          <w:sz w:val="24"/>
          <w:szCs w:val="24"/>
          <w:lang w:val="en-US" w:eastAsia="zh-CN"/>
        </w:rPr>
        <w:t>（如有）</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本期资产支持商业票据设置了回购资产池的信用增级方式，在委托人中止滚动发行或滚动发行不成功时，由委托人根据交易文件的约定履行回购资产池的义务。具体内容请详见“第四章 信用增级方式 二、外部增信安排 （二）回购资产池”。</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（六）受让信托受益权</w:t>
      </w:r>
      <w:r>
        <w:rPr>
          <w:rFonts w:hint="default" w:ascii="楷体_GB2312" w:hAnsi="楷体_GB2312" w:eastAsia="楷体_GB2312" w:cs="楷体_GB2312"/>
          <w:b/>
          <w:bCs/>
          <w:kern w:val="0"/>
          <w:sz w:val="24"/>
          <w:szCs w:val="24"/>
          <w:lang w:val="en-US" w:eastAsia="zh-CN"/>
        </w:rPr>
        <w:t>（如有）</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本期资产支持商业票据设置了受让信托受益权的信用增级方式，在委托人中止滚动发行或滚动发行不成功时，由委托人根据交易文件的约定履行受让信托受益权的义务。具体内容请详见“第四章 信用增级方式 二、外部增信安排 （三）受让信托受益权”。</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三、风险提示</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（一）基础资产相关风险</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default" w:ascii="楷体_GB2312" w:hAnsi="楷体_GB2312" w:eastAsia="楷体_GB2312" w:cs="楷体_GB2312"/>
          <w:kern w:val="0"/>
          <w:sz w:val="24"/>
          <w:szCs w:val="24"/>
          <w:lang w:val="en-US" w:eastAsia="zh-CN"/>
        </w:rPr>
      </w:pPr>
      <w:r>
        <w:rPr>
          <w:rFonts w:hint="default" w:ascii="楷体_GB2312" w:hAnsi="楷体_GB2312" w:eastAsia="楷体_GB2312" w:cs="楷体_GB2312"/>
          <w:kern w:val="0"/>
          <w:sz w:val="24"/>
          <w:szCs w:val="24"/>
          <w:lang w:val="en-US" w:eastAsia="zh-CN"/>
        </w:rPr>
        <w:t>本期资产支持商业票据</w:t>
      </w:r>
      <w:r>
        <w:rPr>
          <w:rFonts w:hint="eastAsia" w:ascii="楷体_GB2312" w:hAnsi="楷体_GB2312" w:eastAsia="楷体_GB2312" w:cs="楷体_GB2312"/>
          <w:kern w:val="0"/>
          <w:sz w:val="24"/>
          <w:szCs w:val="24"/>
          <w:lang w:val="en-US" w:eastAsia="zh-CN"/>
        </w:rPr>
        <w:t>存在【</w:t>
      </w:r>
      <w:r>
        <w:rPr>
          <w:rFonts w:hint="eastAsia" w:ascii="楷体_GB2312" w:hAnsi="楷体_GB2312" w:eastAsia="楷体_GB2312" w:cs="楷体_GB2312"/>
          <w:b/>
          <w:bCs/>
          <w:i/>
          <w:iCs/>
          <w:color w:val="FF0000"/>
          <w:kern w:val="0"/>
          <w:sz w:val="24"/>
          <w:szCs w:val="24"/>
          <w:u w:val="single"/>
          <w:lang w:val="en-US" w:eastAsia="zh-CN"/>
        </w:rPr>
        <w:t>基础资产相关风险，建议不超过3条</w:t>
      </w:r>
      <w:r>
        <w:rPr>
          <w:rFonts w:hint="eastAsia" w:ascii="楷体_GB2312" w:hAnsi="楷体_GB2312" w:eastAsia="楷体_GB2312" w:cs="楷体_GB2312"/>
          <w:kern w:val="0"/>
          <w:sz w:val="24"/>
          <w:szCs w:val="24"/>
          <w:lang w:val="en-US" w:eastAsia="zh-CN"/>
        </w:rPr>
        <w:t>】等风险，</w:t>
      </w:r>
      <w:r>
        <w:rPr>
          <w:rFonts w:hint="default" w:ascii="楷体_GB2312" w:hAnsi="楷体_GB2312" w:eastAsia="楷体_GB2312" w:cs="楷体_GB2312"/>
          <w:kern w:val="0"/>
          <w:sz w:val="24"/>
          <w:szCs w:val="24"/>
          <w:lang w:val="en-US" w:eastAsia="zh-CN"/>
        </w:rPr>
        <w:t>具体内容详见“第</w:t>
      </w:r>
      <w:r>
        <w:rPr>
          <w:rFonts w:hint="eastAsia" w:ascii="楷体_GB2312" w:hAnsi="楷体_GB2312" w:eastAsia="楷体_GB2312" w:cs="楷体_GB2312"/>
          <w:kern w:val="0"/>
          <w:sz w:val="24"/>
          <w:szCs w:val="24"/>
          <w:lang w:val="en-US" w:eastAsia="zh-CN"/>
        </w:rPr>
        <w:t>二</w:t>
      </w:r>
      <w:r>
        <w:rPr>
          <w:rFonts w:hint="default" w:ascii="楷体_GB2312" w:hAnsi="楷体_GB2312" w:eastAsia="楷体_GB2312" w:cs="楷体_GB2312"/>
          <w:kern w:val="0"/>
          <w:sz w:val="24"/>
          <w:szCs w:val="24"/>
          <w:lang w:val="en-US" w:eastAsia="zh-CN"/>
        </w:rPr>
        <w:t xml:space="preserve">章 </w:t>
      </w:r>
      <w:r>
        <w:rPr>
          <w:rFonts w:hint="eastAsia" w:ascii="楷体_GB2312" w:hAnsi="楷体_GB2312" w:eastAsia="楷体_GB2312" w:cs="楷体_GB2312"/>
          <w:kern w:val="0"/>
          <w:sz w:val="24"/>
          <w:szCs w:val="24"/>
          <w:lang w:val="en-US" w:eastAsia="zh-CN"/>
        </w:rPr>
        <w:t>风险提示及说明</w:t>
      </w:r>
      <w:r>
        <w:rPr>
          <w:rFonts w:hint="default" w:ascii="楷体_GB2312" w:hAnsi="楷体_GB2312" w:eastAsia="楷体_GB2312" w:cs="楷体_GB2312"/>
          <w:kern w:val="0"/>
          <w:sz w:val="24"/>
          <w:szCs w:val="24"/>
          <w:lang w:val="en-US" w:eastAsia="zh-CN"/>
        </w:rPr>
        <w:t xml:space="preserve"> 二、</w:t>
      </w:r>
      <w:r>
        <w:rPr>
          <w:rFonts w:hint="eastAsia" w:ascii="楷体_GB2312" w:hAnsi="楷体_GB2312" w:eastAsia="楷体_GB2312" w:cs="楷体_GB2312"/>
          <w:kern w:val="0"/>
          <w:sz w:val="24"/>
          <w:szCs w:val="24"/>
          <w:lang w:val="en-US" w:eastAsia="zh-CN"/>
        </w:rPr>
        <w:t>基础资产相关风险</w:t>
      </w:r>
      <w:r>
        <w:rPr>
          <w:rFonts w:hint="default" w:ascii="楷体_GB2312" w:hAnsi="楷体_GB2312" w:eastAsia="楷体_GB2312" w:cs="楷体_GB2312"/>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（二）发行相关主体</w:t>
      </w:r>
      <w:r>
        <w:rPr>
          <w:rStyle w:val="48"/>
          <w:rFonts w:hint="eastAsia" w:ascii="楷体_GB2312" w:hAnsi="楷体_GB2312" w:eastAsia="楷体_GB2312" w:cs="楷体_GB2312"/>
          <w:b/>
          <w:bCs/>
          <w:kern w:val="0"/>
          <w:sz w:val="24"/>
          <w:szCs w:val="24"/>
        </w:rPr>
        <w:footnoteReference w:id="69"/>
      </w:r>
      <w:r>
        <w:rPr>
          <w:rFonts w:hint="eastAsia" w:ascii="楷体_GB2312" w:hAnsi="楷体_GB2312" w:eastAsia="楷体_GB2312" w:cs="楷体_GB2312"/>
          <w:b/>
          <w:bCs/>
          <w:kern w:val="0"/>
          <w:sz w:val="24"/>
          <w:szCs w:val="24"/>
          <w:lang w:val="en-US" w:eastAsia="zh-CN"/>
        </w:rPr>
        <w:t>风险</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default" w:ascii="楷体_GB2312" w:hAnsi="楷体_GB2312" w:eastAsia="楷体_GB2312" w:cs="楷体_GB2312"/>
          <w:kern w:val="0"/>
          <w:sz w:val="24"/>
          <w:szCs w:val="24"/>
          <w:lang w:val="en-US" w:eastAsia="zh-CN"/>
        </w:rPr>
      </w:pPr>
      <w:r>
        <w:rPr>
          <w:rFonts w:hint="default" w:ascii="楷体_GB2312" w:hAnsi="楷体_GB2312" w:eastAsia="楷体_GB2312" w:cs="楷体_GB2312"/>
          <w:kern w:val="0"/>
          <w:sz w:val="24"/>
          <w:szCs w:val="24"/>
          <w:lang w:val="en-US" w:eastAsia="zh-CN"/>
        </w:rPr>
        <w:t>本期资产支持商业票据</w:t>
      </w:r>
      <w:r>
        <w:rPr>
          <w:rFonts w:hint="eastAsia" w:ascii="楷体_GB2312" w:hAnsi="楷体_GB2312" w:eastAsia="楷体_GB2312" w:cs="楷体_GB2312"/>
          <w:kern w:val="0"/>
          <w:sz w:val="24"/>
          <w:szCs w:val="24"/>
          <w:lang w:val="en-US" w:eastAsia="zh-CN"/>
        </w:rPr>
        <w:t>存在【</w:t>
      </w:r>
      <w:r>
        <w:rPr>
          <w:rFonts w:hint="eastAsia" w:ascii="楷体_GB2312" w:hAnsi="楷体_GB2312" w:eastAsia="楷体_GB2312" w:cs="楷体_GB2312"/>
          <w:b/>
          <w:bCs/>
          <w:i/>
          <w:iCs/>
          <w:color w:val="FF0000"/>
          <w:kern w:val="0"/>
          <w:sz w:val="24"/>
          <w:szCs w:val="24"/>
          <w:u w:val="single"/>
          <w:lang w:val="en-US" w:eastAsia="zh-CN"/>
        </w:rPr>
        <w:t>发起机构或信用增级机构相关风险，建议不超过3条</w:t>
      </w:r>
      <w:r>
        <w:rPr>
          <w:rFonts w:hint="eastAsia" w:ascii="楷体_GB2312" w:hAnsi="楷体_GB2312" w:eastAsia="楷体_GB2312" w:cs="楷体_GB2312"/>
          <w:kern w:val="0"/>
          <w:sz w:val="24"/>
          <w:szCs w:val="24"/>
          <w:lang w:val="en-US" w:eastAsia="zh-CN"/>
        </w:rPr>
        <w:t>】等风险，</w:t>
      </w:r>
      <w:r>
        <w:rPr>
          <w:rFonts w:hint="default" w:ascii="楷体_GB2312" w:hAnsi="楷体_GB2312" w:eastAsia="楷体_GB2312" w:cs="楷体_GB2312"/>
          <w:kern w:val="0"/>
          <w:sz w:val="24"/>
          <w:szCs w:val="24"/>
          <w:lang w:val="en-US" w:eastAsia="zh-CN"/>
        </w:rPr>
        <w:t>具体内容详见“</w:t>
      </w:r>
      <w:r>
        <w:rPr>
          <w:rFonts w:hint="eastAsia" w:ascii="楷体_GB2312" w:hAnsi="楷体_GB2312" w:eastAsia="楷体_GB2312" w:cs="楷体_GB2312"/>
          <w:kern w:val="0"/>
          <w:sz w:val="24"/>
          <w:szCs w:val="24"/>
          <w:lang w:val="en-US" w:eastAsia="zh-CN"/>
        </w:rPr>
        <w:t>【</w:t>
      </w:r>
      <w:r>
        <w:rPr>
          <w:rFonts w:hint="default" w:ascii="楷体_GB2312" w:hAnsi="楷体_GB2312" w:eastAsia="楷体_GB2312" w:cs="楷体_GB2312"/>
          <w:kern w:val="0"/>
          <w:sz w:val="24"/>
          <w:szCs w:val="24"/>
          <w:lang w:val="en-US" w:eastAsia="zh-CN"/>
        </w:rPr>
        <w:t>第</w:t>
      </w:r>
      <w:r>
        <w:rPr>
          <w:rFonts w:hint="eastAsia" w:ascii="楷体_GB2312" w:hAnsi="楷体_GB2312" w:eastAsia="楷体_GB2312" w:cs="楷体_GB2312"/>
          <w:kern w:val="0"/>
          <w:sz w:val="24"/>
          <w:szCs w:val="24"/>
          <w:lang w:val="en-US" w:eastAsia="zh-CN"/>
        </w:rPr>
        <w:t>二</w:t>
      </w:r>
      <w:r>
        <w:rPr>
          <w:rFonts w:hint="default" w:ascii="楷体_GB2312" w:hAnsi="楷体_GB2312" w:eastAsia="楷体_GB2312" w:cs="楷体_GB2312"/>
          <w:kern w:val="0"/>
          <w:sz w:val="24"/>
          <w:szCs w:val="24"/>
          <w:lang w:val="en-US" w:eastAsia="zh-CN"/>
        </w:rPr>
        <w:t xml:space="preserve">章 </w:t>
      </w:r>
      <w:r>
        <w:rPr>
          <w:rFonts w:hint="eastAsia" w:ascii="楷体_GB2312" w:hAnsi="楷体_GB2312" w:eastAsia="楷体_GB2312" w:cs="楷体_GB2312"/>
          <w:kern w:val="0"/>
          <w:sz w:val="24"/>
          <w:szCs w:val="24"/>
          <w:lang w:val="en-US" w:eastAsia="zh-CN"/>
        </w:rPr>
        <w:t>风险提示及说明</w:t>
      </w:r>
      <w:r>
        <w:rPr>
          <w:rFonts w:hint="default"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lang w:val="en-US" w:eastAsia="zh-CN"/>
        </w:rPr>
        <w:t>四</w:t>
      </w:r>
      <w:r>
        <w:rPr>
          <w:rFonts w:hint="default" w:ascii="楷体_GB2312" w:hAnsi="楷体_GB2312" w:eastAsia="楷体_GB2312" w:cs="楷体_GB2312"/>
          <w:kern w:val="0"/>
          <w:sz w:val="24"/>
          <w:szCs w:val="24"/>
          <w:lang w:val="en-US" w:eastAsia="zh-CN"/>
        </w:rPr>
        <w:t>、</w:t>
      </w:r>
      <w:r>
        <w:rPr>
          <w:rFonts w:hint="eastAsia" w:ascii="楷体_GB2312" w:hAnsi="楷体_GB2312" w:eastAsia="楷体_GB2312" w:cs="楷体_GB2312"/>
          <w:kern w:val="0"/>
          <w:sz w:val="24"/>
          <w:szCs w:val="24"/>
          <w:lang w:val="en-US" w:eastAsia="zh-CN"/>
        </w:rPr>
        <w:t>发起机构相关风险/</w:t>
      </w:r>
      <w:r>
        <w:rPr>
          <w:rFonts w:hint="default" w:ascii="楷体_GB2312" w:hAnsi="楷体_GB2312" w:eastAsia="楷体_GB2312" w:cs="楷体_GB2312"/>
          <w:kern w:val="0"/>
          <w:sz w:val="24"/>
          <w:szCs w:val="24"/>
          <w:lang w:val="en-US" w:eastAsia="zh-CN"/>
        </w:rPr>
        <w:t>第</w:t>
      </w:r>
      <w:r>
        <w:rPr>
          <w:rFonts w:hint="eastAsia" w:ascii="楷体_GB2312" w:hAnsi="楷体_GB2312" w:eastAsia="楷体_GB2312" w:cs="楷体_GB2312"/>
          <w:kern w:val="0"/>
          <w:sz w:val="24"/>
          <w:szCs w:val="24"/>
          <w:lang w:val="en-US" w:eastAsia="zh-CN"/>
        </w:rPr>
        <w:t>二</w:t>
      </w:r>
      <w:r>
        <w:rPr>
          <w:rFonts w:hint="default" w:ascii="楷体_GB2312" w:hAnsi="楷体_GB2312" w:eastAsia="楷体_GB2312" w:cs="楷体_GB2312"/>
          <w:kern w:val="0"/>
          <w:sz w:val="24"/>
          <w:szCs w:val="24"/>
          <w:lang w:val="en-US" w:eastAsia="zh-CN"/>
        </w:rPr>
        <w:t xml:space="preserve">章 </w:t>
      </w:r>
      <w:r>
        <w:rPr>
          <w:rFonts w:hint="eastAsia" w:ascii="楷体_GB2312" w:hAnsi="楷体_GB2312" w:eastAsia="楷体_GB2312" w:cs="楷体_GB2312"/>
          <w:kern w:val="0"/>
          <w:sz w:val="24"/>
          <w:szCs w:val="24"/>
          <w:lang w:val="en-US" w:eastAsia="zh-CN"/>
        </w:rPr>
        <w:t>风险提示及说明</w:t>
      </w:r>
      <w:r>
        <w:rPr>
          <w:rFonts w:hint="default"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lang w:val="en-US" w:eastAsia="zh-CN"/>
        </w:rPr>
        <w:t>五</w:t>
      </w:r>
      <w:r>
        <w:rPr>
          <w:rFonts w:hint="default" w:ascii="楷体_GB2312" w:hAnsi="楷体_GB2312" w:eastAsia="楷体_GB2312" w:cs="楷体_GB2312"/>
          <w:kern w:val="0"/>
          <w:sz w:val="24"/>
          <w:szCs w:val="24"/>
          <w:lang w:val="en-US" w:eastAsia="zh-CN"/>
        </w:rPr>
        <w:t>、</w:t>
      </w:r>
      <w:r>
        <w:rPr>
          <w:rFonts w:hint="eastAsia" w:ascii="楷体_GB2312" w:hAnsi="楷体_GB2312" w:eastAsia="楷体_GB2312" w:cs="楷体_GB2312"/>
          <w:kern w:val="0"/>
          <w:sz w:val="24"/>
          <w:szCs w:val="24"/>
          <w:lang w:val="en-US" w:eastAsia="zh-CN"/>
        </w:rPr>
        <w:t>信用增级机构相关风险/（其他）】</w:t>
      </w:r>
      <w:r>
        <w:rPr>
          <w:rFonts w:hint="default" w:ascii="楷体_GB2312" w:hAnsi="楷体_GB2312" w:eastAsia="楷体_GB2312" w:cs="楷体_GB2312"/>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（三）资产支持商业票据相关风险</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default" w:ascii="楷体_GB2312" w:hAnsi="楷体_GB2312" w:eastAsia="楷体_GB2312" w:cs="楷体_GB2312"/>
          <w:kern w:val="0"/>
          <w:sz w:val="24"/>
          <w:szCs w:val="24"/>
          <w:lang w:val="en-US" w:eastAsia="zh-CN"/>
        </w:rPr>
      </w:pPr>
      <w:r>
        <w:rPr>
          <w:rFonts w:hint="default" w:ascii="楷体_GB2312" w:hAnsi="楷体_GB2312" w:eastAsia="楷体_GB2312" w:cs="楷体_GB2312"/>
          <w:kern w:val="0"/>
          <w:sz w:val="24"/>
          <w:szCs w:val="24"/>
          <w:lang w:val="en-US" w:eastAsia="zh-CN"/>
        </w:rPr>
        <w:t>本期资产支持商业票据</w:t>
      </w:r>
      <w:r>
        <w:rPr>
          <w:rFonts w:hint="eastAsia" w:ascii="楷体_GB2312" w:hAnsi="楷体_GB2312" w:eastAsia="楷体_GB2312" w:cs="楷体_GB2312"/>
          <w:kern w:val="0"/>
          <w:sz w:val="24"/>
          <w:szCs w:val="24"/>
          <w:lang w:val="en-US" w:eastAsia="zh-CN"/>
        </w:rPr>
        <w:t>存在【</w:t>
      </w:r>
      <w:r>
        <w:rPr>
          <w:rFonts w:hint="eastAsia" w:ascii="楷体_GB2312" w:hAnsi="楷体_GB2312" w:eastAsia="楷体_GB2312" w:cs="楷体_GB2312"/>
          <w:b/>
          <w:bCs/>
          <w:i/>
          <w:iCs/>
          <w:color w:val="FF0000"/>
          <w:kern w:val="0"/>
          <w:sz w:val="24"/>
          <w:szCs w:val="24"/>
          <w:u w:val="single"/>
          <w:lang w:val="en-US" w:eastAsia="zh-CN"/>
        </w:rPr>
        <w:t>资产支持商业票据相关风险，建议不超过3条</w:t>
      </w:r>
      <w:r>
        <w:rPr>
          <w:rFonts w:hint="eastAsia" w:ascii="楷体_GB2312" w:hAnsi="楷体_GB2312" w:eastAsia="楷体_GB2312" w:cs="楷体_GB2312"/>
          <w:kern w:val="0"/>
          <w:sz w:val="24"/>
          <w:szCs w:val="24"/>
          <w:lang w:val="en-US" w:eastAsia="zh-CN"/>
        </w:rPr>
        <w:t>】等风险，</w:t>
      </w:r>
      <w:r>
        <w:rPr>
          <w:rFonts w:hint="default" w:ascii="楷体_GB2312" w:hAnsi="楷体_GB2312" w:eastAsia="楷体_GB2312" w:cs="楷体_GB2312"/>
          <w:kern w:val="0"/>
          <w:sz w:val="24"/>
          <w:szCs w:val="24"/>
          <w:lang w:val="en-US" w:eastAsia="zh-CN"/>
        </w:rPr>
        <w:t>具体内容详见“第</w:t>
      </w:r>
      <w:r>
        <w:rPr>
          <w:rFonts w:hint="eastAsia" w:ascii="楷体_GB2312" w:hAnsi="楷体_GB2312" w:eastAsia="楷体_GB2312" w:cs="楷体_GB2312"/>
          <w:kern w:val="0"/>
          <w:sz w:val="24"/>
          <w:szCs w:val="24"/>
          <w:lang w:val="en-US" w:eastAsia="zh-CN"/>
        </w:rPr>
        <w:t>二</w:t>
      </w:r>
      <w:r>
        <w:rPr>
          <w:rFonts w:hint="default" w:ascii="楷体_GB2312" w:hAnsi="楷体_GB2312" w:eastAsia="楷体_GB2312" w:cs="楷体_GB2312"/>
          <w:kern w:val="0"/>
          <w:sz w:val="24"/>
          <w:szCs w:val="24"/>
          <w:lang w:val="en-US" w:eastAsia="zh-CN"/>
        </w:rPr>
        <w:t xml:space="preserve">章 </w:t>
      </w:r>
      <w:r>
        <w:rPr>
          <w:rFonts w:hint="eastAsia" w:ascii="楷体_GB2312" w:hAnsi="楷体_GB2312" w:eastAsia="楷体_GB2312" w:cs="楷体_GB2312"/>
          <w:kern w:val="0"/>
          <w:sz w:val="24"/>
          <w:szCs w:val="24"/>
          <w:lang w:val="en-US" w:eastAsia="zh-CN"/>
        </w:rPr>
        <w:t>风险提示及说明</w:t>
      </w:r>
      <w:r>
        <w:rPr>
          <w:rFonts w:hint="default"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lang w:val="en-US" w:eastAsia="zh-CN"/>
        </w:rPr>
        <w:t>七</w:t>
      </w:r>
      <w:r>
        <w:rPr>
          <w:rFonts w:hint="default" w:ascii="楷体_GB2312" w:hAnsi="楷体_GB2312" w:eastAsia="楷体_GB2312" w:cs="楷体_GB2312"/>
          <w:kern w:val="0"/>
          <w:sz w:val="24"/>
          <w:szCs w:val="24"/>
          <w:lang w:val="en-US" w:eastAsia="zh-CN"/>
        </w:rPr>
        <w:t>、</w:t>
      </w:r>
      <w:r>
        <w:rPr>
          <w:rFonts w:hint="eastAsia" w:ascii="楷体_GB2312" w:hAnsi="楷体_GB2312" w:eastAsia="楷体_GB2312" w:cs="楷体_GB2312"/>
          <w:kern w:val="0"/>
          <w:sz w:val="24"/>
          <w:szCs w:val="24"/>
          <w:lang w:val="en-US" w:eastAsia="zh-CN"/>
        </w:rPr>
        <w:t>定向资产支持商业票据相关风险</w:t>
      </w:r>
      <w:r>
        <w:rPr>
          <w:rFonts w:hint="default" w:ascii="楷体_GB2312" w:hAnsi="楷体_GB2312" w:eastAsia="楷体_GB2312" w:cs="楷体_GB2312"/>
          <w:kern w:val="0"/>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四、偿付来源</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本期优先级资产支持商业票据的偿付来源为【基础资产的回收款和后一期优先级资产支持商业票据的募集资金/基础资产的回收款和委托人回购资产的资金/基础资产的回收款和委托人回购资产池的资金/基础资产的回收款和委托人受让信托受益权的资金/基础资产的回收款/（其他）】，详见“第九章 募集资金用途及合法合规性声明 三、偿付来源”。</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五、其他</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textAlignment w:val="auto"/>
        <w:rPr>
          <w:rFonts w:hint="default"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（一）滚动发行事项授权和确认</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ascii="楷体_GB2312" w:hAnsi="楷体_GB2312" w:eastAsia="楷体_GB2312" w:cs="楷体_GB2312"/>
          <w:kern w:val="0"/>
          <w:sz w:val="24"/>
          <w:szCs w:val="24"/>
        </w:rPr>
      </w:pPr>
      <w:r>
        <w:rPr>
          <w:rFonts w:ascii="楷体_GB2312" w:hAnsi="楷体_GB2312" w:eastAsia="楷体_GB2312" w:cs="楷体_GB2312"/>
          <w:b/>
          <w:bCs/>
          <w:color w:val="FF0000"/>
          <w:kern w:val="0"/>
          <w:sz w:val="24"/>
          <w:szCs w:val="24"/>
        </w:rPr>
        <w:t>【信托项下首次发行</w:t>
      </w:r>
      <w:r>
        <w:rPr>
          <w:rFonts w:hint="eastAsia" w:ascii="楷体_GB2312" w:hAnsi="楷体_GB2312" w:eastAsia="楷体_GB2312" w:cs="楷体_GB2312"/>
          <w:b/>
          <w:bCs/>
          <w:color w:val="FF0000"/>
          <w:kern w:val="0"/>
          <w:sz w:val="24"/>
          <w:szCs w:val="24"/>
        </w:rPr>
        <w:t>情形或受让信托受益权后再次发行的情形</w:t>
      </w:r>
      <w:r>
        <w:rPr>
          <w:rFonts w:ascii="楷体_GB2312" w:hAnsi="楷体_GB2312" w:eastAsia="楷体_GB2312" w:cs="楷体_GB2312"/>
          <w:b/>
          <w:bCs/>
          <w:color w:val="FF0000"/>
          <w:kern w:val="0"/>
          <w:sz w:val="24"/>
          <w:szCs w:val="24"/>
        </w:rPr>
        <w:t>】</w:t>
      </w:r>
      <w:r>
        <w:rPr>
          <w:rFonts w:ascii="楷体_GB2312" w:hAnsi="楷体_GB2312" w:eastAsia="楷体_GB2312" w:cs="楷体_GB2312"/>
          <w:kern w:val="0"/>
          <w:sz w:val="24"/>
          <w:szCs w:val="24"/>
        </w:rPr>
        <w:t>凡通过认购、受让等合法手段自愿取得并持有本期资产支持商业票据的定向投资人，</w:t>
      </w:r>
      <w:r>
        <w:rPr>
          <w:rFonts w:hint="eastAsia" w:ascii="楷体_GB2312" w:hAnsi="楷体_GB2312" w:eastAsia="楷体_GB2312" w:cs="楷体_GB2312"/>
          <w:kern w:val="0"/>
          <w:sz w:val="24"/>
          <w:szCs w:val="24"/>
        </w:rPr>
        <w:t>均视为同意并授权可由受托人通过滚动发行方式代为向后一期资产支持商业票据的定向投资人转让其所持有的信托受益权。</w:t>
      </w:r>
    </w:p>
    <w:p>
      <w:pPr>
        <w:pStyle w:val="2"/>
        <w:keepNext w:val="0"/>
        <w:keepLines w:val="0"/>
        <w:pageBreakBefore w:val="0"/>
        <w:widowControl w:val="0"/>
        <w:kinsoku/>
        <w:wordWrap/>
        <w:overflowPunct/>
        <w:topLinePunct w:val="0"/>
        <w:bidi w:val="0"/>
        <w:spacing w:before="157" w:beforeLines="50" w:after="157" w:afterLines="50" w:line="240" w:lineRule="atLeast"/>
        <w:jc w:val="both"/>
        <w:textAlignment w:val="auto"/>
        <w:rPr>
          <w:rFonts w:hint="eastAsia" w:ascii="楷体_GB2312" w:hAnsi="楷体_GB2312" w:eastAsia="楷体_GB2312" w:cs="楷体_GB2312"/>
          <w:kern w:val="0"/>
          <w:sz w:val="24"/>
          <w:szCs w:val="24"/>
        </w:rPr>
      </w:pPr>
      <w:r>
        <w:rPr>
          <w:rFonts w:ascii="楷体_GB2312" w:hAnsi="楷体_GB2312" w:eastAsia="楷体_GB2312" w:cs="楷体_GB2312"/>
          <w:b/>
          <w:bCs/>
          <w:color w:val="FF0000"/>
          <w:kern w:val="0"/>
          <w:sz w:val="24"/>
          <w:szCs w:val="24"/>
        </w:rPr>
        <w:t>【滚动发行</w:t>
      </w:r>
      <w:r>
        <w:rPr>
          <w:rFonts w:hint="eastAsia" w:ascii="楷体_GB2312" w:hAnsi="楷体_GB2312" w:eastAsia="楷体_GB2312" w:cs="楷体_GB2312"/>
          <w:b/>
          <w:bCs/>
          <w:color w:val="FF0000"/>
          <w:kern w:val="0"/>
          <w:sz w:val="24"/>
          <w:szCs w:val="24"/>
        </w:rPr>
        <w:t>的情形</w:t>
      </w:r>
      <w:r>
        <w:rPr>
          <w:rFonts w:ascii="楷体_GB2312" w:hAnsi="楷体_GB2312" w:eastAsia="楷体_GB2312" w:cs="楷体_GB2312"/>
          <w:b/>
          <w:bCs/>
          <w:color w:val="FF0000"/>
          <w:kern w:val="0"/>
          <w:sz w:val="24"/>
          <w:szCs w:val="24"/>
        </w:rPr>
        <w:t>】</w:t>
      </w:r>
      <w:r>
        <w:rPr>
          <w:rFonts w:ascii="楷体_GB2312" w:hAnsi="楷体_GB2312" w:eastAsia="楷体_GB2312" w:cs="楷体_GB2312"/>
          <w:kern w:val="0"/>
          <w:sz w:val="24"/>
          <w:szCs w:val="24"/>
        </w:rPr>
        <w:t>凡认购</w:t>
      </w:r>
      <w:r>
        <w:rPr>
          <w:rFonts w:hint="eastAsia" w:ascii="楷体_GB2312" w:hAnsi="楷体_GB2312" w:eastAsia="楷体_GB2312" w:cs="楷体_GB2312"/>
          <w:kern w:val="0"/>
          <w:sz w:val="24"/>
          <w:szCs w:val="24"/>
        </w:rPr>
        <w:t>本期资产支持商业票据的定向投资人，均视为同意</w:t>
      </w:r>
      <w:r>
        <w:rPr>
          <w:rFonts w:ascii="楷体_GB2312" w:hAnsi="楷体_GB2312" w:eastAsia="楷体_GB2312" w:cs="楷体_GB2312"/>
          <w:kern w:val="0"/>
          <w:sz w:val="24"/>
          <w:szCs w:val="24"/>
        </w:rPr>
        <w:t>受让前一期资产支持商业票据持有人持有的信托受益权</w:t>
      </w:r>
      <w:r>
        <w:rPr>
          <w:rFonts w:hint="eastAsia" w:ascii="楷体_GB2312" w:hAnsi="楷体_GB2312" w:eastAsia="楷体_GB2312" w:cs="楷体_GB2312"/>
          <w:kern w:val="0"/>
          <w:sz w:val="24"/>
          <w:szCs w:val="24"/>
        </w:rPr>
        <w:t>。在完成转让对价支付且前一期资产支持商业票据注销之后，本期资产支持商业票据的定向投资人取得相应的信托受益权。</w:t>
      </w:r>
      <w:r>
        <w:rPr>
          <w:rFonts w:ascii="楷体_GB2312" w:hAnsi="楷体_GB2312" w:eastAsia="楷体_GB2312" w:cs="楷体_GB2312"/>
          <w:kern w:val="0"/>
          <w:sz w:val="24"/>
          <w:szCs w:val="24"/>
        </w:rPr>
        <w:t>凡通过认购、受让等合法手段自愿取得并持有本期资产支持商业票据的定向投资人，</w:t>
      </w:r>
      <w:r>
        <w:rPr>
          <w:rFonts w:hint="eastAsia" w:ascii="楷体_GB2312" w:hAnsi="楷体_GB2312" w:eastAsia="楷体_GB2312" w:cs="楷体_GB2312"/>
          <w:kern w:val="0"/>
          <w:sz w:val="24"/>
          <w:szCs w:val="24"/>
        </w:rPr>
        <w:t>均视为同意并授权可由受托人通过滚动发行方式代为向后一期资产支持商业票据的定向投资人转让其所持有的信托受益权。</w:t>
      </w:r>
    </w:p>
    <w:p>
      <w:pPr>
        <w:pStyle w:val="2"/>
        <w:keepNext w:val="0"/>
        <w:keepLines w:val="0"/>
        <w:pageBreakBefore w:val="0"/>
        <w:widowControl w:val="0"/>
        <w:kinsoku/>
        <w:wordWrap/>
        <w:overflowPunct/>
        <w:topLinePunct w:val="0"/>
        <w:bidi w:val="0"/>
        <w:spacing w:before="157" w:beforeLines="50" w:after="157" w:afterLines="50" w:line="240" w:lineRule="atLeast"/>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rPr>
        <w:t>投资人进一步确认，其受让对应前一期资产支持商业票据持有人持有的信托受益权之前，应根据发起机构及发行载体管理机构披露的包括本</w:t>
      </w:r>
      <w:r>
        <w:rPr>
          <w:rFonts w:hint="eastAsia" w:ascii="楷体_GB2312" w:hAnsi="楷体_GB2312" w:eastAsia="楷体_GB2312" w:cs="楷体_GB2312"/>
          <w:sz w:val="24"/>
          <w:szCs w:val="24"/>
          <w:lang w:val="en-US" w:eastAsia="zh-CN"/>
        </w:rPr>
        <w:t>定向发行协议</w:t>
      </w:r>
      <w:r>
        <w:rPr>
          <w:rFonts w:hint="eastAsia" w:ascii="楷体_GB2312" w:hAnsi="楷体_GB2312" w:eastAsia="楷体_GB2312" w:cs="楷体_GB2312"/>
          <w:sz w:val="24"/>
          <w:szCs w:val="24"/>
        </w:rPr>
        <w:t>在内的相关发行文件、资料和信息自行作出投资决策，该等文件、资料及信息不构成前一期资产支持商业票据持有人对其作出的任何陈述、保证或承诺，其不得以信托的效力、信托财产、交易文件、交易结构设计、信息披露等方面存在任何瑕疵、缺陷为由向前一期资产支持商业票据持有人进行追索。为免疑义，本条款不排除或限制</w:t>
      </w:r>
      <w:r>
        <w:rPr>
          <w:rFonts w:hint="eastAsia" w:ascii="楷体_GB2312" w:hAnsi="楷体_GB2312" w:eastAsia="楷体_GB2312" w:cs="楷体_GB2312"/>
          <w:sz w:val="24"/>
          <w:szCs w:val="24"/>
          <w:lang w:val="en-US" w:eastAsia="zh-CN"/>
        </w:rPr>
        <w:t>定向</w:t>
      </w:r>
      <w:r>
        <w:rPr>
          <w:rFonts w:hint="eastAsia" w:ascii="楷体_GB2312" w:hAnsi="楷体_GB2312" w:eastAsia="楷体_GB2312" w:cs="楷体_GB2312"/>
          <w:sz w:val="24"/>
          <w:szCs w:val="24"/>
        </w:rPr>
        <w:t>投资人依据中国法律、交易文件或发行文件对委托人或受托人享有的权利。</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（二）持有人会议</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jc w:val="both"/>
        <w:textAlignment w:val="auto"/>
        <w:rPr>
          <w:rFonts w:hint="default"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除法律法规另有规定外，持有人会议所审议通过的决议对本期资产支持商业票据全部持有人具有同等效力和约束力。持有人会议设置的表决机制、特别议案及表决比例等内容，详见“第六条 投资人保护 6.5 定向资产支持商业票据持有人会议机制”。</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textAlignment w:val="auto"/>
        <w:rPr>
          <w:rFonts w:hint="eastAsia" w:ascii="楷体_GB2312" w:hAnsi="楷体_GB2312" w:eastAsia="楷体_GB2312" w:cs="楷体_GB2312"/>
          <w:b/>
          <w:bCs/>
          <w:kern w:val="0"/>
          <w:sz w:val="24"/>
          <w:szCs w:val="24"/>
          <w:lang w:val="en-US" w:eastAsia="zh-CN"/>
        </w:rPr>
      </w:pPr>
      <w:r>
        <w:rPr>
          <w:rFonts w:hint="eastAsia" w:ascii="楷体_GB2312" w:hAnsi="楷体_GB2312" w:eastAsia="楷体_GB2312" w:cs="楷体_GB2312"/>
          <w:b/>
          <w:bCs/>
          <w:kern w:val="0"/>
          <w:sz w:val="24"/>
          <w:szCs w:val="24"/>
          <w:lang w:val="en-US" w:eastAsia="zh-CN"/>
        </w:rPr>
        <w:t>（三）投资人保护条款（如有）</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firstLineChars="200"/>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lang w:val="en-US" w:eastAsia="zh-CN"/>
        </w:rPr>
        <w:t>本期资产支持商业票据设置了【</w:t>
      </w:r>
      <w:r>
        <w:rPr>
          <w:rFonts w:hint="eastAsia" w:ascii="楷体_GB2312" w:hAnsi="楷体_GB2312" w:eastAsia="楷体_GB2312" w:cs="楷体_GB2312"/>
          <w:b/>
          <w:bCs/>
          <w:i/>
          <w:iCs/>
          <w:color w:val="FF0000"/>
          <w:kern w:val="0"/>
          <w:sz w:val="24"/>
          <w:szCs w:val="24"/>
          <w:u w:val="single"/>
          <w:lang w:val="en-US" w:eastAsia="zh-CN"/>
        </w:rPr>
        <w:t>添加投保条款的类型</w:t>
      </w:r>
      <w:r>
        <w:rPr>
          <w:rFonts w:hint="eastAsia" w:ascii="楷体_GB2312" w:hAnsi="楷体_GB2312" w:eastAsia="楷体_GB2312" w:cs="楷体_GB2312"/>
          <w:kern w:val="0"/>
          <w:sz w:val="24"/>
          <w:szCs w:val="24"/>
          <w:lang w:val="en-US" w:eastAsia="zh-CN"/>
        </w:rPr>
        <w:t>】，详见“第六条 投资人保护 6.4 投资人保护条款”。</w:t>
      </w:r>
    </w:p>
    <w:p>
      <w:pPr>
        <w:pStyle w:val="2"/>
        <w:keepNext w:val="0"/>
        <w:keepLines w:val="0"/>
        <w:pageBreakBefore w:val="0"/>
        <w:widowControl w:val="0"/>
        <w:kinsoku/>
        <w:wordWrap/>
        <w:overflowPunct/>
        <w:topLinePunct w:val="0"/>
        <w:bidi w:val="0"/>
        <w:spacing w:before="157" w:beforeLines="50" w:after="157" w:afterLines="50" w:line="240" w:lineRule="atLeast"/>
        <w:ind w:firstLine="480"/>
        <w:textAlignment w:val="auto"/>
        <w:rPr>
          <w:rFonts w:hint="eastAsia"/>
        </w:rPr>
      </w:pPr>
      <w:r>
        <w:rPr>
          <w:rFonts w:hint="eastAsia" w:ascii="Times New Roman" w:hAnsi="Times New Roman" w:eastAsia="楷体_GB2312" w:cs="Times New Roman"/>
          <w:b/>
          <w:i/>
          <w:color w:val="FF0000"/>
          <w:sz w:val="24"/>
          <w:szCs w:val="28"/>
          <w:u w:val="single"/>
          <w:lang w:eastAsia="zh-CN"/>
        </w:rPr>
        <w:t>应根据</w:t>
      </w:r>
      <w:r>
        <w:rPr>
          <w:rFonts w:hint="eastAsia" w:ascii="Times New Roman" w:hAnsi="Times New Roman" w:eastAsia="楷体_GB2312" w:cs="Times New Roman"/>
          <w:b/>
          <w:i/>
          <w:color w:val="FF0000"/>
          <w:sz w:val="24"/>
          <w:szCs w:val="28"/>
          <w:u w:val="single"/>
        </w:rPr>
        <w:t>项目实际情况</w:t>
      </w:r>
      <w:r>
        <w:rPr>
          <w:rFonts w:hint="eastAsia" w:ascii="Times New Roman" w:hAnsi="Times New Roman" w:eastAsia="楷体_GB2312" w:cs="Times New Roman"/>
          <w:b/>
          <w:i/>
          <w:color w:val="FF0000"/>
          <w:sz w:val="24"/>
          <w:szCs w:val="28"/>
          <w:u w:val="single"/>
          <w:lang w:val="en-US" w:eastAsia="zh-CN"/>
        </w:rPr>
        <w:t>调整重要提示内容。</w:t>
      </w:r>
    </w:p>
    <w:p>
      <w:pPr>
        <w:pStyle w:val="156"/>
        <w:keepNext w:val="0"/>
        <w:keepLines w:val="0"/>
        <w:pageBreakBefore w:val="0"/>
        <w:widowControl w:val="0"/>
        <w:numPr>
          <w:ilvl w:val="0"/>
          <w:numId w:val="0"/>
        </w:numPr>
        <w:kinsoku/>
        <w:wordWrap/>
        <w:overflowPunct/>
        <w:topLinePunct w:val="0"/>
        <w:autoSpaceDE w:val="0"/>
        <w:autoSpaceDN w:val="0"/>
        <w:bidi w:val="0"/>
        <w:adjustRightInd w:val="0"/>
        <w:spacing w:before="157" w:beforeLines="50" w:after="157" w:afterLines="50" w:line="240" w:lineRule="atLeast"/>
        <w:ind w:leftChars="0"/>
        <w:jc w:val="both"/>
        <w:textAlignment w:val="auto"/>
        <w:outlineLvl w:val="9"/>
        <w:rPr>
          <w:rFonts w:hint="eastAsia" w:ascii="楷体_GB2312" w:hAnsi="楷体_GB2312" w:eastAsia="楷体_GB2312" w:cs="楷体_GB2312"/>
          <w:b/>
          <w:bCs/>
          <w:kern w:val="0"/>
          <w:sz w:val="30"/>
          <w:szCs w:val="30"/>
        </w:rPr>
      </w:pPr>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4"/>
        </w:numPr>
        <w:kinsoku/>
        <w:wordWrap/>
        <w:overflowPunct/>
        <w:topLinePunct w:val="0"/>
        <w:autoSpaceDE w:val="0"/>
        <w:autoSpaceDN w:val="0"/>
        <w:bidi w:val="0"/>
        <w:adjustRightInd w:val="0"/>
        <w:spacing w:before="157" w:beforeLines="50" w:after="157"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200" w:name="_Toc4505"/>
      <w:bookmarkStart w:id="4201" w:name="_Toc7761"/>
      <w:r>
        <w:rPr>
          <w:rFonts w:hint="eastAsia" w:ascii="楷体_GB2312" w:hAnsi="楷体_GB2312" w:eastAsia="楷体_GB2312" w:cs="楷体_GB2312"/>
          <w:b/>
          <w:bCs/>
          <w:kern w:val="0"/>
          <w:sz w:val="30"/>
          <w:szCs w:val="30"/>
          <w:lang w:val="en-US" w:eastAsia="zh-CN"/>
        </w:rPr>
        <w:t>定向</w:t>
      </w:r>
      <w:r>
        <w:rPr>
          <w:rFonts w:hint="eastAsia" w:ascii="楷体_GB2312" w:hAnsi="楷体_GB2312" w:eastAsia="楷体_GB2312" w:cs="楷体_GB2312"/>
          <w:b/>
          <w:bCs/>
          <w:kern w:val="0"/>
          <w:sz w:val="30"/>
          <w:szCs w:val="30"/>
          <w:lang w:eastAsia="zh-CN"/>
        </w:rPr>
        <w:t>资产支持商业票据</w:t>
      </w:r>
      <w:r>
        <w:rPr>
          <w:rFonts w:hint="eastAsia" w:ascii="楷体_GB2312" w:hAnsi="楷体_GB2312" w:eastAsia="楷体_GB2312" w:cs="楷体_GB2312"/>
          <w:b/>
          <w:bCs/>
          <w:kern w:val="0"/>
          <w:sz w:val="30"/>
          <w:szCs w:val="30"/>
          <w:lang w:val="en-US" w:eastAsia="zh-CN"/>
        </w:rPr>
        <w:t>的基本情况</w:t>
      </w:r>
      <w:r>
        <w:rPr>
          <w:rStyle w:val="48"/>
          <w:rFonts w:hint="eastAsia" w:ascii="楷体_GB2312" w:hAnsi="楷体_GB2312" w:eastAsia="楷体_GB2312" w:cs="楷体_GB2312"/>
          <w:b/>
          <w:bCs/>
          <w:kern w:val="0"/>
          <w:sz w:val="30"/>
          <w:szCs w:val="30"/>
        </w:rPr>
        <w:footnoteReference w:id="70"/>
      </w:r>
      <w:bookmarkEnd w:id="4199"/>
      <w:bookmarkEnd w:id="4200"/>
      <w:bookmarkEnd w:id="4201"/>
    </w:p>
    <w:p>
      <w:pPr>
        <w:pStyle w:val="156"/>
        <w:keepNext w:val="0"/>
        <w:keepLines w:val="0"/>
        <w:pageBreakBefore w:val="0"/>
        <w:widowControl w:val="0"/>
        <w:numPr>
          <w:ilvl w:val="0"/>
          <w:numId w:val="0"/>
        </w:numPr>
        <w:kinsoku/>
        <w:wordWrap/>
        <w:overflowPunct/>
        <w:topLinePunct w:val="0"/>
        <w:autoSpaceDE w:val="0"/>
        <w:autoSpaceDN w:val="0"/>
        <w:bidi w:val="0"/>
        <w:adjustRightInd w:val="0"/>
        <w:spacing w:before="157" w:beforeLines="50" w:after="157" w:afterLines="50" w:line="240" w:lineRule="atLeast"/>
        <w:ind w:left="0" w:firstLine="480" w:firstLineChars="200"/>
        <w:jc w:val="both"/>
        <w:textAlignment w:val="auto"/>
        <w:outlineLvl w:val="9"/>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w:t>
      </w:r>
      <w:r>
        <w:rPr>
          <w:rFonts w:hint="eastAsia" w:ascii="楷体_GB2312" w:hAnsi="楷体_GB2312" w:eastAsia="楷体_GB2312" w:cs="楷体_GB2312"/>
          <w:kern w:val="0"/>
          <w:sz w:val="24"/>
          <w:szCs w:val="24"/>
          <w:lang w:val="en-US" w:eastAsia="zh-CN"/>
        </w:rPr>
        <w:t>商业</w:t>
      </w:r>
      <w:r>
        <w:rPr>
          <w:rFonts w:hint="eastAsia" w:ascii="楷体_GB2312" w:hAnsi="楷体_GB2312" w:eastAsia="楷体_GB2312" w:cs="楷体_GB2312"/>
          <w:kern w:val="0"/>
          <w:sz w:val="24"/>
          <w:szCs w:val="24"/>
        </w:rPr>
        <w:t>票据为实名记账式债券，其托管、兑付与交易须按照交易商协会有关自律规则及银行间市场清算所股份有限公司、中国外汇交易中心暨全国银行间同业拆借中心的有关规定执行。</w:t>
      </w:r>
    </w:p>
    <w:p>
      <w:pPr>
        <w:pStyle w:val="156"/>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本期资产支持商业票据应在定向</w:t>
      </w:r>
      <w:r>
        <w:rPr>
          <w:rFonts w:hint="eastAsia" w:ascii="楷体_GB2312" w:hAnsi="楷体_GB2312" w:eastAsia="楷体_GB2312" w:cs="楷体_GB2312"/>
          <w:kern w:val="0"/>
          <w:sz w:val="24"/>
          <w:szCs w:val="24"/>
          <w:lang w:val="en-US" w:eastAsia="zh-CN"/>
        </w:rPr>
        <w:t>发行协议</w:t>
      </w:r>
      <w:r>
        <w:rPr>
          <w:rFonts w:hint="eastAsia" w:ascii="楷体_GB2312" w:hAnsi="楷体_GB2312" w:eastAsia="楷体_GB2312" w:cs="楷体_GB2312"/>
          <w:kern w:val="0"/>
          <w:sz w:val="24"/>
          <w:szCs w:val="24"/>
        </w:rPr>
        <w:t>约定的合格机构投资人之间流通转让。转让后，持有同期定向资产支持商业票据的定向投资人数量应符合国家法律规定。</w:t>
      </w:r>
    </w:p>
    <w:p>
      <w:pPr>
        <w:pStyle w:val="156"/>
        <w:keepNext w:val="0"/>
        <w:keepLines w:val="0"/>
        <w:pageBreakBefore w:val="0"/>
        <w:widowControl w:val="0"/>
        <w:numPr>
          <w:ilvl w:val="0"/>
          <w:numId w:val="0"/>
        </w:numPr>
        <w:kinsoku/>
        <w:wordWrap/>
        <w:overflowPunct/>
        <w:topLinePunct w:val="0"/>
        <w:autoSpaceDE w:val="0"/>
        <w:autoSpaceDN w:val="0"/>
        <w:bidi w:val="0"/>
        <w:adjustRightInd w:val="0"/>
        <w:spacing w:before="157" w:beforeLines="50" w:after="157" w:afterLines="50" w:line="240" w:lineRule="atLeast"/>
        <w:ind w:left="0" w:firstLine="480" w:firstLineChars="200"/>
        <w:jc w:val="both"/>
        <w:textAlignment w:val="auto"/>
        <w:outlineLvl w:val="9"/>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本期资产支持</w:t>
      </w:r>
      <w:r>
        <w:rPr>
          <w:rFonts w:hint="eastAsia" w:ascii="楷体_GB2312" w:hAnsi="楷体_GB2312" w:eastAsia="楷体_GB2312" w:cs="楷体_GB2312"/>
          <w:kern w:val="0"/>
          <w:sz w:val="24"/>
          <w:szCs w:val="24"/>
          <w:lang w:val="en-US" w:eastAsia="zh-CN"/>
        </w:rPr>
        <w:t>商业</w:t>
      </w:r>
      <w:r>
        <w:rPr>
          <w:rFonts w:hint="eastAsia" w:ascii="楷体_GB2312" w:hAnsi="楷体_GB2312" w:eastAsia="楷体_GB2312" w:cs="楷体_GB2312"/>
          <w:kern w:val="0"/>
          <w:sz w:val="24"/>
          <w:szCs w:val="24"/>
        </w:rPr>
        <w:t>票据的发行由主承销商负责组织协调。</w:t>
      </w:r>
    </w:p>
    <w:p>
      <w:pPr>
        <w:keepNext w:val="0"/>
        <w:keepLines w:val="0"/>
        <w:pageBreakBefore w:val="0"/>
        <w:widowControl w:val="0"/>
        <w:kinsoku/>
        <w:wordWrap/>
        <w:overflowPunct/>
        <w:topLinePunct w:val="0"/>
        <w:autoSpaceDE w:val="0"/>
        <w:autoSpaceDN w:val="0"/>
        <w:bidi w:val="0"/>
        <w:adjustRightInd w:val="0"/>
        <w:spacing w:before="157" w:beforeLines="50" w:after="157"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202" w:name="_Toc467"/>
      <w:bookmarkStart w:id="4203" w:name="_Toc32696"/>
      <w:bookmarkStart w:id="4204" w:name="_Toc23022"/>
      <w:r>
        <w:rPr>
          <w:rFonts w:hint="eastAsia" w:ascii="楷体_GB2312" w:hAnsi="楷体_GB2312" w:eastAsia="楷体_GB2312" w:cs="楷体_GB2312"/>
          <w:b/>
          <w:kern w:val="0"/>
          <w:sz w:val="24"/>
          <w:szCs w:val="24"/>
        </w:rPr>
        <w:t>一、主要发行条款</w:t>
      </w:r>
      <w:bookmarkEnd w:id="4202"/>
      <w:bookmarkEnd w:id="4203"/>
      <w:bookmarkEnd w:id="4204"/>
    </w:p>
    <w:p>
      <w:pPr>
        <w:pStyle w:val="176"/>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tLeast"/>
        <w:jc w:val="center"/>
        <w:textAlignment w:val="auto"/>
        <w:rPr>
          <w:rFonts w:hint="eastAsia" w:ascii="楷体_GB2312" w:hAnsi="楷体_GB2312" w:eastAsia="楷体_GB2312" w:cs="楷体_GB2312"/>
          <w:b/>
          <w:snapToGrid w:val="0"/>
        </w:rPr>
      </w:pPr>
      <w:r>
        <w:rPr>
          <w:rFonts w:hint="eastAsia" w:ascii="楷体_GB2312" w:hAnsi="楷体_GB2312" w:eastAsia="楷体_GB2312" w:cs="楷体_GB2312"/>
          <w:b/>
          <w:snapToGrid w:val="0"/>
        </w:rPr>
        <w:t>表</w:t>
      </w:r>
      <w:r>
        <w:rPr>
          <w:rFonts w:hint="eastAsia" w:ascii="楷体_GB2312" w:hAnsi="楷体_GB2312" w:eastAsia="楷体_GB2312" w:cs="楷体_GB2312"/>
          <w:b/>
          <w:snapToGrid w:val="0"/>
          <w:lang w:val="en-US" w:eastAsia="zh-CN"/>
        </w:rPr>
        <w:t>1</w:t>
      </w:r>
      <w:r>
        <w:rPr>
          <w:rFonts w:hint="eastAsia" w:ascii="楷体_GB2312" w:hAnsi="楷体_GB2312" w:eastAsia="楷体_GB2312" w:cs="楷体_GB2312"/>
          <w:b/>
          <w:snapToGrid w:val="0"/>
        </w:rPr>
        <w:t>-1：主要发行条款</w:t>
      </w:r>
      <w:r>
        <w:rPr>
          <w:rStyle w:val="48"/>
          <w:rFonts w:hint="eastAsia" w:ascii="楷体_GB2312" w:hAnsi="楷体_GB2312" w:eastAsia="楷体_GB2312" w:cs="楷体_GB2312"/>
          <w:b/>
          <w:snapToGrid w:val="0"/>
        </w:rPr>
        <w:footnoteReference w:id="71"/>
      </w:r>
    </w:p>
    <w:tbl>
      <w:tblPr>
        <w:tblStyle w:val="41"/>
        <w:tblW w:w="8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97"/>
        <w:gridCol w:w="5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val="en-US" w:eastAsia="zh-CN"/>
              </w:rPr>
              <w:t>定向</w:t>
            </w:r>
            <w:r>
              <w:rPr>
                <w:rFonts w:hint="eastAsia" w:ascii="楷体_GB2312" w:hAnsi="楷体_GB2312" w:eastAsia="楷体_GB2312" w:cs="楷体_GB2312"/>
                <w:color w:val="000000"/>
                <w:kern w:val="0"/>
                <w:szCs w:val="21"/>
                <w:lang w:eastAsia="zh-CN"/>
              </w:rPr>
              <w:t>资产支持商业票据</w:t>
            </w:r>
            <w:r>
              <w:rPr>
                <w:rFonts w:hint="eastAsia" w:ascii="楷体_GB2312" w:hAnsi="楷体_GB2312" w:eastAsia="楷体_GB2312" w:cs="楷体_GB2312"/>
                <w:color w:val="000000"/>
                <w:kern w:val="0"/>
                <w:szCs w:val="21"/>
              </w:rPr>
              <w:t>名称</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b/>
                <w:bCs/>
                <w:i/>
                <w:iCs/>
                <w:color w:val="FF0000"/>
                <w:kern w:val="0"/>
                <w:szCs w:val="21"/>
                <w:u w:val="single"/>
                <w:lang w:val="en-US" w:eastAsia="zh-CN"/>
              </w:rPr>
              <w:t>发起机构</w:t>
            </w:r>
            <w:r>
              <w:rPr>
                <w:rFonts w:hint="eastAsia" w:ascii="楷体_GB2312" w:hAnsi="楷体_GB2312" w:eastAsia="楷体_GB2312" w:cs="楷体_GB2312"/>
                <w:color w:val="000000"/>
                <w:kern w:val="0"/>
                <w:szCs w:val="21"/>
                <w:lang w:eastAsia="zh-CN"/>
              </w:rPr>
              <w:t>】公司【</w:t>
            </w:r>
            <w:r>
              <w:rPr>
                <w:rFonts w:hint="eastAsia" w:ascii="楷体_GB2312" w:hAnsi="楷体_GB2312" w:eastAsia="楷体_GB2312" w:cs="楷体_GB2312"/>
                <w:color w:val="000000"/>
                <w:kern w:val="0"/>
                <w:szCs w:val="21"/>
                <w:u w:val="none"/>
                <w:lang w:val="en-US" w:eastAsia="zh-CN"/>
              </w:rPr>
              <w:t xml:space="preserve">  </w:t>
            </w:r>
            <w:r>
              <w:rPr>
                <w:rFonts w:hint="eastAsia" w:ascii="楷体_GB2312" w:hAnsi="楷体_GB2312" w:eastAsia="楷体_GB2312" w:cs="楷体_GB2312"/>
                <w:color w:val="000000"/>
                <w:kern w:val="0"/>
                <w:szCs w:val="21"/>
                <w:lang w:eastAsia="zh-CN"/>
              </w:rPr>
              <w:t>】年度【</w:t>
            </w:r>
            <w:r>
              <w:rPr>
                <w:rFonts w:hint="eastAsia" w:ascii="楷体_GB2312" w:hAnsi="楷体_GB2312" w:eastAsia="楷体_GB2312" w:cs="楷体_GB2312"/>
                <w:b/>
                <w:bCs/>
                <w:i/>
                <w:iCs/>
                <w:color w:val="FF0000"/>
                <w:kern w:val="0"/>
                <w:szCs w:val="21"/>
                <w:u w:val="single"/>
                <w:lang w:eastAsia="zh-CN"/>
              </w:rPr>
              <w:t>项目标识</w:t>
            </w:r>
            <w:r>
              <w:rPr>
                <w:rFonts w:hint="eastAsia" w:ascii="楷体_GB2312" w:hAnsi="楷体_GB2312" w:eastAsia="楷体_GB2312" w:cs="楷体_GB2312"/>
                <w:color w:val="000000"/>
                <w:kern w:val="0"/>
                <w:szCs w:val="21"/>
                <w:lang w:eastAsia="zh-CN"/>
              </w:rPr>
              <w:t>】第【</w:t>
            </w:r>
            <w:r>
              <w:rPr>
                <w:rFonts w:hint="eastAsia" w:ascii="楷体_GB2312" w:hAnsi="楷体_GB2312" w:eastAsia="楷体_GB2312" w:cs="楷体_GB2312"/>
                <w:color w:val="000000"/>
                <w:kern w:val="0"/>
                <w:szCs w:val="21"/>
                <w:u w:val="single"/>
                <w:lang w:eastAsia="zh-CN"/>
              </w:rPr>
              <w:t xml:space="preserve"> </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】期</w:t>
            </w:r>
            <w:r>
              <w:rPr>
                <w:rFonts w:hint="eastAsia" w:ascii="楷体_GB2312" w:hAnsi="楷体_GB2312" w:eastAsia="楷体_GB2312" w:cs="楷体_GB2312"/>
                <w:color w:val="000000"/>
                <w:kern w:val="0"/>
                <w:szCs w:val="21"/>
                <w:lang w:val="en-US" w:eastAsia="zh-CN"/>
              </w:rPr>
              <w:t>定向</w:t>
            </w:r>
            <w:r>
              <w:rPr>
                <w:rFonts w:hint="eastAsia" w:ascii="楷体_GB2312" w:hAnsi="楷体_GB2312" w:eastAsia="楷体_GB2312" w:cs="楷体_GB2312"/>
                <w:color w:val="000000"/>
                <w:kern w:val="0"/>
                <w:szCs w:val="21"/>
                <w:lang w:eastAsia="zh-CN"/>
              </w:rPr>
              <w:t>资产支持商业票据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信托项下发行期数</w:t>
            </w:r>
          </w:p>
        </w:tc>
        <w:tc>
          <w:tcPr>
            <w:tcW w:w="5582"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b/>
                <w:bCs/>
                <w:i/>
                <w:iCs/>
                <w:color w:val="FF0000"/>
                <w:kern w:val="0"/>
                <w:szCs w:val="21"/>
                <w:u w:val="single"/>
                <w:lang w:val="en-US" w:eastAsia="zh-CN"/>
              </w:rPr>
              <w:t>信托名称</w:t>
            </w:r>
            <w:r>
              <w:rPr>
                <w:rStyle w:val="48"/>
                <w:rFonts w:hint="eastAsia" w:ascii="楷体_GB2312" w:hAnsi="楷体_GB2312" w:eastAsia="楷体_GB2312" w:cs="楷体_GB2312"/>
                <w:b/>
                <w:bCs/>
                <w:i/>
                <w:iCs/>
                <w:color w:val="FF0000"/>
                <w:kern w:val="0"/>
                <w:szCs w:val="21"/>
                <w:u w:val="single"/>
                <w:lang w:val="en-US" w:eastAsia="zh-CN"/>
              </w:rPr>
              <w:footnoteReference w:id="72"/>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项下第【</w:t>
            </w:r>
            <w:r>
              <w:rPr>
                <w:rFonts w:hint="eastAsia" w:ascii="楷体_GB2312" w:hAnsi="楷体_GB2312" w:eastAsia="楷体_GB2312" w:cs="楷体_GB2312"/>
                <w:color w:val="000000"/>
                <w:kern w:val="0"/>
                <w:szCs w:val="21"/>
                <w:u w:val="single"/>
                <w:lang w:eastAsia="zh-CN"/>
              </w:rPr>
              <w:t xml:space="preserve"> </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val="en-US" w:eastAsia="zh-CN"/>
              </w:rPr>
              <w:t>】期发行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发起机构全称</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宋体" w:cs="楷体_GB2312"/>
                <w:color w:val="000000"/>
                <w:kern w:val="0"/>
                <w:szCs w:val="21"/>
                <w:lang w:eastAsia="zh-CN"/>
              </w:rPr>
            </w:pPr>
            <w:r>
              <w:rPr>
                <w:rFonts w:hint="eastAsia" w:ascii="楷体_GB2312" w:hAnsi="楷体_GB2312" w:eastAsia="楷体_GB2312" w:cs="楷体_GB2312"/>
                <w:color w:val="000000"/>
                <w:kern w:val="0"/>
                <w:szCs w:val="21"/>
              </w:rPr>
              <w:t>待偿还债务融资余额</w:t>
            </w:r>
            <w:r>
              <w:rPr>
                <w:rStyle w:val="48"/>
              </w:rPr>
              <w:footnoteReference w:id="73"/>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val="en-US" w:eastAsia="zh-CN"/>
              </w:rPr>
              <w:t>债务融资工具</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rPr>
              <w:t>亿元</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公司债</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rPr>
              <w:t>亿元</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企业债</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rPr>
              <w:t>亿元</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ABN</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rPr>
              <w:t>亿元</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ABS</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rPr>
              <w:t>亿元</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如有</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注册通知书文号</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中市协注〔</w:t>
            </w:r>
            <w:r>
              <w:rPr>
                <w:rFonts w:hint="eastAsia" w:ascii="楷体_GB2312" w:hAnsi="楷体_GB2312" w:eastAsia="楷体_GB2312" w:cs="楷体_GB2312"/>
                <w:color w:val="000000"/>
                <w:kern w:val="0"/>
                <w:szCs w:val="21"/>
                <w:u w:val="none"/>
                <w:lang w:val="en-US" w:eastAsia="zh-CN"/>
              </w:rPr>
              <w:t xml:space="preserve">   </w:t>
            </w:r>
            <w:r>
              <w:rPr>
                <w:rFonts w:hint="eastAsia" w:ascii="楷体_GB2312" w:hAnsi="楷体_GB2312" w:eastAsia="楷体_GB2312" w:cs="楷体_GB2312"/>
                <w:color w:val="000000"/>
                <w:kern w:val="0"/>
                <w:szCs w:val="21"/>
              </w:rPr>
              <w:t>〕ABN【</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基础资产类型</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 w:val="24"/>
                <w:szCs w:val="24"/>
                <w:lang w:eastAsia="zh-CN"/>
              </w:rPr>
              <w:t>【</w:t>
            </w:r>
            <w:r>
              <w:rPr>
                <w:rFonts w:hint="eastAsia" w:ascii="楷体_GB2312" w:hAnsi="楷体_GB2312" w:eastAsia="楷体_GB2312" w:cs="楷体_GB2312"/>
                <w:color w:val="000000"/>
                <w:kern w:val="0"/>
                <w:szCs w:val="21"/>
                <w:u w:val="single"/>
                <w:lang w:eastAsia="zh-CN"/>
              </w:rPr>
              <w:t>应收账款/租赁债权</w:t>
            </w:r>
            <w:r>
              <w:rPr>
                <w:rFonts w:hint="eastAsia" w:ascii="楷体_GB2312" w:hAnsi="楷体_GB2312" w:eastAsia="楷体_GB2312" w:cs="楷体_GB2312"/>
                <w:color w:val="000000"/>
                <w:kern w:val="0"/>
                <w:szCs w:val="21"/>
                <w:u w:val="single"/>
                <w:lang w:val="en-US" w:eastAsia="zh-CN"/>
              </w:rPr>
              <w:t>/（其他）</w:t>
            </w:r>
            <w:r>
              <w:rPr>
                <w:rFonts w:hint="eastAsia" w:ascii="楷体_GB2312" w:hAnsi="楷体_GB2312" w:eastAsia="楷体_GB2312" w:cs="楷体_GB2312"/>
                <w:color w:val="000000"/>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rPr>
              <w:t>注册金额</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rPr>
              <w:t>亿元人民币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val="en-US" w:eastAsia="zh-CN"/>
              </w:rPr>
              <w:t>本期定向</w:t>
            </w:r>
            <w:r>
              <w:rPr>
                <w:rFonts w:hint="eastAsia" w:ascii="楷体_GB2312" w:hAnsi="楷体_GB2312" w:eastAsia="楷体_GB2312" w:cs="楷体_GB2312"/>
                <w:color w:val="000000"/>
                <w:kern w:val="0"/>
                <w:szCs w:val="21"/>
              </w:rPr>
              <w:t>发行金额</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rPr>
              <w:t>亿元人民币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rPr>
              <w:t>面值</w:t>
            </w:r>
          </w:p>
        </w:tc>
        <w:tc>
          <w:tcPr>
            <w:tcW w:w="5582" w:type="dxa"/>
            <w:noWrap w:val="0"/>
            <w:vAlign w:val="center"/>
          </w:tcPr>
          <w:p>
            <w:pPr>
              <w:widowControl/>
              <w:spacing w:after="0" w:line="240" w:lineRule="auto"/>
              <w:rPr>
                <w:rFonts w:hint="default" w:ascii="楷体_GB2312" w:hAnsi="楷体_GB2312" w:eastAsia="楷体_GB2312" w:cs="楷体_GB2312"/>
                <w:color w:val="000000"/>
                <w:kern w:val="0"/>
                <w:szCs w:val="21"/>
                <w:lang w:val="en-US"/>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eastAsia="zh-CN"/>
              </w:rPr>
              <w:t>牵头</w:t>
            </w:r>
            <w:r>
              <w:rPr>
                <w:rFonts w:hint="eastAsia" w:ascii="楷体_GB2312" w:hAnsi="楷体_GB2312" w:eastAsia="楷体_GB2312" w:cs="楷体_GB2312"/>
                <w:color w:val="000000"/>
                <w:kern w:val="0"/>
                <w:szCs w:val="21"/>
              </w:rPr>
              <w:t>主承销商</w:t>
            </w:r>
          </w:p>
        </w:tc>
        <w:tc>
          <w:tcPr>
            <w:tcW w:w="5582"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eastAsia="zh-CN"/>
              </w:rPr>
              <w:t>联席主承销商（</w:t>
            </w:r>
            <w:r>
              <w:rPr>
                <w:rFonts w:hint="eastAsia" w:ascii="楷体_GB2312" w:hAnsi="楷体_GB2312" w:eastAsia="楷体_GB2312" w:cs="楷体_GB2312"/>
                <w:color w:val="000000"/>
                <w:kern w:val="0"/>
                <w:szCs w:val="21"/>
                <w:lang w:val="en-US" w:eastAsia="zh-CN"/>
              </w:rPr>
              <w:t>如有</w:t>
            </w:r>
            <w:r>
              <w:rPr>
                <w:rFonts w:hint="eastAsia" w:ascii="楷体_GB2312" w:hAnsi="楷体_GB2312" w:eastAsia="楷体_GB2312" w:cs="楷体_GB2312"/>
                <w:color w:val="000000"/>
                <w:kern w:val="0"/>
                <w:szCs w:val="21"/>
                <w:lang w:eastAsia="zh-CN"/>
              </w:rPr>
              <w:t>）</w:t>
            </w:r>
          </w:p>
        </w:tc>
        <w:tc>
          <w:tcPr>
            <w:tcW w:w="5582"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簿记管理人</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发行对象</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经遴选的特定机构投资人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发行方式</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val="en-US" w:eastAsia="zh-CN"/>
              </w:rPr>
              <w:t>优先级</w:t>
            </w:r>
            <w:r>
              <w:rPr>
                <w:rFonts w:hint="eastAsia" w:ascii="楷体_GB2312" w:hAnsi="楷体_GB2312" w:eastAsia="楷体_GB2312" w:cs="楷体_GB2312"/>
                <w:color w:val="000000"/>
                <w:kern w:val="0"/>
                <w:szCs w:val="21"/>
                <w:lang w:eastAsia="zh-CN"/>
              </w:rPr>
              <w:t>资产支持商业票据</w:t>
            </w:r>
            <w:r>
              <w:rPr>
                <w:rFonts w:hint="eastAsia" w:ascii="楷体_GB2312" w:hAnsi="楷体_GB2312" w:eastAsia="楷体_GB2312" w:cs="楷体_GB2312"/>
                <w:color w:val="000000"/>
                <w:kern w:val="0"/>
                <w:szCs w:val="21"/>
              </w:rPr>
              <w:t>由主承销商组织承销团，通过集中簿记建档、集中配售的方式在银行间市场</w:t>
            </w:r>
            <w:r>
              <w:rPr>
                <w:rFonts w:hint="eastAsia" w:ascii="楷体_GB2312" w:hAnsi="楷体_GB2312" w:eastAsia="楷体_GB2312" w:cs="楷体_GB2312"/>
                <w:color w:val="000000"/>
                <w:kern w:val="0"/>
                <w:szCs w:val="21"/>
                <w:lang w:val="en-US" w:eastAsia="zh-CN"/>
              </w:rPr>
              <w:t>定向</w:t>
            </w:r>
            <w:r>
              <w:rPr>
                <w:rFonts w:hint="eastAsia" w:ascii="楷体_GB2312" w:hAnsi="楷体_GB2312" w:eastAsia="楷体_GB2312" w:cs="楷体_GB2312"/>
                <w:color w:val="000000"/>
                <w:kern w:val="0"/>
                <w:szCs w:val="21"/>
              </w:rPr>
              <w:t>发行</w:t>
            </w:r>
            <w:r>
              <w:rPr>
                <w:rFonts w:hint="eastAsia" w:ascii="楷体_GB2312" w:hAnsi="楷体_GB2312" w:eastAsia="楷体_GB2312" w:cs="楷体_GB2312"/>
                <w:color w:val="000000"/>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承销方式</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优先级资产支持商业票据余额包销/（其他）</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 w:val="21"/>
                <w:szCs w:val="21"/>
                <w:lang w:val="en-US" w:eastAsia="zh-CN" w:bidi="ar-SA"/>
              </w:rPr>
            </w:pPr>
            <w:r>
              <w:rPr>
                <w:rFonts w:hint="eastAsia" w:ascii="楷体_GB2312" w:hAnsi="楷体_GB2312" w:eastAsia="楷体_GB2312" w:cs="楷体_GB2312"/>
                <w:color w:val="000000"/>
                <w:kern w:val="0"/>
                <w:sz w:val="21"/>
                <w:szCs w:val="21"/>
              </w:rPr>
              <w:t>【</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】年【</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】月【</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缴款日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21"/>
                <w:szCs w:val="21"/>
              </w:rPr>
              <w:t>【</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】年【</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】月【</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起息日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21"/>
                <w:szCs w:val="21"/>
              </w:rPr>
              <w:t>【</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】年【</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】月【</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val="en-US" w:eastAsia="zh-CN"/>
              </w:rPr>
              <w:t>债权登记日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21"/>
                <w:szCs w:val="21"/>
              </w:rPr>
              <w:t>【</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】年【</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】月【</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val="en-US" w:eastAsia="zh-CN"/>
              </w:rPr>
              <w:t>信托</w:t>
            </w:r>
            <w:r>
              <w:rPr>
                <w:rFonts w:hint="eastAsia" w:ascii="楷体_GB2312" w:hAnsi="楷体_GB2312" w:eastAsia="楷体_GB2312" w:cs="楷体_GB2312"/>
                <w:color w:val="000000"/>
                <w:kern w:val="0"/>
                <w:szCs w:val="21"/>
              </w:rPr>
              <w:t>法定到期日</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 w:val="21"/>
                <w:szCs w:val="21"/>
              </w:rPr>
              <w:t>【</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】年【</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】月【</w:t>
            </w:r>
            <w:r>
              <w:rPr>
                <w:rFonts w:hint="eastAsia" w:ascii="楷体_GB2312" w:hAnsi="楷体_GB2312" w:eastAsia="楷体_GB2312" w:cs="楷体_GB2312"/>
                <w:color w:val="000000"/>
                <w:kern w:val="0"/>
                <w:sz w:val="21"/>
                <w:szCs w:val="21"/>
                <w:lang w:val="en-US" w:eastAsia="zh-CN"/>
              </w:rPr>
              <w:t xml:space="preserve">  </w:t>
            </w:r>
            <w:r>
              <w:rPr>
                <w:rFonts w:hint="eastAsia" w:ascii="楷体_GB2312" w:hAnsi="楷体_GB2312" w:eastAsia="楷体_GB2312" w:cs="楷体_GB2312"/>
                <w:color w:val="000000"/>
                <w:kern w:val="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年度计息天数</w:t>
            </w:r>
          </w:p>
        </w:tc>
        <w:tc>
          <w:tcPr>
            <w:tcW w:w="5582" w:type="dxa"/>
            <w:noWrap w:val="0"/>
            <w:vAlign w:val="center"/>
          </w:tcPr>
          <w:p>
            <w:pPr>
              <w:widowControl/>
              <w:spacing w:after="0" w:line="240" w:lineRule="auto"/>
              <w:rPr>
                <w:rFonts w:hint="default" w:ascii="楷体_GB2312" w:hAnsi="楷体_GB2312" w:eastAsia="楷体_GB2312" w:cs="楷体_GB2312"/>
                <w:color w:val="000000"/>
                <w:kern w:val="0"/>
                <w:szCs w:val="21"/>
                <w:lang w:val="en-US"/>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发行载体管理机构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资产服务机构</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如有</w:t>
            </w:r>
            <w:r>
              <w:rPr>
                <w:rFonts w:hint="eastAsia" w:ascii="楷体_GB2312" w:hAnsi="楷体_GB2312" w:eastAsia="楷体_GB2312" w:cs="楷体_GB2312"/>
                <w:color w:val="000000"/>
                <w:kern w:val="0"/>
                <w:szCs w:val="21"/>
                <w:lang w:eastAsia="zh-CN"/>
              </w:rPr>
              <w:t>）</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资金监管机构</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如有</w:t>
            </w:r>
            <w:r>
              <w:rPr>
                <w:rFonts w:hint="eastAsia" w:ascii="楷体_GB2312" w:hAnsi="楷体_GB2312" w:eastAsia="楷体_GB2312" w:cs="楷体_GB2312"/>
                <w:color w:val="000000"/>
                <w:kern w:val="0"/>
                <w:szCs w:val="21"/>
                <w:lang w:eastAsia="zh-CN"/>
              </w:rPr>
              <w:t>）</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资金保管机构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val="en-US" w:eastAsia="zh-CN"/>
              </w:rPr>
              <w:t>信用</w:t>
            </w:r>
            <w:r>
              <w:rPr>
                <w:rFonts w:hint="eastAsia" w:ascii="楷体_GB2312" w:hAnsi="楷体_GB2312" w:eastAsia="楷体_GB2312" w:cs="楷体_GB2312"/>
                <w:color w:val="000000"/>
                <w:kern w:val="0"/>
                <w:szCs w:val="21"/>
              </w:rPr>
              <w:t>评级机构</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如有</w:t>
            </w:r>
            <w:r>
              <w:rPr>
                <w:rFonts w:hint="eastAsia" w:ascii="楷体_GB2312" w:hAnsi="楷体_GB2312" w:eastAsia="楷体_GB2312" w:cs="楷体_GB2312"/>
                <w:color w:val="000000"/>
                <w:kern w:val="0"/>
                <w:szCs w:val="21"/>
                <w:lang w:eastAsia="zh-CN"/>
              </w:rPr>
              <w:t>）</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信用增级主体及增信措施（如有）</w:t>
            </w:r>
          </w:p>
        </w:tc>
        <w:tc>
          <w:tcPr>
            <w:tcW w:w="5582"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XX</w:t>
            </w:r>
            <w:r>
              <w:rPr>
                <w:rFonts w:hint="eastAsia" w:ascii="楷体_GB2312" w:hAnsi="楷体_GB2312" w:eastAsia="楷体_GB2312" w:cs="楷体_GB2312"/>
                <w:i w:val="0"/>
                <w:iCs w:val="0"/>
                <w:color w:val="auto"/>
                <w:kern w:val="0"/>
                <w:szCs w:val="21"/>
                <w:u w:val="single"/>
                <w:lang w:val="en-US" w:eastAsia="zh-CN"/>
              </w:rPr>
              <w:t>公司作为差额支付承诺人/（其他）</w:t>
            </w:r>
            <w:r>
              <w:rPr>
                <w:rFonts w:hint="eastAsia" w:ascii="楷体_GB2312" w:hAnsi="楷体_GB2312" w:eastAsia="楷体_GB2312" w:cs="楷体_GB2312"/>
                <w:color w:val="000000"/>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2797"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现金流预测机构</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如有</w:t>
            </w:r>
            <w:r>
              <w:rPr>
                <w:rFonts w:hint="eastAsia" w:ascii="楷体_GB2312" w:hAnsi="楷体_GB2312" w:eastAsia="楷体_GB2312" w:cs="楷体_GB2312"/>
                <w:color w:val="000000"/>
                <w:kern w:val="0"/>
                <w:szCs w:val="21"/>
                <w:lang w:eastAsia="zh-CN"/>
              </w:rPr>
              <w:t>）</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97" w:type="dxa"/>
            <w:noWrap w:val="0"/>
            <w:vAlign w:val="center"/>
          </w:tcPr>
          <w:p>
            <w:pPr>
              <w:widowControl/>
              <w:spacing w:after="0" w:line="240" w:lineRule="auto"/>
              <w:rPr>
                <w:rFonts w:hint="default" w:ascii="楷体_GB2312" w:hAnsi="楷体_GB2312" w:eastAsia="楷体_GB2312" w:cs="楷体_GB2312"/>
                <w:color w:val="000000"/>
                <w:kern w:val="0"/>
                <w:sz w:val="21"/>
                <w:szCs w:val="21"/>
                <w:lang w:val="en-US" w:eastAsia="zh-CN" w:bidi="ar-SA"/>
              </w:rPr>
            </w:pPr>
            <w:r>
              <w:rPr>
                <w:rFonts w:hint="eastAsia" w:ascii="楷体_GB2312" w:hAnsi="楷体_GB2312" w:eastAsia="楷体_GB2312" w:cs="楷体_GB2312"/>
                <w:color w:val="000000"/>
                <w:kern w:val="0"/>
                <w:szCs w:val="21"/>
                <w:lang w:val="en-US" w:eastAsia="zh-CN"/>
              </w:rPr>
              <w:t>资产评估机构</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如有</w:t>
            </w:r>
            <w:r>
              <w:rPr>
                <w:rFonts w:hint="eastAsia" w:ascii="楷体_GB2312" w:hAnsi="楷体_GB2312" w:eastAsia="楷体_GB2312" w:cs="楷体_GB2312"/>
                <w:color w:val="000000"/>
                <w:kern w:val="0"/>
                <w:szCs w:val="21"/>
                <w:lang w:eastAsia="zh-CN"/>
              </w:rPr>
              <w:t>）</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 w:val="21"/>
                <w:szCs w:val="21"/>
                <w:lang w:val="en-US" w:eastAsia="zh-CN" w:bidi="ar-SA"/>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律师事务所</w:t>
            </w:r>
          </w:p>
        </w:tc>
        <w:tc>
          <w:tcPr>
            <w:tcW w:w="5582"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会计师事务所</w:t>
            </w:r>
            <w:r>
              <w:rPr>
                <w:rStyle w:val="48"/>
                <w:rFonts w:hint="eastAsia" w:ascii="楷体_GB2312" w:hAnsi="楷体_GB2312" w:eastAsia="楷体_GB2312" w:cs="楷体_GB2312"/>
                <w:color w:val="000000"/>
                <w:kern w:val="0"/>
                <w:szCs w:val="21"/>
              </w:rPr>
              <w:footnoteReference w:id="74"/>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登记托管机构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银行间市场清算所股份有限公司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797"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存续期管理机构</w:t>
            </w:r>
          </w:p>
        </w:tc>
        <w:tc>
          <w:tcPr>
            <w:tcW w:w="5582"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lang w:eastAsia="zh-CN"/>
              </w:rPr>
              <w:t>】</w:t>
            </w:r>
          </w:p>
        </w:tc>
      </w:tr>
    </w:tbl>
    <w:p>
      <w:pPr>
        <w:keepNext w:val="0"/>
        <w:keepLines w:val="0"/>
        <w:pageBreakBefore w:val="0"/>
        <w:widowControl w:val="0"/>
        <w:kinsoku/>
        <w:wordWrap/>
        <w:overflowPunct/>
        <w:topLinePunct w:val="0"/>
        <w:autoSpaceDE w:val="0"/>
        <w:autoSpaceDN w:val="0"/>
        <w:bidi w:val="0"/>
        <w:adjustRightInd w:val="0"/>
        <w:spacing w:before="144" w:beforeLines="50" w:after="156"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205" w:name="_Toc23063"/>
      <w:bookmarkStart w:id="4206" w:name="_Toc29651"/>
      <w:bookmarkStart w:id="4207" w:name="_Toc5269"/>
      <w:r>
        <w:rPr>
          <w:rFonts w:hint="eastAsia" w:ascii="楷体_GB2312" w:hAnsi="楷体_GB2312" w:eastAsia="楷体_GB2312" w:cs="楷体_GB2312"/>
          <w:b/>
          <w:kern w:val="0"/>
          <w:sz w:val="24"/>
          <w:szCs w:val="24"/>
        </w:rPr>
        <w:t>二、</w:t>
      </w:r>
      <w:r>
        <w:rPr>
          <w:rFonts w:hint="eastAsia" w:ascii="楷体_GB2312" w:hAnsi="楷体_GB2312" w:eastAsia="楷体_GB2312" w:cs="楷体_GB2312"/>
          <w:b/>
          <w:kern w:val="0"/>
          <w:sz w:val="24"/>
          <w:szCs w:val="24"/>
          <w:lang w:val="en-US" w:eastAsia="zh-CN"/>
        </w:rPr>
        <w:t>定向</w:t>
      </w:r>
      <w:r>
        <w:rPr>
          <w:rFonts w:hint="eastAsia" w:ascii="楷体_GB2312" w:hAnsi="楷体_GB2312" w:eastAsia="楷体_GB2312" w:cs="楷体_GB2312"/>
          <w:b/>
          <w:kern w:val="0"/>
          <w:sz w:val="24"/>
          <w:szCs w:val="24"/>
          <w:lang w:eastAsia="zh-CN"/>
        </w:rPr>
        <w:t>资产支持商业票据</w:t>
      </w:r>
      <w:r>
        <w:rPr>
          <w:rFonts w:hint="eastAsia" w:ascii="楷体_GB2312" w:hAnsi="楷体_GB2312" w:eastAsia="楷体_GB2312" w:cs="楷体_GB2312"/>
          <w:b/>
          <w:kern w:val="0"/>
          <w:sz w:val="24"/>
          <w:szCs w:val="24"/>
        </w:rPr>
        <w:t>分层情况</w:t>
      </w:r>
      <w:bookmarkEnd w:id="4205"/>
      <w:bookmarkEnd w:id="4206"/>
      <w:bookmarkEnd w:id="4207"/>
    </w:p>
    <w:p>
      <w:pPr>
        <w:pStyle w:val="176"/>
        <w:keepNext w:val="0"/>
        <w:keepLines w:val="0"/>
        <w:pageBreakBefore w:val="0"/>
        <w:widowControl w:val="0"/>
        <w:kinsoku/>
        <w:wordWrap/>
        <w:overflowPunct/>
        <w:topLinePunct w:val="0"/>
        <w:autoSpaceDE w:val="0"/>
        <w:autoSpaceDN w:val="0"/>
        <w:bidi w:val="0"/>
        <w:adjustRightInd w:val="0"/>
        <w:snapToGrid w:val="0"/>
        <w:spacing w:before="144" w:beforeLines="50" w:after="156" w:afterLines="50" w:line="240" w:lineRule="atLeast"/>
        <w:jc w:val="center"/>
        <w:textAlignment w:val="auto"/>
        <w:rPr>
          <w:rFonts w:hint="eastAsia" w:ascii="楷体_GB2312" w:hAnsi="楷体_GB2312" w:eastAsia="楷体_GB2312" w:cs="楷体_GB2312"/>
          <w:b/>
          <w:snapToGrid w:val="0"/>
        </w:rPr>
      </w:pPr>
      <w:r>
        <w:rPr>
          <w:rFonts w:hint="eastAsia" w:ascii="楷体_GB2312" w:hAnsi="楷体_GB2312" w:eastAsia="楷体_GB2312" w:cs="楷体_GB2312"/>
          <w:b/>
          <w:snapToGrid w:val="0"/>
        </w:rPr>
        <w:t>表</w:t>
      </w:r>
      <w:r>
        <w:rPr>
          <w:rFonts w:hint="eastAsia" w:ascii="楷体_GB2312" w:hAnsi="楷体_GB2312" w:eastAsia="楷体_GB2312" w:cs="楷体_GB2312"/>
          <w:b/>
          <w:snapToGrid w:val="0"/>
          <w:lang w:val="en-US" w:eastAsia="zh-CN"/>
        </w:rPr>
        <w:t>1</w:t>
      </w:r>
      <w:r>
        <w:rPr>
          <w:rFonts w:hint="eastAsia" w:ascii="楷体_GB2312" w:hAnsi="楷体_GB2312" w:eastAsia="楷体_GB2312" w:cs="楷体_GB2312"/>
          <w:b/>
          <w:snapToGrid w:val="0"/>
        </w:rPr>
        <w:t>-2：</w:t>
      </w:r>
      <w:r>
        <w:rPr>
          <w:rFonts w:hint="eastAsia" w:ascii="楷体_GB2312" w:hAnsi="楷体_GB2312" w:eastAsia="楷体_GB2312" w:cs="楷体_GB2312"/>
          <w:b/>
          <w:snapToGrid w:val="0"/>
          <w:lang w:val="en-US" w:eastAsia="zh-CN"/>
        </w:rPr>
        <w:t>定向</w:t>
      </w:r>
      <w:r>
        <w:rPr>
          <w:rFonts w:hint="eastAsia" w:ascii="楷体_GB2312" w:hAnsi="楷体_GB2312" w:eastAsia="楷体_GB2312" w:cs="楷体_GB2312"/>
          <w:b/>
          <w:snapToGrid w:val="0"/>
          <w:lang w:eastAsia="zh-CN"/>
        </w:rPr>
        <w:t>资产支持商业票据</w:t>
      </w:r>
      <w:r>
        <w:rPr>
          <w:rFonts w:hint="eastAsia" w:ascii="楷体_GB2312" w:hAnsi="楷体_GB2312" w:eastAsia="楷体_GB2312" w:cs="楷体_GB2312"/>
          <w:b/>
          <w:snapToGrid w:val="0"/>
        </w:rPr>
        <w:t>分层情况</w:t>
      </w:r>
    </w:p>
    <w:tbl>
      <w:tblPr>
        <w:tblStyle w:val="41"/>
        <w:tblW w:w="82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2948"/>
        <w:gridCol w:w="29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各档名称</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rPr>
              <w:t>优先级</w:t>
            </w:r>
            <w:r>
              <w:rPr>
                <w:rFonts w:hint="eastAsia" w:ascii="楷体_GB2312" w:hAnsi="楷体_GB2312" w:eastAsia="楷体_GB2312" w:cs="楷体_GB2312"/>
                <w:color w:val="000000"/>
                <w:kern w:val="0"/>
                <w:szCs w:val="21"/>
                <w:lang w:eastAsia="zh-CN"/>
              </w:rPr>
              <w:t>资产支持商业票据</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rPr>
              <w:t>次级</w:t>
            </w:r>
            <w:r>
              <w:rPr>
                <w:rFonts w:hint="eastAsia" w:ascii="楷体_GB2312" w:hAnsi="楷体_GB2312" w:eastAsia="楷体_GB2312" w:cs="楷体_GB2312"/>
                <w:color w:val="000000"/>
                <w:kern w:val="0"/>
                <w:szCs w:val="21"/>
                <w:lang w:eastAsia="zh-CN"/>
              </w:rPr>
              <w:t>资产支持商业票据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24"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是否本期发行</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w:t>
            </w:r>
            <w:r>
              <w:rPr>
                <w:rFonts w:hint="eastAsia" w:ascii="楷体_GB2312" w:hAnsi="楷体_GB2312" w:eastAsia="楷体_GB2312" w:cs="楷体_GB2312"/>
                <w:color w:val="000000"/>
                <w:kern w:val="0"/>
                <w:sz w:val="21"/>
                <w:szCs w:val="21"/>
                <w:u w:val="single"/>
                <w:lang w:val="en-US" w:eastAsia="zh-CN"/>
              </w:rPr>
              <w:t>本期发行/存续</w:t>
            </w:r>
            <w:r>
              <w:rPr>
                <w:rFonts w:hint="eastAsia" w:ascii="楷体_GB2312" w:hAnsi="楷体_GB2312" w:eastAsia="楷体_GB2312" w:cs="楷体_GB2312"/>
                <w:color w:val="000000"/>
                <w:kern w:val="0"/>
                <w:szCs w:val="21"/>
                <w:lang w:val="en-US" w:eastAsia="zh-CN"/>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val="en-US" w:eastAsia="zh-CN"/>
              </w:rPr>
              <w:t>【</w:t>
            </w:r>
            <w:r>
              <w:rPr>
                <w:rFonts w:hint="eastAsia" w:ascii="楷体_GB2312" w:hAnsi="楷体_GB2312" w:eastAsia="楷体_GB2312" w:cs="楷体_GB2312"/>
                <w:color w:val="000000"/>
                <w:kern w:val="0"/>
                <w:sz w:val="21"/>
                <w:szCs w:val="21"/>
                <w:u w:val="single"/>
                <w:lang w:val="en-US" w:eastAsia="zh-CN"/>
              </w:rPr>
              <w:t>本期发行/存续</w:t>
            </w:r>
            <w:r>
              <w:rPr>
                <w:rFonts w:hint="eastAsia" w:ascii="楷体_GB2312" w:hAnsi="楷体_GB2312" w:eastAsia="楷体_GB2312" w:cs="楷体_GB2312"/>
                <w:color w:val="000000"/>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金额（</w:t>
            </w:r>
            <w:r>
              <w:rPr>
                <w:rFonts w:hint="eastAsia" w:ascii="楷体_GB2312" w:hAnsi="楷体_GB2312" w:eastAsia="楷体_GB2312" w:cs="楷体_GB2312"/>
                <w:color w:val="000000"/>
                <w:kern w:val="0"/>
                <w:szCs w:val="21"/>
                <w:lang w:val="en-US" w:eastAsia="zh-CN"/>
              </w:rPr>
              <w:t>亿</w:t>
            </w:r>
            <w:r>
              <w:rPr>
                <w:rFonts w:hint="eastAsia" w:ascii="楷体_GB2312" w:hAnsi="楷体_GB2312" w:eastAsia="楷体_GB2312" w:cs="楷体_GB2312"/>
                <w:color w:val="000000"/>
                <w:kern w:val="0"/>
                <w:szCs w:val="21"/>
              </w:rPr>
              <w:t>元）</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rPr>
              <w:t>占比</w:t>
            </w:r>
            <w:r>
              <w:rPr>
                <w:rFonts w:hint="eastAsia" w:ascii="楷体_GB2312" w:hAnsi="楷体_GB2312" w:eastAsia="楷体_GB2312" w:cs="楷体_GB2312"/>
                <w:color w:val="000000"/>
                <w:kern w:val="0"/>
                <w:szCs w:val="21"/>
                <w:lang w:eastAsia="zh-CN"/>
              </w:rPr>
              <w:t>（</w:t>
            </w:r>
            <w:r>
              <w:rPr>
                <w:rFonts w:hint="eastAsia" w:ascii="楷体_GB2312" w:hAnsi="楷体_GB2312" w:eastAsia="楷体_GB2312" w:cs="楷体_GB2312"/>
                <w:color w:val="000000"/>
                <w:kern w:val="0"/>
                <w:szCs w:val="21"/>
                <w:lang w:val="en-US" w:eastAsia="zh-CN"/>
              </w:rPr>
              <w:t>%</w:t>
            </w:r>
            <w:r>
              <w:rPr>
                <w:rFonts w:hint="eastAsia" w:ascii="楷体_GB2312" w:hAnsi="楷体_GB2312" w:eastAsia="楷体_GB2312" w:cs="楷体_GB2312"/>
                <w:color w:val="000000"/>
                <w:kern w:val="0"/>
                <w:szCs w:val="21"/>
                <w:lang w:eastAsia="zh-CN"/>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期限</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支付日</w:t>
            </w:r>
            <w:r>
              <w:rPr>
                <w:rStyle w:val="48"/>
                <w:rFonts w:hint="eastAsia" w:ascii="楷体_GB2312" w:hAnsi="楷体_GB2312" w:eastAsia="楷体_GB2312" w:cs="楷体_GB2312"/>
                <w:color w:val="000000"/>
                <w:kern w:val="0"/>
                <w:szCs w:val="21"/>
                <w:lang w:val="en-US" w:eastAsia="zh-CN"/>
              </w:rPr>
              <w:footnoteReference w:id="75"/>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】月【</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】日</w:t>
            </w:r>
          </w:p>
          <w:p>
            <w:pPr>
              <w:widowControl/>
              <w:spacing w:after="0" w:line="240" w:lineRule="auto"/>
              <w:jc w:val="center"/>
              <w:rPr>
                <w:rFonts w:hint="eastAsia"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rPr>
              <w:t>【  】年【</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】月【</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】日</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】月【</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】日</w:t>
            </w:r>
          </w:p>
          <w:p>
            <w:pPr>
              <w:widowControl/>
              <w:spacing w:after="0" w:line="240" w:lineRule="auto"/>
              <w:jc w:val="center"/>
              <w:rPr>
                <w:rFonts w:hint="eastAsia"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rPr>
              <w:t>【  】年【</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】月【</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b w:val="0"/>
                <w:bCs/>
                <w:color w:val="000000"/>
                <w:kern w:val="0"/>
                <w:sz w:val="21"/>
                <w:szCs w:val="21"/>
                <w:highlight w:val="none"/>
                <w:lang w:val="en-US" w:eastAsia="zh-CN"/>
              </w:rPr>
              <w:t>【</w:t>
            </w:r>
            <w:r>
              <w:rPr>
                <w:rFonts w:hint="eastAsia" w:ascii="楷体_GB2312" w:hAnsi="楷体_GB2312" w:eastAsia="楷体_GB2312" w:cs="楷体_GB2312"/>
                <w:b w:val="0"/>
                <w:bCs/>
                <w:color w:val="000000"/>
                <w:kern w:val="0"/>
                <w:sz w:val="21"/>
                <w:szCs w:val="21"/>
                <w:highlight w:val="none"/>
                <w:u w:val="single"/>
                <w:lang w:val="en-US" w:eastAsia="zh-CN"/>
              </w:rPr>
              <w:t>预期</w:t>
            </w:r>
            <w:r>
              <w:rPr>
                <w:rFonts w:hint="eastAsia" w:ascii="楷体_GB2312" w:hAnsi="楷体_GB2312" w:eastAsia="楷体_GB2312" w:cs="楷体_GB2312"/>
                <w:b w:val="0"/>
                <w:bCs/>
                <w:color w:val="000000"/>
                <w:kern w:val="0"/>
                <w:sz w:val="21"/>
                <w:szCs w:val="21"/>
                <w:highlight w:val="none"/>
                <w:u w:val="single"/>
              </w:rPr>
              <w:t>到期日</w:t>
            </w:r>
            <w:r>
              <w:rPr>
                <w:rFonts w:hint="eastAsia" w:ascii="楷体_GB2312" w:hAnsi="楷体_GB2312" w:eastAsia="楷体_GB2312" w:cs="楷体_GB2312"/>
                <w:b w:val="0"/>
                <w:bCs/>
                <w:color w:val="000000"/>
                <w:kern w:val="0"/>
                <w:sz w:val="21"/>
                <w:szCs w:val="21"/>
                <w:highlight w:val="none"/>
                <w:u w:val="single"/>
                <w:lang w:val="en-US" w:eastAsia="zh-CN"/>
              </w:rPr>
              <w:t>/到期日</w:t>
            </w:r>
            <w:r>
              <w:rPr>
                <w:rFonts w:hint="eastAsia" w:ascii="楷体_GB2312" w:hAnsi="楷体_GB2312" w:eastAsia="楷体_GB2312" w:cs="楷体_GB2312"/>
                <w:b w:val="0"/>
                <w:bCs/>
                <w:color w:val="000000"/>
                <w:kern w:val="0"/>
                <w:sz w:val="21"/>
                <w:szCs w:val="21"/>
                <w:highlight w:val="none"/>
                <w:lang w:eastAsia="zh-CN"/>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】月【</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】日</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  】年【</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】月【</w:t>
            </w:r>
            <w:r>
              <w:rPr>
                <w:rFonts w:hint="eastAsia" w:ascii="楷体_GB2312" w:hAnsi="楷体_GB2312" w:eastAsia="楷体_GB2312" w:cs="楷体_GB2312"/>
                <w:color w:val="000000"/>
                <w:kern w:val="0"/>
                <w:szCs w:val="21"/>
                <w:lang w:val="en-US" w:eastAsia="zh-CN"/>
              </w:rPr>
              <w:t xml:space="preserve">  </w:t>
            </w:r>
            <w:r>
              <w:rPr>
                <w:rFonts w:hint="eastAsia" w:ascii="楷体_GB2312" w:hAnsi="楷体_GB2312" w:eastAsia="楷体_GB2312" w:cs="楷体_GB2312"/>
                <w:color w:val="000000"/>
                <w:kern w:val="0"/>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eastAsia="zh-CN"/>
              </w:rPr>
              <w:t>还本付息</w:t>
            </w:r>
            <w:r>
              <w:rPr>
                <w:rFonts w:hint="eastAsia" w:ascii="楷体_GB2312" w:hAnsi="楷体_GB2312" w:eastAsia="楷体_GB2312" w:cs="楷体_GB2312"/>
                <w:color w:val="000000"/>
                <w:kern w:val="0"/>
                <w:szCs w:val="21"/>
              </w:rPr>
              <w:t>方式</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t>评级（如有）</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color w:val="000000"/>
                <w:kern w:val="0"/>
                <w:szCs w:val="21"/>
              </w:rPr>
              <w:t>】</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eastAsia="zh-CN"/>
              </w:rPr>
              <w:t>利率类型</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eastAsia="zh-CN"/>
              </w:rPr>
              <w:t>固定利率</w:t>
            </w:r>
          </w:p>
        </w:tc>
        <w:tc>
          <w:tcPr>
            <w:tcW w:w="2948" w:type="dxa"/>
            <w:noWrap w:val="0"/>
            <w:vAlign w:val="center"/>
          </w:tcPr>
          <w:p>
            <w:pPr>
              <w:widowControl/>
              <w:spacing w:after="0" w:line="240" w:lineRule="auto"/>
              <w:jc w:val="center"/>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定价方式</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优先级</w:t>
            </w:r>
            <w:r>
              <w:rPr>
                <w:rFonts w:hint="eastAsia" w:ascii="楷体_GB2312" w:hAnsi="楷体_GB2312" w:eastAsia="楷体_GB2312" w:cs="楷体_GB2312"/>
                <w:color w:val="000000"/>
                <w:kern w:val="0"/>
                <w:szCs w:val="21"/>
                <w:lang w:eastAsia="zh-CN"/>
              </w:rPr>
              <w:t>资产支持商业票据</w:t>
            </w:r>
            <w:r>
              <w:rPr>
                <w:rFonts w:hint="eastAsia" w:ascii="楷体_GB2312" w:hAnsi="楷体_GB2312" w:eastAsia="楷体_GB2312" w:cs="楷体_GB2312"/>
                <w:color w:val="000000"/>
                <w:kern w:val="0"/>
                <w:szCs w:val="21"/>
              </w:rPr>
              <w:t>票面利率由集中簿记建档结果确定</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rPr>
              <w:t>次级资产支持商业票据无票面利率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发行对象</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经遴选的特定机构投资人</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val="en-US" w:eastAsia="zh-CN"/>
              </w:rPr>
              <w:t>发起机构拟自持次级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2324"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流通范围：</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rPr>
            </w:pPr>
            <w:r>
              <w:rPr>
                <w:rFonts w:hint="eastAsia" w:ascii="楷体_GB2312" w:hAnsi="楷体_GB2312" w:eastAsia="楷体_GB2312" w:cs="楷体_GB2312"/>
                <w:color w:val="000000"/>
                <w:kern w:val="0"/>
                <w:szCs w:val="21"/>
              </w:rPr>
              <w:t>经遴选的特定机构投资人</w:t>
            </w:r>
          </w:p>
        </w:tc>
        <w:tc>
          <w:tcPr>
            <w:tcW w:w="2948" w:type="dxa"/>
            <w:noWrap w:val="0"/>
            <w:vAlign w:val="center"/>
          </w:tcPr>
          <w:p>
            <w:pPr>
              <w:widowControl/>
              <w:spacing w:after="0" w:line="240" w:lineRule="auto"/>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val="en-US" w:eastAsia="zh-CN"/>
              </w:rPr>
              <w:t>除非根据生效判决或裁定，或发行载体管理机构事先的书面同意，发起机构以风险自留为目的认购的次级资产支持商业票据不得交易转让。</w:t>
            </w:r>
          </w:p>
        </w:tc>
      </w:tr>
    </w:tbl>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default" w:ascii="楷体_GB2312" w:hAnsi="楷体_GB2312" w:eastAsia="楷体_GB2312" w:cs="楷体_GB2312"/>
          <w:b/>
          <w:kern w:val="0"/>
          <w:sz w:val="24"/>
          <w:szCs w:val="24"/>
          <w:lang w:val="en-US" w:eastAsia="zh-CN"/>
        </w:rPr>
      </w:pPr>
      <w:bookmarkStart w:id="4208" w:name="_Toc7926"/>
      <w:bookmarkStart w:id="4209" w:name="_Toc28145"/>
      <w:bookmarkStart w:id="4210" w:name="_Toc31917"/>
      <w:r>
        <w:rPr>
          <w:rFonts w:hint="eastAsia" w:ascii="楷体_GB2312" w:hAnsi="楷体_GB2312" w:eastAsia="楷体_GB2312" w:cs="楷体_GB2312"/>
          <w:b/>
          <w:kern w:val="0"/>
          <w:sz w:val="24"/>
          <w:szCs w:val="24"/>
          <w:lang w:val="en-US" w:eastAsia="zh-CN"/>
        </w:rPr>
        <w:t>三</w:t>
      </w:r>
      <w:r>
        <w:rPr>
          <w:rFonts w:hint="eastAsia" w:ascii="楷体_GB2312" w:hAnsi="楷体_GB2312" w:eastAsia="楷体_GB2312" w:cs="楷体_GB2312"/>
          <w:b/>
          <w:kern w:val="0"/>
          <w:sz w:val="24"/>
          <w:szCs w:val="24"/>
        </w:rPr>
        <w:t>、</w:t>
      </w:r>
      <w:r>
        <w:rPr>
          <w:rFonts w:hint="eastAsia" w:ascii="楷体_GB2312" w:hAnsi="楷体_GB2312" w:eastAsia="楷体_GB2312" w:cs="楷体_GB2312"/>
          <w:b/>
          <w:kern w:val="0"/>
          <w:sz w:val="24"/>
          <w:szCs w:val="24"/>
          <w:lang w:val="en-US" w:eastAsia="zh-CN"/>
        </w:rPr>
        <w:t>发行安排</w:t>
      </w:r>
      <w:bookmarkEnd w:id="4208"/>
      <w:bookmarkEnd w:id="4209"/>
      <w:bookmarkEnd w:id="4210"/>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（一）集中簿记建档安排</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val="en-US" w:eastAsia="zh-CN"/>
        </w:rPr>
      </w:pPr>
      <w:r>
        <w:rPr>
          <w:rFonts w:hint="eastAsia" w:ascii="楷体_GB2312" w:hAnsi="楷体_GB2312" w:eastAsia="楷体_GB2312" w:cs="楷体_GB2312"/>
          <w:b w:val="0"/>
          <w:bCs w:val="0"/>
          <w:kern w:val="0"/>
          <w:sz w:val="24"/>
          <w:szCs w:val="24"/>
          <w:lang w:val="en-US" w:eastAsia="zh-CN"/>
        </w:rPr>
        <w:t>1、本期资产支持商业票据簿记管理人为【</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b w:val="0"/>
          <w:bCs w:val="0"/>
          <w:kern w:val="0"/>
          <w:sz w:val="24"/>
          <w:szCs w:val="24"/>
          <w:lang w:val="en-US" w:eastAsia="zh-CN"/>
        </w:rPr>
        <w:t>】，本期资产支持商业票据承销商须在【  】年【  】月【  】日【</w:t>
      </w:r>
      <w:r>
        <w:rPr>
          <w:rFonts w:hint="eastAsia" w:ascii="楷体_GB2312" w:hAnsi="楷体_GB2312" w:eastAsia="楷体_GB2312" w:cs="楷体_GB2312"/>
          <w:b/>
          <w:bCs/>
          <w:i/>
          <w:iCs/>
          <w:color w:val="FF0000"/>
          <w:kern w:val="0"/>
          <w:sz w:val="24"/>
          <w:szCs w:val="24"/>
          <w:u w:val="single"/>
          <w:lang w:val="en-US" w:eastAsia="zh-CN"/>
        </w:rPr>
        <w:t>时间截点</w:t>
      </w:r>
      <w:r>
        <w:rPr>
          <w:rFonts w:hint="eastAsia" w:ascii="楷体_GB2312" w:hAnsi="楷体_GB2312" w:eastAsia="楷体_GB2312" w:cs="楷体_GB2312"/>
          <w:b w:val="0"/>
          <w:bCs w:val="0"/>
          <w:kern w:val="0"/>
          <w:sz w:val="24"/>
          <w:szCs w:val="24"/>
          <w:lang w:val="en-US" w:eastAsia="zh-CN"/>
        </w:rPr>
        <w:t>】至【  】年【  】月【  】日【</w:t>
      </w:r>
      <w:r>
        <w:rPr>
          <w:rFonts w:hint="eastAsia" w:ascii="楷体_GB2312" w:hAnsi="楷体_GB2312" w:eastAsia="楷体_GB2312" w:cs="楷体_GB2312"/>
          <w:b/>
          <w:bCs/>
          <w:i/>
          <w:iCs/>
          <w:color w:val="FF0000"/>
          <w:kern w:val="0"/>
          <w:sz w:val="24"/>
          <w:szCs w:val="24"/>
          <w:u w:val="single"/>
          <w:lang w:val="en-US" w:eastAsia="zh-CN"/>
        </w:rPr>
        <w:t>时间截点</w:t>
      </w:r>
      <w:r>
        <w:rPr>
          <w:rFonts w:hint="eastAsia" w:ascii="楷体_GB2312" w:hAnsi="楷体_GB2312" w:eastAsia="楷体_GB2312" w:cs="楷体_GB2312"/>
          <w:b w:val="0"/>
          <w:bCs w:val="0"/>
          <w:kern w:val="0"/>
          <w:sz w:val="24"/>
          <w:szCs w:val="24"/>
          <w:lang w:val="en-US" w:eastAsia="zh-CN"/>
        </w:rPr>
        <w:t>】，通过集中簿记建档系统向簿记管理人提交《【</w:t>
      </w:r>
      <w:r>
        <w:rPr>
          <w:rFonts w:hint="eastAsia" w:ascii="楷体_GB2312" w:hAnsi="楷体_GB2312" w:eastAsia="楷体_GB2312" w:cs="楷体_GB2312"/>
          <w:b/>
          <w:bCs/>
          <w:i/>
          <w:iCs/>
          <w:color w:val="FF0000"/>
          <w:kern w:val="0"/>
          <w:sz w:val="24"/>
          <w:szCs w:val="24"/>
          <w:u w:val="single"/>
          <w:lang w:val="en-US" w:eastAsia="zh-CN"/>
        </w:rPr>
        <w:t>定向资产支持商业票据名称</w:t>
      </w:r>
      <w:r>
        <w:rPr>
          <w:rFonts w:hint="eastAsia" w:ascii="楷体_GB2312" w:hAnsi="楷体_GB2312" w:eastAsia="楷体_GB2312" w:cs="楷体_GB2312"/>
          <w:b w:val="0"/>
          <w:bCs w:val="0"/>
          <w:kern w:val="0"/>
          <w:sz w:val="24"/>
          <w:szCs w:val="24"/>
          <w:lang w:val="en-US" w:eastAsia="zh-CN"/>
        </w:rPr>
        <w:t>】申购要约》（以下简称《申购要约》），申购时间以在集中簿记建档系统中将《申购要约》提交至簿记管理人的时间为准。</w:t>
      </w:r>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2、</w:t>
      </w:r>
      <w:r>
        <w:rPr>
          <w:rFonts w:hint="eastAsia" w:ascii="楷体_GB2312" w:hAnsi="楷体_GB2312" w:eastAsia="楷体_GB2312" w:cs="楷体_GB2312"/>
          <w:kern w:val="0"/>
          <w:sz w:val="24"/>
          <w:szCs w:val="24"/>
          <w:lang w:eastAsia="zh-CN"/>
        </w:rPr>
        <w:t>承销商</w:t>
      </w:r>
      <w:r>
        <w:rPr>
          <w:rFonts w:hint="eastAsia" w:ascii="楷体_GB2312" w:hAnsi="楷体_GB2312" w:eastAsia="楷体_GB2312" w:cs="楷体_GB2312"/>
          <w:kern w:val="0"/>
          <w:sz w:val="24"/>
          <w:szCs w:val="24"/>
        </w:rPr>
        <w:t>申购金额的下限为</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万元（含</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万元），申购金额超过</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万元的必须是</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万元的整数倍。</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val="en-US" w:eastAsia="zh-CN"/>
        </w:rPr>
      </w:pPr>
      <w:r>
        <w:rPr>
          <w:rFonts w:hint="eastAsia" w:ascii="楷体_GB2312" w:hAnsi="楷体_GB2312" w:eastAsia="楷体_GB2312" w:cs="楷体_GB2312"/>
          <w:b w:val="0"/>
          <w:bCs w:val="0"/>
          <w:kern w:val="0"/>
          <w:sz w:val="24"/>
          <w:szCs w:val="24"/>
          <w:lang w:val="en-US" w:eastAsia="zh-CN"/>
        </w:rPr>
        <w:t>3、本期资产支持商业票据发行过程中存在延长簿记建档时间的可能。簿记管理人承诺延长前会预先进行充分披露，每次延长时间不低于1小时，且延长后的簿记截止时间不晚于簿记截止日【</w:t>
      </w:r>
      <w:r>
        <w:rPr>
          <w:rFonts w:hint="eastAsia" w:ascii="楷体_GB2312" w:hAnsi="楷体_GB2312" w:eastAsia="楷体_GB2312" w:cs="楷体_GB2312"/>
          <w:b/>
          <w:bCs/>
          <w:i/>
          <w:iCs/>
          <w:color w:val="FF0000"/>
          <w:kern w:val="0"/>
          <w:sz w:val="24"/>
          <w:szCs w:val="24"/>
          <w:u w:val="single"/>
          <w:lang w:val="en-US" w:eastAsia="zh-CN"/>
        </w:rPr>
        <w:t>时间截点</w:t>
      </w:r>
      <w:r>
        <w:rPr>
          <w:rFonts w:hint="eastAsia" w:ascii="楷体_GB2312" w:hAnsi="楷体_GB2312" w:eastAsia="楷体_GB2312" w:cs="楷体_GB2312"/>
          <w:b w:val="0"/>
          <w:bCs w:val="0"/>
          <w:kern w:val="0"/>
          <w:sz w:val="24"/>
          <w:szCs w:val="24"/>
          <w:lang w:val="en-US" w:eastAsia="zh-CN"/>
        </w:rPr>
        <w:t>】。特殊情况下，延长后的簿记截止时间不晚于簿记截止日次一工作日【</w:t>
      </w:r>
      <w:r>
        <w:rPr>
          <w:rFonts w:hint="eastAsia" w:ascii="楷体_GB2312" w:hAnsi="楷体_GB2312" w:eastAsia="楷体_GB2312" w:cs="楷体_GB2312"/>
          <w:b/>
          <w:bCs/>
          <w:i/>
          <w:iCs/>
          <w:color w:val="FF0000"/>
          <w:kern w:val="0"/>
          <w:sz w:val="24"/>
          <w:szCs w:val="24"/>
          <w:u w:val="single"/>
          <w:lang w:val="en-US" w:eastAsia="zh-CN"/>
        </w:rPr>
        <w:t>时间截点</w:t>
      </w:r>
      <w:r>
        <w:rPr>
          <w:rFonts w:hint="eastAsia" w:ascii="楷体_GB2312" w:hAnsi="楷体_GB2312" w:eastAsia="楷体_GB2312" w:cs="楷体_GB2312"/>
          <w:b w:val="0"/>
          <w:bCs w:val="0"/>
          <w:kern w:val="0"/>
          <w:sz w:val="24"/>
          <w:szCs w:val="24"/>
          <w:lang w:val="en-US" w:eastAsia="zh-CN"/>
        </w:rPr>
        <w:t>】。（如有）</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（二）分销安排</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eastAsia="zh-CN"/>
        </w:rPr>
      </w:pPr>
      <w:r>
        <w:rPr>
          <w:rFonts w:hint="eastAsia" w:ascii="楷体_GB2312" w:hAnsi="楷体_GB2312" w:eastAsia="楷体_GB2312" w:cs="楷体_GB2312"/>
          <w:b w:val="0"/>
          <w:bCs w:val="0"/>
          <w:snapToGrid w:val="0"/>
          <w:kern w:val="0"/>
          <w:sz w:val="24"/>
          <w:szCs w:val="24"/>
          <w:lang w:val="en-US" w:eastAsia="zh-CN"/>
        </w:rPr>
        <w:t>1、分销期：</w:t>
      </w:r>
      <w:r>
        <w:rPr>
          <w:rFonts w:hint="eastAsia" w:ascii="楷体_GB2312" w:hAnsi="楷体_GB2312" w:eastAsia="楷体_GB2312" w:cs="楷体_GB2312"/>
          <w:kern w:val="0"/>
          <w:sz w:val="24"/>
          <w:szCs w:val="24"/>
        </w:rPr>
        <w:t>【  】年【</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】月【</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】日</w:t>
      </w:r>
      <w:r>
        <w:rPr>
          <w:rFonts w:hint="eastAsia" w:ascii="楷体_GB2312" w:hAnsi="楷体_GB2312" w:eastAsia="楷体_GB2312" w:cs="楷体_GB2312"/>
          <w:b w:val="0"/>
          <w:bCs w:val="0"/>
          <w:kern w:val="0"/>
          <w:sz w:val="24"/>
          <w:szCs w:val="24"/>
          <w:lang w:val="en-US" w:eastAsia="zh-CN"/>
        </w:rPr>
        <w:t>-</w:t>
      </w:r>
      <w:r>
        <w:rPr>
          <w:rFonts w:hint="eastAsia" w:ascii="楷体_GB2312" w:hAnsi="楷体_GB2312" w:eastAsia="楷体_GB2312" w:cs="楷体_GB2312"/>
          <w:kern w:val="0"/>
          <w:sz w:val="24"/>
          <w:szCs w:val="24"/>
        </w:rPr>
        <w:t>【  】年【</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】月【</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】日</w:t>
      </w:r>
      <w:r>
        <w:rPr>
          <w:rFonts w:hint="eastAsia" w:ascii="楷体_GB2312" w:hAnsi="楷体_GB2312" w:eastAsia="楷体_GB2312" w:cs="楷体_GB2312"/>
          <w:b w:val="0"/>
          <w:bCs w:val="0"/>
          <w:kern w:val="0"/>
          <w:sz w:val="24"/>
          <w:szCs w:val="24"/>
          <w:lang w:eastAsia="zh-CN"/>
        </w:rPr>
        <w:t>。</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rPr>
      </w:pPr>
      <w:r>
        <w:rPr>
          <w:rFonts w:hint="eastAsia" w:ascii="楷体_GB2312" w:hAnsi="楷体_GB2312" w:eastAsia="楷体_GB2312" w:cs="楷体_GB2312"/>
          <w:b w:val="0"/>
          <w:bCs w:val="0"/>
          <w:kern w:val="0"/>
          <w:sz w:val="24"/>
          <w:szCs w:val="24"/>
          <w:lang w:val="en-US" w:eastAsia="zh-CN"/>
        </w:rPr>
        <w:t>2、</w:t>
      </w:r>
      <w:r>
        <w:rPr>
          <w:rFonts w:hint="eastAsia" w:ascii="楷体_GB2312" w:hAnsi="楷体_GB2312" w:eastAsia="楷体_GB2312" w:cs="楷体_GB2312"/>
          <w:b w:val="0"/>
          <w:bCs w:val="0"/>
          <w:kern w:val="0"/>
          <w:sz w:val="24"/>
          <w:szCs w:val="24"/>
        </w:rPr>
        <w:t>认购本期</w:t>
      </w:r>
      <w:r>
        <w:rPr>
          <w:rFonts w:hint="eastAsia" w:ascii="楷体_GB2312" w:hAnsi="楷体_GB2312" w:eastAsia="楷体_GB2312" w:cs="楷体_GB2312"/>
          <w:b w:val="0"/>
          <w:bCs w:val="0"/>
          <w:kern w:val="0"/>
          <w:sz w:val="24"/>
          <w:szCs w:val="24"/>
          <w:lang w:val="en-US" w:eastAsia="zh-CN"/>
        </w:rPr>
        <w:t>优先级</w:t>
      </w:r>
      <w:r>
        <w:rPr>
          <w:rFonts w:hint="eastAsia" w:ascii="楷体_GB2312" w:hAnsi="楷体_GB2312" w:eastAsia="楷体_GB2312" w:cs="楷体_GB2312"/>
          <w:b w:val="0"/>
          <w:bCs w:val="0"/>
          <w:kern w:val="0"/>
          <w:sz w:val="24"/>
          <w:szCs w:val="24"/>
          <w:lang w:eastAsia="zh-CN"/>
        </w:rPr>
        <w:t>资产支持商业票据</w:t>
      </w:r>
      <w:r>
        <w:rPr>
          <w:rFonts w:hint="eastAsia" w:ascii="楷体_GB2312" w:hAnsi="楷体_GB2312" w:eastAsia="楷体_GB2312" w:cs="楷体_GB2312"/>
          <w:b w:val="0"/>
          <w:bCs w:val="0"/>
          <w:kern w:val="0"/>
          <w:sz w:val="24"/>
          <w:szCs w:val="24"/>
        </w:rPr>
        <w:t>的</w:t>
      </w:r>
      <w:r>
        <w:rPr>
          <w:rFonts w:hint="eastAsia" w:ascii="楷体_GB2312" w:hAnsi="楷体_GB2312" w:eastAsia="楷体_GB2312" w:cs="楷体_GB2312"/>
          <w:b w:val="0"/>
          <w:bCs w:val="0"/>
          <w:kern w:val="0"/>
          <w:sz w:val="24"/>
          <w:szCs w:val="24"/>
          <w:lang w:eastAsia="zh-CN"/>
        </w:rPr>
        <w:t>投资人</w:t>
      </w:r>
      <w:r>
        <w:rPr>
          <w:rFonts w:hint="eastAsia" w:ascii="楷体_GB2312" w:hAnsi="楷体_GB2312" w:eastAsia="楷体_GB2312" w:cs="楷体_GB2312"/>
          <w:b w:val="0"/>
          <w:bCs w:val="0"/>
          <w:kern w:val="0"/>
          <w:sz w:val="24"/>
          <w:szCs w:val="24"/>
        </w:rPr>
        <w:t>为经遴选的特定机构投资人，且应已在上海清算所开立持有人账户。</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（三）缴款和结算安排</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eastAsia="zh-CN"/>
        </w:rPr>
      </w:pPr>
      <w:r>
        <w:rPr>
          <w:rFonts w:hint="eastAsia" w:ascii="楷体_GB2312" w:hAnsi="楷体_GB2312" w:eastAsia="楷体_GB2312" w:cs="楷体_GB2312"/>
          <w:b w:val="0"/>
          <w:bCs w:val="0"/>
          <w:kern w:val="0"/>
          <w:sz w:val="24"/>
          <w:szCs w:val="24"/>
          <w:lang w:eastAsia="zh-CN"/>
        </w:rPr>
        <w:t>1、缴款时间：</w:t>
      </w:r>
      <w:r>
        <w:rPr>
          <w:rFonts w:hint="eastAsia" w:ascii="楷体_GB2312" w:hAnsi="楷体_GB2312" w:eastAsia="楷体_GB2312" w:cs="楷体_GB2312"/>
          <w:kern w:val="0"/>
          <w:sz w:val="24"/>
          <w:szCs w:val="24"/>
        </w:rPr>
        <w:t>【  】年【</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】月【</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】日</w:t>
      </w:r>
      <w:r>
        <w:rPr>
          <w:rFonts w:hint="eastAsia" w:ascii="楷体_GB2312" w:hAnsi="楷体_GB2312" w:eastAsia="楷体_GB2312" w:cs="楷体_GB2312"/>
          <w:b w:val="0"/>
          <w:bCs w:val="0"/>
          <w:kern w:val="0"/>
          <w:sz w:val="24"/>
          <w:szCs w:val="24"/>
          <w:lang w:val="en-US" w:eastAsia="zh-CN"/>
        </w:rPr>
        <w:t>【</w:t>
      </w:r>
      <w:r>
        <w:rPr>
          <w:rFonts w:hint="eastAsia" w:ascii="楷体_GB2312" w:hAnsi="楷体_GB2312" w:eastAsia="楷体_GB2312" w:cs="楷体_GB2312"/>
          <w:b/>
          <w:bCs/>
          <w:i/>
          <w:iCs/>
          <w:color w:val="FF0000"/>
          <w:kern w:val="0"/>
          <w:sz w:val="24"/>
          <w:szCs w:val="24"/>
          <w:u w:val="single"/>
          <w:lang w:val="en-US" w:eastAsia="zh-CN"/>
        </w:rPr>
        <w:t>时间截点</w:t>
      </w:r>
      <w:r>
        <w:rPr>
          <w:rFonts w:hint="eastAsia" w:ascii="楷体_GB2312" w:hAnsi="楷体_GB2312" w:eastAsia="楷体_GB2312" w:cs="楷体_GB2312"/>
          <w:b w:val="0"/>
          <w:bCs w:val="0"/>
          <w:kern w:val="0"/>
          <w:sz w:val="24"/>
          <w:szCs w:val="24"/>
          <w:lang w:val="en-US" w:eastAsia="zh-CN"/>
        </w:rPr>
        <w:t>】</w:t>
      </w:r>
      <w:r>
        <w:rPr>
          <w:rFonts w:hint="eastAsia" w:ascii="楷体_GB2312" w:hAnsi="楷体_GB2312" w:eastAsia="楷体_GB2312" w:cs="楷体_GB2312"/>
          <w:b w:val="0"/>
          <w:bCs w:val="0"/>
          <w:kern w:val="0"/>
          <w:sz w:val="24"/>
          <w:szCs w:val="24"/>
          <w:lang w:eastAsia="zh-CN"/>
        </w:rPr>
        <w:t>。</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eastAsia="zh-CN"/>
        </w:rPr>
      </w:pPr>
      <w:r>
        <w:rPr>
          <w:rFonts w:hint="eastAsia" w:ascii="楷体_GB2312" w:hAnsi="楷体_GB2312" w:eastAsia="楷体_GB2312" w:cs="楷体_GB2312"/>
          <w:b w:val="0"/>
          <w:bCs w:val="0"/>
          <w:kern w:val="0"/>
          <w:sz w:val="24"/>
          <w:szCs w:val="24"/>
          <w:lang w:eastAsia="zh-CN"/>
        </w:rPr>
        <w:t>2、簿记管理人将在【  】年【</w:t>
      </w:r>
      <w:r>
        <w:rPr>
          <w:rFonts w:hint="eastAsia" w:ascii="楷体_GB2312" w:hAnsi="楷体_GB2312" w:eastAsia="楷体_GB2312" w:cs="楷体_GB2312"/>
          <w:b w:val="0"/>
          <w:bCs w:val="0"/>
          <w:kern w:val="0"/>
          <w:sz w:val="24"/>
          <w:szCs w:val="24"/>
          <w:lang w:val="en-US" w:eastAsia="zh-CN"/>
        </w:rPr>
        <w:t xml:space="preserve">  </w:t>
      </w:r>
      <w:r>
        <w:rPr>
          <w:rFonts w:hint="eastAsia" w:ascii="楷体_GB2312" w:hAnsi="楷体_GB2312" w:eastAsia="楷体_GB2312" w:cs="楷体_GB2312"/>
          <w:b w:val="0"/>
          <w:bCs w:val="0"/>
          <w:kern w:val="0"/>
          <w:sz w:val="24"/>
          <w:szCs w:val="24"/>
          <w:lang w:eastAsia="zh-CN"/>
        </w:rPr>
        <w:t>】月【</w:t>
      </w:r>
      <w:r>
        <w:rPr>
          <w:rFonts w:hint="eastAsia" w:ascii="楷体_GB2312" w:hAnsi="楷体_GB2312" w:eastAsia="楷体_GB2312" w:cs="楷体_GB2312"/>
          <w:b w:val="0"/>
          <w:bCs w:val="0"/>
          <w:kern w:val="0"/>
          <w:sz w:val="24"/>
          <w:szCs w:val="24"/>
          <w:lang w:val="en-US" w:eastAsia="zh-CN"/>
        </w:rPr>
        <w:t xml:space="preserve">  </w:t>
      </w:r>
      <w:r>
        <w:rPr>
          <w:rFonts w:hint="eastAsia" w:ascii="楷体_GB2312" w:hAnsi="楷体_GB2312" w:eastAsia="楷体_GB2312" w:cs="楷体_GB2312"/>
          <w:b w:val="0"/>
          <w:bCs w:val="0"/>
          <w:kern w:val="0"/>
          <w:sz w:val="24"/>
          <w:szCs w:val="24"/>
          <w:lang w:eastAsia="zh-CN"/>
        </w:rPr>
        <w:t>】日通过集中簿记建档系统发送《【</w:t>
      </w:r>
      <w:r>
        <w:rPr>
          <w:rFonts w:hint="eastAsia" w:ascii="楷体_GB2312" w:hAnsi="楷体_GB2312" w:eastAsia="楷体_GB2312" w:cs="楷体_GB2312"/>
          <w:b/>
          <w:bCs/>
          <w:i/>
          <w:iCs/>
          <w:color w:val="FF0000"/>
          <w:kern w:val="0"/>
          <w:sz w:val="24"/>
          <w:szCs w:val="24"/>
          <w:u w:val="single"/>
          <w:lang w:val="en-US" w:eastAsia="zh-CN"/>
        </w:rPr>
        <w:t>定向资产支持商业票据名称</w:t>
      </w:r>
      <w:r>
        <w:rPr>
          <w:rFonts w:hint="eastAsia" w:ascii="楷体_GB2312" w:hAnsi="楷体_GB2312" w:eastAsia="楷体_GB2312" w:cs="楷体_GB2312"/>
          <w:b w:val="0"/>
          <w:bCs w:val="0"/>
          <w:kern w:val="0"/>
          <w:sz w:val="24"/>
          <w:szCs w:val="24"/>
          <w:lang w:eastAsia="zh-CN"/>
        </w:rPr>
        <w:t>】配售确认及缴款通知书》（以下简称《缴款通知书》），通知每个承销团成员获配</w:t>
      </w:r>
      <w:r>
        <w:rPr>
          <w:rFonts w:hint="eastAsia" w:ascii="楷体_GB2312" w:hAnsi="楷体_GB2312" w:eastAsia="楷体_GB2312" w:cs="楷体_GB2312"/>
          <w:b w:val="0"/>
          <w:bCs w:val="0"/>
          <w:kern w:val="0"/>
          <w:sz w:val="24"/>
          <w:szCs w:val="24"/>
          <w:lang w:val="en-US" w:eastAsia="zh-CN"/>
        </w:rPr>
        <w:t>的定向</w:t>
      </w:r>
      <w:r>
        <w:rPr>
          <w:rFonts w:hint="eastAsia" w:ascii="楷体_GB2312" w:hAnsi="楷体_GB2312" w:eastAsia="楷体_GB2312" w:cs="楷体_GB2312"/>
          <w:b w:val="0"/>
          <w:bCs w:val="0"/>
          <w:kern w:val="0"/>
          <w:sz w:val="24"/>
          <w:szCs w:val="24"/>
          <w:lang w:eastAsia="zh-CN"/>
        </w:rPr>
        <w:t>资产支持商业票据面额和需缴纳的认购款金额、付款日期、划款账户等。</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eastAsia="zh-CN"/>
        </w:rPr>
      </w:pPr>
      <w:r>
        <w:rPr>
          <w:rFonts w:hint="eastAsia" w:ascii="楷体_GB2312" w:hAnsi="楷体_GB2312" w:eastAsia="楷体_GB2312" w:cs="楷体_GB2312"/>
          <w:b w:val="0"/>
          <w:bCs w:val="0"/>
          <w:kern w:val="0"/>
          <w:sz w:val="24"/>
          <w:szCs w:val="24"/>
          <w:lang w:eastAsia="zh-CN"/>
        </w:rPr>
        <w:t>3、合格的承销商应于缴款日</w:t>
      </w:r>
      <w:r>
        <w:rPr>
          <w:rFonts w:hint="eastAsia" w:ascii="楷体_GB2312" w:hAnsi="楷体_GB2312" w:eastAsia="楷体_GB2312" w:cs="楷体_GB2312"/>
          <w:b w:val="0"/>
          <w:bCs w:val="0"/>
          <w:kern w:val="0"/>
          <w:sz w:val="24"/>
          <w:szCs w:val="24"/>
          <w:lang w:val="en-US" w:eastAsia="zh-CN"/>
        </w:rPr>
        <w:t>【</w:t>
      </w:r>
      <w:r>
        <w:rPr>
          <w:rFonts w:hint="eastAsia" w:ascii="楷体_GB2312" w:hAnsi="楷体_GB2312" w:eastAsia="楷体_GB2312" w:cs="楷体_GB2312"/>
          <w:b/>
          <w:bCs/>
          <w:i/>
          <w:iCs/>
          <w:color w:val="FF0000"/>
          <w:kern w:val="0"/>
          <w:sz w:val="24"/>
          <w:szCs w:val="24"/>
          <w:u w:val="single"/>
          <w:lang w:val="en-US" w:eastAsia="zh-CN"/>
        </w:rPr>
        <w:t>时间截点</w:t>
      </w:r>
      <w:r>
        <w:rPr>
          <w:rFonts w:hint="eastAsia" w:ascii="楷体_GB2312" w:hAnsi="楷体_GB2312" w:eastAsia="楷体_GB2312" w:cs="楷体_GB2312"/>
          <w:b w:val="0"/>
          <w:bCs w:val="0"/>
          <w:kern w:val="0"/>
          <w:sz w:val="24"/>
          <w:szCs w:val="24"/>
          <w:lang w:val="en-US" w:eastAsia="zh-CN"/>
        </w:rPr>
        <w:t>】</w:t>
      </w:r>
      <w:r>
        <w:rPr>
          <w:rFonts w:hint="eastAsia" w:ascii="楷体_GB2312" w:hAnsi="楷体_GB2312" w:eastAsia="楷体_GB2312" w:cs="楷体_GB2312"/>
          <w:b w:val="0"/>
          <w:bCs w:val="0"/>
          <w:kern w:val="0"/>
          <w:sz w:val="24"/>
          <w:szCs w:val="24"/>
          <w:lang w:eastAsia="zh-CN"/>
        </w:rPr>
        <w:t>，将按簿记管理人的《缴款通知书》中明确的承销额对应的募集款项划至以下指定账户：</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val="en-US" w:eastAsia="zh-CN"/>
        </w:rPr>
      </w:pPr>
      <w:r>
        <w:rPr>
          <w:rFonts w:hint="eastAsia" w:ascii="楷体_GB2312" w:hAnsi="楷体_GB2312" w:eastAsia="楷体_GB2312" w:cs="楷体_GB2312"/>
          <w:b w:val="0"/>
          <w:bCs w:val="0"/>
          <w:kern w:val="0"/>
          <w:sz w:val="24"/>
          <w:szCs w:val="24"/>
          <w:lang w:eastAsia="zh-CN"/>
        </w:rPr>
        <w:t>户名：【</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b w:val="0"/>
          <w:bCs w:val="0"/>
          <w:kern w:val="0"/>
          <w:sz w:val="24"/>
          <w:szCs w:val="24"/>
          <w:lang w:eastAsia="zh-CN"/>
        </w:rPr>
        <w:t>】</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eastAsia="zh-CN"/>
        </w:rPr>
      </w:pPr>
      <w:r>
        <w:rPr>
          <w:rFonts w:hint="eastAsia" w:ascii="楷体_GB2312" w:hAnsi="楷体_GB2312" w:eastAsia="楷体_GB2312" w:cs="楷体_GB2312"/>
          <w:b w:val="0"/>
          <w:bCs w:val="0"/>
          <w:kern w:val="0"/>
          <w:sz w:val="24"/>
          <w:szCs w:val="24"/>
          <w:lang w:eastAsia="zh-CN"/>
        </w:rPr>
        <w:t>开户行：【</w:t>
      </w:r>
      <w:r>
        <w:rPr>
          <w:rFonts w:hint="eastAsia" w:ascii="楷体_GB2312" w:hAnsi="楷体_GB2312" w:eastAsia="楷体_GB2312" w:cs="楷体_GB2312"/>
          <w:color w:val="000000"/>
          <w:kern w:val="0"/>
          <w:szCs w:val="21"/>
          <w:u w:val="single"/>
          <w:lang w:val="en-US" w:eastAsia="zh-CN"/>
        </w:rPr>
        <w:t xml:space="preserve">  </w:t>
      </w:r>
      <w:r>
        <w:rPr>
          <w:rFonts w:hint="eastAsia" w:ascii="楷体_GB2312" w:hAnsi="楷体_GB2312" w:eastAsia="楷体_GB2312" w:cs="楷体_GB2312"/>
          <w:b w:val="0"/>
          <w:bCs w:val="0"/>
          <w:kern w:val="0"/>
          <w:sz w:val="24"/>
          <w:szCs w:val="24"/>
          <w:lang w:eastAsia="zh-CN"/>
        </w:rPr>
        <w:t>】</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eastAsia="zh-CN"/>
        </w:rPr>
      </w:pPr>
      <w:r>
        <w:rPr>
          <w:rFonts w:hint="eastAsia" w:ascii="楷体_GB2312" w:hAnsi="楷体_GB2312" w:eastAsia="楷体_GB2312" w:cs="楷体_GB2312"/>
          <w:b w:val="0"/>
          <w:bCs w:val="0"/>
          <w:kern w:val="0"/>
          <w:sz w:val="24"/>
          <w:szCs w:val="24"/>
          <w:lang w:eastAsia="zh-CN"/>
        </w:rPr>
        <w:t>账号：【</w:t>
      </w:r>
      <w:r>
        <w:rPr>
          <w:rFonts w:hint="eastAsia" w:ascii="楷体_GB2312" w:hAnsi="楷体_GB2312" w:eastAsia="楷体_GB2312" w:cs="楷体_GB2312"/>
          <w:b w:val="0"/>
          <w:bCs w:val="0"/>
          <w:kern w:val="0"/>
          <w:sz w:val="24"/>
          <w:szCs w:val="24"/>
          <w:lang w:val="en-US" w:eastAsia="zh-CN"/>
        </w:rPr>
        <w:t xml:space="preserve">  </w:t>
      </w:r>
      <w:r>
        <w:rPr>
          <w:rFonts w:hint="eastAsia" w:ascii="楷体_GB2312" w:hAnsi="楷体_GB2312" w:eastAsia="楷体_GB2312" w:cs="楷体_GB2312"/>
          <w:b w:val="0"/>
          <w:bCs w:val="0"/>
          <w:kern w:val="0"/>
          <w:sz w:val="24"/>
          <w:szCs w:val="24"/>
          <w:lang w:eastAsia="zh-CN"/>
        </w:rPr>
        <w:t>】</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eastAsia="zh-CN"/>
        </w:rPr>
      </w:pPr>
      <w:r>
        <w:rPr>
          <w:rFonts w:hint="eastAsia" w:ascii="楷体_GB2312" w:hAnsi="楷体_GB2312" w:eastAsia="楷体_GB2312" w:cs="楷体_GB2312"/>
          <w:b w:val="0"/>
          <w:bCs w:val="0"/>
          <w:kern w:val="0"/>
          <w:sz w:val="24"/>
          <w:szCs w:val="24"/>
          <w:lang w:eastAsia="zh-CN"/>
        </w:rPr>
        <w:t>中国人民银行支付系统行号：【</w:t>
      </w:r>
      <w:r>
        <w:rPr>
          <w:rFonts w:hint="eastAsia" w:ascii="楷体_GB2312" w:hAnsi="楷体_GB2312" w:eastAsia="楷体_GB2312" w:cs="楷体_GB2312"/>
          <w:b w:val="0"/>
          <w:bCs w:val="0"/>
          <w:kern w:val="0"/>
          <w:sz w:val="24"/>
          <w:szCs w:val="24"/>
          <w:lang w:val="en-US" w:eastAsia="zh-CN"/>
        </w:rPr>
        <w:t xml:space="preserve">  </w:t>
      </w:r>
      <w:r>
        <w:rPr>
          <w:rFonts w:hint="eastAsia" w:ascii="楷体_GB2312" w:hAnsi="楷体_GB2312" w:eastAsia="楷体_GB2312" w:cs="楷体_GB2312"/>
          <w:b w:val="0"/>
          <w:bCs w:val="0"/>
          <w:kern w:val="0"/>
          <w:sz w:val="24"/>
          <w:szCs w:val="24"/>
          <w:lang w:eastAsia="zh-CN"/>
        </w:rPr>
        <w:t>】</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default" w:ascii="楷体_GB2312" w:hAnsi="楷体_GB2312" w:eastAsia="楷体_GB2312" w:cs="楷体_GB2312"/>
          <w:b w:val="0"/>
          <w:bCs w:val="0"/>
          <w:kern w:val="0"/>
          <w:sz w:val="24"/>
          <w:szCs w:val="24"/>
          <w:lang w:val="en-US" w:eastAsia="zh-CN"/>
        </w:rPr>
      </w:pPr>
      <w:r>
        <w:rPr>
          <w:rFonts w:hint="eastAsia" w:ascii="楷体_GB2312" w:hAnsi="楷体_GB2312" w:eastAsia="楷体_GB2312" w:cs="楷体_GB2312"/>
          <w:b w:val="0"/>
          <w:bCs w:val="0"/>
          <w:kern w:val="0"/>
          <w:sz w:val="24"/>
          <w:szCs w:val="24"/>
          <w:lang w:val="en-US" w:eastAsia="zh-CN"/>
        </w:rPr>
        <w:t>附言：（如有）</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eastAsia="zh-CN"/>
        </w:rPr>
      </w:pPr>
      <w:r>
        <w:rPr>
          <w:rFonts w:hint="eastAsia" w:ascii="楷体_GB2312" w:hAnsi="楷体_GB2312" w:eastAsia="楷体_GB2312" w:cs="楷体_GB2312"/>
          <w:b w:val="0"/>
          <w:bCs w:val="0"/>
          <w:kern w:val="0"/>
          <w:sz w:val="24"/>
          <w:szCs w:val="24"/>
          <w:lang w:eastAsia="zh-CN"/>
        </w:rPr>
        <w:t>如合格的承销商不能按期足额缴款，则按照中国银行间市场交易商协会的</w:t>
      </w:r>
      <w:r>
        <w:rPr>
          <w:rFonts w:hint="eastAsia" w:ascii="楷体_GB2312" w:hAnsi="楷体_GB2312" w:eastAsia="楷体_GB2312" w:cs="楷体_GB2312"/>
          <w:b w:val="0"/>
          <w:bCs w:val="0"/>
          <w:kern w:val="0"/>
          <w:sz w:val="24"/>
          <w:szCs w:val="24"/>
          <w:lang w:val="en-US" w:eastAsia="zh-CN"/>
        </w:rPr>
        <w:t>相</w:t>
      </w:r>
      <w:r>
        <w:rPr>
          <w:rFonts w:hint="eastAsia" w:ascii="楷体_GB2312" w:hAnsi="楷体_GB2312" w:eastAsia="楷体_GB2312" w:cs="楷体_GB2312"/>
          <w:b w:val="0"/>
          <w:bCs w:val="0"/>
          <w:kern w:val="0"/>
          <w:sz w:val="24"/>
          <w:szCs w:val="24"/>
          <w:lang w:eastAsia="zh-CN"/>
        </w:rPr>
        <w:t>关规定和《承销协议》《承销团协议》（</w:t>
      </w:r>
      <w:r>
        <w:rPr>
          <w:rFonts w:hint="eastAsia" w:ascii="楷体_GB2312" w:hAnsi="楷体_GB2312" w:eastAsia="楷体_GB2312" w:cs="楷体_GB2312"/>
          <w:b w:val="0"/>
          <w:bCs w:val="0"/>
          <w:kern w:val="0"/>
          <w:sz w:val="24"/>
          <w:szCs w:val="24"/>
          <w:lang w:val="en-US" w:eastAsia="zh-CN"/>
        </w:rPr>
        <w:t>如有</w:t>
      </w:r>
      <w:r>
        <w:rPr>
          <w:rFonts w:hint="eastAsia" w:ascii="楷体_GB2312" w:hAnsi="楷体_GB2312" w:eastAsia="楷体_GB2312" w:cs="楷体_GB2312"/>
          <w:b w:val="0"/>
          <w:bCs w:val="0"/>
          <w:kern w:val="0"/>
          <w:sz w:val="24"/>
          <w:szCs w:val="24"/>
          <w:lang w:eastAsia="zh-CN"/>
        </w:rPr>
        <w:t>）的有关条款办理。</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（四）登记托管安排</w:t>
      </w:r>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rPr>
      </w:pPr>
      <w:r>
        <w:rPr>
          <w:rFonts w:hint="eastAsia" w:ascii="楷体_GB2312" w:hAnsi="楷体_GB2312" w:eastAsia="楷体_GB2312" w:cs="楷体_GB2312"/>
          <w:b w:val="0"/>
          <w:bCs w:val="0"/>
          <w:kern w:val="0"/>
          <w:sz w:val="24"/>
          <w:szCs w:val="24"/>
        </w:rPr>
        <w:t>本期</w:t>
      </w:r>
      <w:r>
        <w:rPr>
          <w:rFonts w:hint="eastAsia" w:ascii="楷体_GB2312" w:hAnsi="楷体_GB2312" w:eastAsia="楷体_GB2312" w:cs="楷体_GB2312"/>
          <w:b w:val="0"/>
          <w:bCs w:val="0"/>
          <w:kern w:val="0"/>
          <w:sz w:val="24"/>
          <w:szCs w:val="24"/>
          <w:lang w:eastAsia="zh-CN"/>
        </w:rPr>
        <w:t>资产支持商业票据</w:t>
      </w:r>
      <w:r>
        <w:rPr>
          <w:rFonts w:hint="eastAsia" w:ascii="楷体_GB2312" w:hAnsi="楷体_GB2312" w:eastAsia="楷体_GB2312" w:cs="楷体_GB2312"/>
          <w:b w:val="0"/>
          <w:bCs w:val="0"/>
          <w:kern w:val="0"/>
          <w:sz w:val="24"/>
          <w:szCs w:val="24"/>
        </w:rPr>
        <w:t>以实名记</w:t>
      </w:r>
      <w:r>
        <w:rPr>
          <w:rFonts w:hint="eastAsia" w:ascii="楷体_GB2312" w:hAnsi="楷体_GB2312" w:eastAsia="楷体_GB2312" w:cs="楷体_GB2312"/>
          <w:b w:val="0"/>
          <w:bCs w:val="0"/>
          <w:kern w:val="0"/>
          <w:sz w:val="24"/>
          <w:szCs w:val="24"/>
          <w:lang w:val="en-US" w:eastAsia="zh-CN"/>
        </w:rPr>
        <w:t>账</w:t>
      </w:r>
      <w:r>
        <w:rPr>
          <w:rFonts w:hint="eastAsia" w:ascii="楷体_GB2312" w:hAnsi="楷体_GB2312" w:eastAsia="楷体_GB2312" w:cs="楷体_GB2312"/>
          <w:b w:val="0"/>
          <w:bCs w:val="0"/>
          <w:kern w:val="0"/>
          <w:sz w:val="24"/>
          <w:szCs w:val="24"/>
        </w:rPr>
        <w:t>方式发行，在上海清算所进行登记托管。上海清算所为本期</w:t>
      </w:r>
      <w:r>
        <w:rPr>
          <w:rFonts w:hint="eastAsia" w:ascii="楷体_GB2312" w:hAnsi="楷体_GB2312" w:eastAsia="楷体_GB2312" w:cs="楷体_GB2312"/>
          <w:b w:val="0"/>
          <w:bCs w:val="0"/>
          <w:kern w:val="0"/>
          <w:sz w:val="24"/>
          <w:szCs w:val="24"/>
          <w:lang w:eastAsia="zh-CN"/>
        </w:rPr>
        <w:t>资产支持商业票据</w:t>
      </w:r>
      <w:r>
        <w:rPr>
          <w:rFonts w:hint="eastAsia" w:ascii="楷体_GB2312" w:hAnsi="楷体_GB2312" w:eastAsia="楷体_GB2312" w:cs="楷体_GB2312"/>
          <w:b w:val="0"/>
          <w:bCs w:val="0"/>
          <w:kern w:val="0"/>
          <w:sz w:val="24"/>
          <w:szCs w:val="24"/>
        </w:rPr>
        <w:t>的法定债权登记人，在发行结束后负责对本期</w:t>
      </w:r>
      <w:r>
        <w:rPr>
          <w:rFonts w:hint="eastAsia" w:ascii="楷体_GB2312" w:hAnsi="楷体_GB2312" w:eastAsia="楷体_GB2312" w:cs="楷体_GB2312"/>
          <w:b w:val="0"/>
          <w:bCs w:val="0"/>
          <w:kern w:val="0"/>
          <w:sz w:val="24"/>
          <w:szCs w:val="24"/>
          <w:lang w:eastAsia="zh-CN"/>
        </w:rPr>
        <w:t>资产支持商业票据</w:t>
      </w:r>
      <w:r>
        <w:rPr>
          <w:rFonts w:hint="eastAsia" w:ascii="楷体_GB2312" w:hAnsi="楷体_GB2312" w:eastAsia="楷体_GB2312" w:cs="楷体_GB2312"/>
          <w:b w:val="0"/>
          <w:bCs w:val="0"/>
          <w:kern w:val="0"/>
          <w:sz w:val="24"/>
          <w:szCs w:val="24"/>
        </w:rPr>
        <w:t>进行债权管理，权益监护和代理付息兑付，并负责向投资人提供有关信息服务。</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（五）上市流通安排</w:t>
      </w:r>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本期</w:t>
      </w:r>
      <w:r>
        <w:rPr>
          <w:rFonts w:hint="eastAsia" w:ascii="楷体_GB2312" w:hAnsi="楷体_GB2312" w:eastAsia="楷体_GB2312" w:cs="楷体_GB2312"/>
          <w:kern w:val="0"/>
          <w:sz w:val="24"/>
          <w:szCs w:val="24"/>
          <w:lang w:val="en-US" w:eastAsia="zh-CN"/>
        </w:rPr>
        <w:t>优先级</w:t>
      </w:r>
      <w:r>
        <w:rPr>
          <w:rFonts w:hint="eastAsia" w:ascii="楷体_GB2312" w:hAnsi="楷体_GB2312" w:eastAsia="楷体_GB2312" w:cs="楷体_GB2312"/>
          <w:kern w:val="0"/>
          <w:sz w:val="24"/>
          <w:szCs w:val="24"/>
          <w:lang w:eastAsia="zh-CN"/>
        </w:rPr>
        <w:t>资产支持商业票据</w:t>
      </w:r>
      <w:r>
        <w:rPr>
          <w:rFonts w:hint="eastAsia" w:ascii="楷体_GB2312" w:hAnsi="楷体_GB2312" w:eastAsia="楷体_GB2312" w:cs="楷体_GB2312"/>
          <w:kern w:val="0"/>
          <w:sz w:val="24"/>
          <w:szCs w:val="24"/>
        </w:rPr>
        <w:t>在【  】年【</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】月【</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】日，即可以在全国银行间债券市场流通转让。按照全国银行间同业拆借中心颁布的相关规定进行。</w:t>
      </w:r>
    </w:p>
    <w:p>
      <w:pPr>
        <w:keepNext w:val="0"/>
        <w:keepLines w:val="0"/>
        <w:pageBreakBefore w:val="0"/>
        <w:widowControl w:val="0"/>
        <w:kinsoku/>
        <w:wordWrap/>
        <w:overflowPunct/>
        <w:topLinePunct w:val="0"/>
        <w:autoSpaceDE w:val="0"/>
        <w:autoSpaceDN w:val="0"/>
        <w:bidi w:val="0"/>
        <w:adjustRightInd w:val="0"/>
        <w:snapToGrid w:val="0"/>
        <w:spacing w:before="144" w:beforeLines="50" w:after="144" w:afterLines="50" w:line="240" w:lineRule="atLeast"/>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br w:type="page"/>
      </w:r>
    </w:p>
    <w:p>
      <w:pPr>
        <w:pStyle w:val="156"/>
        <w:keepNext w:val="0"/>
        <w:keepLines w:val="0"/>
        <w:pageBreakBefore w:val="0"/>
        <w:widowControl w:val="0"/>
        <w:numPr>
          <w:ilvl w:val="0"/>
          <w:numId w:val="4"/>
        </w:numPr>
        <w:kinsoku/>
        <w:wordWrap/>
        <w:overflowPunct/>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211" w:name="_Toc16913"/>
      <w:bookmarkStart w:id="4212" w:name="_Toc3891"/>
      <w:bookmarkStart w:id="4213" w:name="_Toc24531"/>
      <w:bookmarkStart w:id="4214" w:name="_Toc4335"/>
      <w:r>
        <w:rPr>
          <w:rFonts w:hint="eastAsia" w:ascii="楷体_GB2312" w:hAnsi="楷体_GB2312" w:eastAsia="楷体_GB2312" w:cs="楷体_GB2312"/>
          <w:b/>
          <w:bCs/>
          <w:kern w:val="0"/>
          <w:sz w:val="30"/>
          <w:szCs w:val="30"/>
        </w:rPr>
        <w:t>风险提示及说明</w:t>
      </w:r>
      <w:bookmarkEnd w:id="4211"/>
      <w:bookmarkEnd w:id="4212"/>
      <w:bookmarkEnd w:id="4213"/>
      <w:bookmarkEnd w:id="4214"/>
    </w:p>
    <w:p>
      <w:pPr>
        <w:keepNext w:val="0"/>
        <w:keepLines w:val="0"/>
        <w:pageBreakBefore w:val="0"/>
        <w:widowControl w:val="0"/>
        <w:kinsoku/>
        <w:wordWrap/>
        <w:overflowPunct/>
        <w:topLinePunct w:val="0"/>
        <w:bidi w:val="0"/>
        <w:spacing w:before="144" w:beforeLines="50" w:after="144" w:afterLines="50" w:line="240" w:lineRule="atLeast"/>
        <w:ind w:firstLine="480" w:firstLineChars="200"/>
        <w:jc w:val="both"/>
        <w:textAlignment w:val="auto"/>
        <w:outlineLvl w:val="9"/>
        <w:rPr>
          <w:rFonts w:hint="eastAsia" w:ascii="楷体_GB2312" w:hAnsi="楷体_GB2312" w:eastAsia="楷体_GB2312" w:cs="楷体_GB2312"/>
          <w:b w:val="0"/>
          <w:bCs w:val="0"/>
          <w:kern w:val="0"/>
          <w:sz w:val="24"/>
          <w:szCs w:val="24"/>
          <w:lang w:val="en-US" w:eastAsia="zh-CN"/>
        </w:rPr>
      </w:pPr>
      <w:r>
        <w:rPr>
          <w:rFonts w:hint="eastAsia" w:ascii="楷体_GB2312" w:hAnsi="楷体_GB2312" w:eastAsia="楷体_GB2312" w:cs="楷体_GB2312"/>
          <w:b w:val="0"/>
          <w:bCs w:val="0"/>
          <w:kern w:val="0"/>
          <w:sz w:val="24"/>
          <w:szCs w:val="24"/>
          <w:lang w:val="en-US" w:eastAsia="zh-CN"/>
        </w:rPr>
        <w:t>投资人在评价和认购本期资产支持商业票据时，应特别认真地考虑下列各种风险因素：</w:t>
      </w:r>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215" w:name="_Toc22869"/>
      <w:bookmarkStart w:id="4216" w:name="_Toc28770"/>
      <w:bookmarkStart w:id="4217" w:name="_Toc31386"/>
      <w:r>
        <w:rPr>
          <w:rFonts w:hint="eastAsia" w:ascii="楷体_GB2312" w:hAnsi="楷体_GB2312" w:eastAsia="楷体_GB2312" w:cs="楷体_GB2312"/>
          <w:b/>
          <w:kern w:val="0"/>
          <w:sz w:val="24"/>
          <w:szCs w:val="24"/>
        </w:rPr>
        <w:t>一、投资风险</w:t>
      </w:r>
      <w:bookmarkEnd w:id="4215"/>
      <w:bookmarkEnd w:id="4216"/>
      <w:bookmarkEnd w:id="4217"/>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（一）利率风险</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（二）流动性风险</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（三）偿付风险</w:t>
      </w:r>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218" w:name="_Toc23334"/>
      <w:bookmarkStart w:id="4219" w:name="_Toc3896"/>
      <w:bookmarkStart w:id="4220" w:name="_Toc17231"/>
      <w:r>
        <w:rPr>
          <w:rFonts w:hint="eastAsia" w:ascii="楷体_GB2312" w:hAnsi="楷体_GB2312" w:eastAsia="楷体_GB2312" w:cs="楷体_GB2312"/>
          <w:b/>
          <w:kern w:val="0"/>
          <w:sz w:val="24"/>
          <w:szCs w:val="24"/>
        </w:rPr>
        <w:t>二、基础资产相关风险</w:t>
      </w:r>
      <w:bookmarkEnd w:id="4218"/>
      <w:bookmarkEnd w:id="4219"/>
      <w:bookmarkEnd w:id="4220"/>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221" w:name="_Toc5641"/>
      <w:bookmarkStart w:id="4222" w:name="_Toc3067"/>
      <w:bookmarkStart w:id="4223" w:name="_Toc25832"/>
      <w:r>
        <w:rPr>
          <w:rFonts w:hint="eastAsia" w:ascii="楷体_GB2312" w:hAnsi="楷体_GB2312" w:eastAsia="楷体_GB2312" w:cs="楷体_GB2312"/>
          <w:b/>
          <w:kern w:val="0"/>
          <w:sz w:val="24"/>
          <w:szCs w:val="24"/>
        </w:rPr>
        <w:t>三、交易结构相关风险</w:t>
      </w:r>
      <w:bookmarkEnd w:id="4221"/>
      <w:bookmarkEnd w:id="4222"/>
      <w:bookmarkEnd w:id="4223"/>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224" w:name="_Toc6182"/>
      <w:bookmarkStart w:id="4225" w:name="_Toc28480"/>
      <w:bookmarkStart w:id="4226" w:name="_Toc26738"/>
      <w:bookmarkStart w:id="4227" w:name="_Toc9840"/>
      <w:r>
        <w:rPr>
          <w:rFonts w:hint="eastAsia" w:ascii="楷体_GB2312" w:hAnsi="楷体_GB2312" w:eastAsia="楷体_GB2312" w:cs="楷体_GB2312"/>
          <w:b/>
          <w:kern w:val="0"/>
          <w:sz w:val="24"/>
          <w:szCs w:val="24"/>
        </w:rPr>
        <w:t>四、发起机构相关风险</w:t>
      </w:r>
      <w:bookmarkEnd w:id="4224"/>
      <w:bookmarkEnd w:id="4225"/>
      <w:bookmarkEnd w:id="4226"/>
      <w:bookmarkEnd w:id="4227"/>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lang w:eastAsia="zh-CN"/>
        </w:rPr>
      </w:pPr>
      <w:bookmarkStart w:id="4228" w:name="_Toc24338"/>
      <w:bookmarkStart w:id="4229" w:name="_Toc23701"/>
      <w:bookmarkStart w:id="4230" w:name="_Toc20107"/>
      <w:r>
        <w:rPr>
          <w:rFonts w:hint="eastAsia" w:ascii="楷体_GB2312" w:hAnsi="楷体_GB2312" w:eastAsia="楷体_GB2312" w:cs="楷体_GB2312"/>
          <w:b/>
          <w:kern w:val="0"/>
          <w:sz w:val="24"/>
          <w:szCs w:val="24"/>
        </w:rPr>
        <w:t>五、</w:t>
      </w:r>
      <w:r>
        <w:rPr>
          <w:rFonts w:hint="eastAsia" w:ascii="楷体_GB2312" w:hAnsi="楷体_GB2312" w:eastAsia="楷体_GB2312" w:cs="楷体_GB2312"/>
          <w:b/>
          <w:kern w:val="0"/>
          <w:sz w:val="24"/>
          <w:szCs w:val="24"/>
          <w:lang w:val="en-US" w:eastAsia="zh-CN"/>
        </w:rPr>
        <w:t>信用增级机构</w:t>
      </w:r>
      <w:r>
        <w:rPr>
          <w:rFonts w:hint="eastAsia" w:ascii="楷体_GB2312" w:hAnsi="楷体_GB2312" w:eastAsia="楷体_GB2312" w:cs="楷体_GB2312"/>
          <w:b/>
          <w:kern w:val="0"/>
          <w:sz w:val="24"/>
          <w:szCs w:val="24"/>
        </w:rPr>
        <w:t>相关风险</w:t>
      </w:r>
      <w:r>
        <w:rPr>
          <w:rFonts w:hint="eastAsia" w:ascii="楷体_GB2312" w:hAnsi="楷体_GB2312" w:eastAsia="楷体_GB2312" w:cs="楷体_GB2312"/>
          <w:b/>
          <w:kern w:val="0"/>
          <w:sz w:val="24"/>
          <w:szCs w:val="24"/>
          <w:lang w:eastAsia="zh-CN"/>
        </w:rPr>
        <w:t>（</w:t>
      </w:r>
      <w:r>
        <w:rPr>
          <w:rFonts w:hint="eastAsia" w:ascii="楷体_GB2312" w:hAnsi="楷体_GB2312" w:eastAsia="楷体_GB2312" w:cs="楷体_GB2312"/>
          <w:b/>
          <w:kern w:val="0"/>
          <w:sz w:val="24"/>
          <w:szCs w:val="24"/>
          <w:lang w:val="en-US" w:eastAsia="zh-CN"/>
        </w:rPr>
        <w:t>如有</w:t>
      </w:r>
      <w:r>
        <w:rPr>
          <w:rFonts w:hint="eastAsia" w:ascii="楷体_GB2312" w:hAnsi="楷体_GB2312" w:eastAsia="楷体_GB2312" w:cs="楷体_GB2312"/>
          <w:b/>
          <w:kern w:val="0"/>
          <w:sz w:val="24"/>
          <w:szCs w:val="24"/>
          <w:lang w:eastAsia="zh-CN"/>
        </w:rPr>
        <w:t>）</w:t>
      </w:r>
      <w:bookmarkEnd w:id="4228"/>
      <w:bookmarkEnd w:id="4229"/>
      <w:bookmarkEnd w:id="4230"/>
    </w:p>
    <w:p>
      <w:pPr>
        <w:keepNext w:val="0"/>
        <w:keepLines w:val="0"/>
        <w:pageBreakBefore w:val="0"/>
        <w:widowControl w:val="0"/>
        <w:tabs>
          <w:tab w:val="left" w:pos="6811"/>
        </w:tabs>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default" w:ascii="楷体_GB2312" w:hAnsi="楷体_GB2312" w:eastAsia="楷体_GB2312" w:cs="楷体_GB2312"/>
          <w:b/>
          <w:kern w:val="0"/>
          <w:sz w:val="24"/>
          <w:szCs w:val="24"/>
          <w:lang w:val="en-US" w:eastAsia="zh-CN"/>
        </w:rPr>
      </w:pPr>
      <w:bookmarkStart w:id="4231" w:name="_Toc9686"/>
      <w:bookmarkStart w:id="4232" w:name="_Toc17489"/>
      <w:bookmarkStart w:id="4233" w:name="_Toc12216"/>
      <w:bookmarkStart w:id="4234" w:name="_Toc12560"/>
      <w:r>
        <w:rPr>
          <w:rFonts w:hint="eastAsia" w:ascii="楷体_GB2312" w:hAnsi="楷体_GB2312" w:eastAsia="楷体_GB2312" w:cs="楷体_GB2312"/>
          <w:b/>
          <w:kern w:val="0"/>
          <w:sz w:val="24"/>
          <w:szCs w:val="24"/>
        </w:rPr>
        <w:t>六、</w:t>
      </w:r>
      <w:r>
        <w:rPr>
          <w:rFonts w:hint="eastAsia" w:ascii="楷体_GB2312" w:hAnsi="楷体_GB2312" w:eastAsia="楷体_GB2312" w:cs="楷体_GB2312"/>
          <w:b/>
          <w:kern w:val="0"/>
          <w:sz w:val="24"/>
          <w:szCs w:val="24"/>
          <w:lang w:val="en-US" w:eastAsia="zh-CN"/>
        </w:rPr>
        <w:t>中介机构相关风险</w:t>
      </w:r>
      <w:bookmarkEnd w:id="4231"/>
      <w:bookmarkEnd w:id="4232"/>
      <w:bookmarkEnd w:id="4233"/>
      <w:bookmarkEnd w:id="4234"/>
      <w:r>
        <w:rPr>
          <w:rFonts w:hint="eastAsia" w:ascii="楷体_GB2312" w:hAnsi="楷体_GB2312" w:eastAsia="楷体_GB2312" w:cs="楷体_GB2312"/>
          <w:b/>
          <w:kern w:val="0"/>
          <w:sz w:val="24"/>
          <w:szCs w:val="24"/>
          <w:lang w:val="en-US" w:eastAsia="zh-CN"/>
        </w:rPr>
        <w:tab/>
      </w:r>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lang w:val="en-US" w:eastAsia="zh-CN"/>
        </w:rPr>
      </w:pPr>
      <w:bookmarkStart w:id="4235" w:name="_Toc21064"/>
      <w:bookmarkStart w:id="4236" w:name="_Toc3607"/>
      <w:bookmarkStart w:id="4237" w:name="_Toc22064"/>
      <w:bookmarkStart w:id="4238" w:name="_Toc26099"/>
      <w:r>
        <w:rPr>
          <w:rFonts w:hint="eastAsia" w:ascii="楷体_GB2312" w:hAnsi="楷体_GB2312" w:eastAsia="楷体_GB2312" w:cs="楷体_GB2312"/>
          <w:b/>
          <w:kern w:val="0"/>
          <w:sz w:val="24"/>
          <w:szCs w:val="24"/>
          <w:lang w:val="en-US" w:eastAsia="zh-CN"/>
        </w:rPr>
        <w:t>七</w:t>
      </w:r>
      <w:r>
        <w:rPr>
          <w:rFonts w:hint="eastAsia" w:ascii="楷体_GB2312" w:hAnsi="楷体_GB2312" w:eastAsia="楷体_GB2312" w:cs="楷体_GB2312"/>
          <w:b/>
          <w:kern w:val="0"/>
          <w:sz w:val="24"/>
          <w:szCs w:val="24"/>
        </w:rPr>
        <w:t>、</w:t>
      </w:r>
      <w:r>
        <w:rPr>
          <w:rFonts w:hint="eastAsia" w:ascii="楷体_GB2312" w:hAnsi="楷体_GB2312" w:eastAsia="楷体_GB2312" w:cs="楷体_GB2312"/>
          <w:b/>
          <w:kern w:val="0"/>
          <w:sz w:val="24"/>
          <w:szCs w:val="24"/>
          <w:lang w:val="en-US" w:eastAsia="zh-CN"/>
        </w:rPr>
        <w:t>定向资产支持商业票据相关风险</w:t>
      </w:r>
      <w:bookmarkEnd w:id="4235"/>
      <w:bookmarkEnd w:id="4236"/>
      <w:bookmarkEnd w:id="4237"/>
      <w:bookmarkEnd w:id="4238"/>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（一）滚动发行失败风险</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（二）滚动</w:t>
      </w:r>
      <w:r>
        <w:rPr>
          <w:rFonts w:hint="default" w:ascii="楷体_GB2312" w:hAnsi="楷体_GB2312" w:eastAsia="楷体_GB2312" w:cs="楷体_GB2312"/>
          <w:b/>
          <w:bCs/>
          <w:snapToGrid w:val="0"/>
          <w:kern w:val="0"/>
          <w:sz w:val="24"/>
          <w:szCs w:val="24"/>
          <w:lang w:val="en-US" w:eastAsia="zh-CN" w:bidi="ar-SA"/>
        </w:rPr>
        <w:t>发行利率上升导致基础资产现金流覆盖倍数不及预测值的风险</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（三）滚动发行的定向资产支持商业票据缴款后无法立即起息风险（如有）</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（四）追加交付资产质量下降风险（如有）</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（五）委托人未按约定支付信托受益权转让对价的风险（如有）</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（六）委托人未按约定支付回购资产对价的风险（如有）</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Times New Roman" w:hAnsi="Times New Roman" w:eastAsia="楷体_GB2312" w:cs="Times New Roman"/>
          <w:b/>
          <w:bCs w:val="0"/>
          <w:i/>
          <w:snapToGrid/>
          <w:color w:val="FF0000"/>
          <w:kern w:val="0"/>
          <w:sz w:val="24"/>
          <w:szCs w:val="28"/>
          <w:u w:val="single"/>
          <w:lang w:val="en-US" w:eastAsia="zh-CN" w:bidi="ar-SA"/>
        </w:rPr>
      </w:pPr>
      <w:r>
        <w:rPr>
          <w:rFonts w:hint="eastAsia" w:ascii="Times New Roman" w:hAnsi="Times New Roman" w:eastAsia="楷体_GB2312" w:cs="Times New Roman"/>
          <w:b/>
          <w:bCs w:val="0"/>
          <w:i/>
          <w:snapToGrid/>
          <w:color w:val="FF0000"/>
          <w:kern w:val="0"/>
          <w:sz w:val="24"/>
          <w:szCs w:val="28"/>
          <w:u w:val="single"/>
          <w:lang w:val="en-US" w:eastAsia="zh-CN" w:bidi="ar-SA"/>
        </w:rPr>
        <w:t>指委托人选择进行回购的情形。</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（七）委托人未按约定支付回购资产池对价的风险（如有）</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Times New Roman" w:hAnsi="Times New Roman" w:eastAsia="楷体_GB2312" w:cs="Times New Roman"/>
          <w:b/>
          <w:bCs w:val="0"/>
          <w:i/>
          <w:snapToGrid/>
          <w:color w:val="FF0000"/>
          <w:kern w:val="0"/>
          <w:sz w:val="24"/>
          <w:szCs w:val="28"/>
          <w:u w:val="single"/>
          <w:lang w:val="en-US" w:eastAsia="zh-CN" w:bidi="ar-SA"/>
        </w:rPr>
      </w:pPr>
      <w:r>
        <w:rPr>
          <w:rFonts w:hint="eastAsia" w:ascii="Times New Roman" w:hAnsi="Times New Roman" w:eastAsia="楷体_GB2312" w:cs="Times New Roman"/>
          <w:b/>
          <w:bCs w:val="0"/>
          <w:i/>
          <w:snapToGrid/>
          <w:color w:val="FF0000"/>
          <w:kern w:val="0"/>
          <w:sz w:val="24"/>
          <w:szCs w:val="28"/>
          <w:u w:val="single"/>
          <w:lang w:val="en-US" w:eastAsia="zh-CN" w:bidi="ar-SA"/>
        </w:rPr>
        <w:t>指委托人因中止滚动发行而产生回购义务的情形。</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（八）差额支付承诺人未按约定履行滚动发行差额支付义务的风险（如有）</w:t>
      </w:r>
    </w:p>
    <w:p>
      <w:pPr>
        <w:pStyle w:val="2"/>
        <w:keepNext w:val="0"/>
        <w:keepLines w:val="0"/>
        <w:pageBreakBefore w:val="0"/>
        <w:widowControl w:val="0"/>
        <w:kinsoku/>
        <w:wordWrap/>
        <w:overflowPunct/>
        <w:topLinePunct w:val="0"/>
        <w:bidi w:val="0"/>
        <w:spacing w:before="144" w:beforeLines="50" w:after="144" w:afterLines="50" w:line="240" w:lineRule="atLeast"/>
        <w:jc w:val="both"/>
        <w:textAlignment w:val="auto"/>
        <w:rPr>
          <w:rFonts w:hint="eastAsia"/>
        </w:rPr>
      </w:pPr>
      <w:r>
        <w:rPr>
          <w:rFonts w:hint="eastAsia" w:ascii="Times New Roman" w:hAnsi="Times New Roman" w:eastAsia="楷体_GB2312" w:cs="Times New Roman"/>
          <w:b/>
          <w:bCs w:val="0"/>
          <w:i/>
          <w:color w:val="FF0000"/>
          <w:sz w:val="24"/>
          <w:szCs w:val="28"/>
          <w:u w:val="single"/>
          <w:lang w:val="en-US" w:eastAsia="zh-CN"/>
        </w:rPr>
        <w:t>应根据项目实际情况阐述可能存在的风险。</w:t>
      </w:r>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239" w:name="_Toc16746"/>
      <w:bookmarkStart w:id="4240" w:name="_Toc19590"/>
      <w:bookmarkStart w:id="4241" w:name="_Toc10547"/>
      <w:bookmarkStart w:id="4242" w:name="_Toc16514"/>
      <w:r>
        <w:rPr>
          <w:rFonts w:hint="eastAsia" w:ascii="楷体_GB2312" w:hAnsi="楷体_GB2312" w:eastAsia="楷体_GB2312" w:cs="楷体_GB2312"/>
          <w:b/>
          <w:kern w:val="0"/>
          <w:sz w:val="24"/>
          <w:szCs w:val="24"/>
          <w:lang w:val="en-US" w:eastAsia="zh-CN"/>
        </w:rPr>
        <w:t>八</w:t>
      </w:r>
      <w:r>
        <w:rPr>
          <w:rFonts w:hint="eastAsia" w:ascii="楷体_GB2312" w:hAnsi="楷体_GB2312" w:eastAsia="楷体_GB2312" w:cs="楷体_GB2312"/>
          <w:b/>
          <w:kern w:val="0"/>
          <w:sz w:val="24"/>
          <w:szCs w:val="24"/>
        </w:rPr>
        <w:t>、其他特有风险</w:t>
      </w:r>
      <w:bookmarkEnd w:id="4239"/>
      <w:bookmarkEnd w:id="4240"/>
      <w:bookmarkEnd w:id="4241"/>
      <w:bookmarkEnd w:id="4242"/>
    </w:p>
    <w:p>
      <w:pPr>
        <w:pStyle w:val="156"/>
        <w:keepNext w:val="0"/>
        <w:keepLines w:val="0"/>
        <w:pageBreakBefore w:val="0"/>
        <w:widowControl w:val="0"/>
        <w:numPr>
          <w:ilvl w:val="0"/>
          <w:numId w:val="0"/>
        </w:numPr>
        <w:kinsoku/>
        <w:wordWrap/>
        <w:overflowPunct/>
        <w:topLinePunct w:val="0"/>
        <w:autoSpaceDE w:val="0"/>
        <w:autoSpaceDN w:val="0"/>
        <w:bidi w:val="0"/>
        <w:adjustRightInd w:val="0"/>
        <w:spacing w:before="144" w:beforeLines="50" w:after="144" w:afterLines="50" w:line="240" w:lineRule="atLeast"/>
        <w:ind w:leftChars="0"/>
        <w:jc w:val="both"/>
        <w:textAlignment w:val="auto"/>
        <w:outlineLvl w:val="9"/>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4"/>
        </w:numPr>
        <w:kinsoku/>
        <w:wordWrap/>
        <w:overflowPunct/>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243" w:name="_Toc4227"/>
      <w:bookmarkStart w:id="4244" w:name="_Toc12211"/>
      <w:bookmarkStart w:id="4245" w:name="_Toc13972"/>
      <w:bookmarkStart w:id="4246" w:name="_Toc1187"/>
      <w:r>
        <w:rPr>
          <w:rFonts w:hint="eastAsia" w:ascii="楷体_GB2312" w:hAnsi="楷体_GB2312" w:eastAsia="楷体_GB2312" w:cs="楷体_GB2312"/>
          <w:b/>
          <w:bCs/>
          <w:kern w:val="0"/>
          <w:sz w:val="30"/>
          <w:szCs w:val="30"/>
        </w:rPr>
        <w:t>交易结构</w:t>
      </w:r>
      <w:bookmarkEnd w:id="4243"/>
      <w:bookmarkEnd w:id="4244"/>
      <w:bookmarkEnd w:id="4245"/>
      <w:bookmarkEnd w:id="4246"/>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rPr>
      </w:pPr>
      <w:bookmarkStart w:id="4247" w:name="_Toc28157"/>
      <w:bookmarkStart w:id="4248" w:name="_Toc6330"/>
      <w:bookmarkStart w:id="4249" w:name="_Toc10992"/>
      <w:bookmarkStart w:id="4250" w:name="_Toc2437"/>
      <w:r>
        <w:rPr>
          <w:rFonts w:hint="eastAsia" w:ascii="楷体_GB2312" w:hAnsi="楷体_GB2312" w:eastAsia="楷体_GB2312" w:cs="楷体_GB2312"/>
          <w:b/>
          <w:kern w:val="0"/>
          <w:sz w:val="24"/>
          <w:szCs w:val="24"/>
        </w:rPr>
        <w:t>一、交易结构图</w:t>
      </w:r>
      <w:bookmarkEnd w:id="4247"/>
      <w:r>
        <w:rPr>
          <w:rStyle w:val="48"/>
          <w:rFonts w:hint="eastAsia" w:ascii="楷体_GB2312" w:hAnsi="楷体_GB2312" w:eastAsia="楷体_GB2312" w:cs="楷体_GB2312"/>
          <w:b/>
          <w:kern w:val="0"/>
          <w:sz w:val="24"/>
          <w:szCs w:val="24"/>
        </w:rPr>
        <w:footnoteReference w:id="76"/>
      </w:r>
      <w:bookmarkEnd w:id="4248"/>
      <w:bookmarkEnd w:id="4249"/>
      <w:bookmarkEnd w:id="4250"/>
    </w:p>
    <w:p>
      <w:pPr>
        <w:keepNext w:val="0"/>
        <w:keepLines w:val="0"/>
        <w:pageBreakBefore w:val="0"/>
        <w:widowControl w:val="0"/>
        <w:kinsoku/>
        <w:wordWrap/>
        <w:overflowPunct/>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default" w:ascii="楷体_GB2312" w:hAnsi="楷体_GB2312" w:eastAsia="楷体_GB2312" w:cs="楷体_GB2312"/>
          <w:b/>
          <w:kern w:val="0"/>
          <w:sz w:val="24"/>
          <w:szCs w:val="24"/>
          <w:lang w:val="en-US" w:eastAsia="zh-CN"/>
        </w:rPr>
      </w:pPr>
      <w:bookmarkStart w:id="4251" w:name="_Toc30988"/>
      <w:bookmarkStart w:id="4252" w:name="_Toc19283"/>
      <w:bookmarkStart w:id="4253" w:name="_Toc12363"/>
      <w:bookmarkStart w:id="4254" w:name="_Toc32752"/>
      <w:r>
        <w:rPr>
          <w:rFonts w:hint="eastAsia" w:ascii="楷体_GB2312" w:hAnsi="楷体_GB2312" w:eastAsia="楷体_GB2312" w:cs="楷体_GB2312"/>
          <w:b/>
          <w:kern w:val="0"/>
          <w:sz w:val="24"/>
          <w:szCs w:val="24"/>
        </w:rPr>
        <w:t>二、交易结构介绍</w:t>
      </w:r>
      <w:bookmarkEnd w:id="4251"/>
      <w:r>
        <w:rPr>
          <w:rStyle w:val="48"/>
          <w:rFonts w:hint="eastAsia" w:ascii="楷体_GB2312" w:hAnsi="楷体_GB2312" w:eastAsia="楷体_GB2312" w:cs="楷体_GB2312"/>
          <w:b/>
          <w:kern w:val="0"/>
          <w:sz w:val="24"/>
          <w:szCs w:val="24"/>
        </w:rPr>
        <w:footnoteReference w:id="77"/>
      </w:r>
      <w:bookmarkEnd w:id="4252"/>
      <w:bookmarkEnd w:id="4253"/>
      <w:bookmarkEnd w:id="4254"/>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55" w:name="_Toc19961"/>
      <w:bookmarkStart w:id="4256" w:name="_Toc27319"/>
      <w:bookmarkStart w:id="4257" w:name="_Toc8649"/>
      <w:r>
        <w:rPr>
          <w:rFonts w:hint="eastAsia" w:ascii="楷体_GB2312" w:hAnsi="楷体_GB2312" w:eastAsia="楷体_GB2312" w:cs="楷体_GB2312"/>
          <w:b/>
          <w:kern w:val="0"/>
          <w:sz w:val="24"/>
          <w:szCs w:val="24"/>
          <w:lang w:val="en-US" w:eastAsia="zh-CN"/>
        </w:rPr>
        <w:t>（一）交易结构基本情况</w:t>
      </w:r>
      <w:bookmarkEnd w:id="4255"/>
      <w:bookmarkEnd w:id="4256"/>
      <w:bookmarkEnd w:id="4257"/>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58" w:name="_Toc3312"/>
      <w:bookmarkStart w:id="4259" w:name="_Toc28835"/>
      <w:bookmarkStart w:id="4260" w:name="_Toc232"/>
      <w:r>
        <w:rPr>
          <w:rFonts w:hint="eastAsia" w:ascii="楷体_GB2312" w:hAnsi="楷体_GB2312" w:eastAsia="楷体_GB2312" w:cs="楷体_GB2312"/>
          <w:b/>
          <w:kern w:val="0"/>
          <w:sz w:val="24"/>
          <w:szCs w:val="24"/>
        </w:rPr>
        <w:t>（</w:t>
      </w:r>
      <w:r>
        <w:rPr>
          <w:rFonts w:hint="eastAsia" w:ascii="楷体_GB2312" w:hAnsi="楷体_GB2312" w:eastAsia="楷体_GB2312" w:cs="楷体_GB2312"/>
          <w:b/>
          <w:kern w:val="0"/>
          <w:sz w:val="24"/>
          <w:szCs w:val="24"/>
          <w:lang w:val="en-US" w:eastAsia="zh-CN"/>
        </w:rPr>
        <w:t>二</w:t>
      </w:r>
      <w:r>
        <w:rPr>
          <w:rFonts w:hint="eastAsia" w:ascii="楷体_GB2312" w:hAnsi="楷体_GB2312" w:eastAsia="楷体_GB2312" w:cs="楷体_GB2312"/>
          <w:b/>
          <w:kern w:val="0"/>
          <w:sz w:val="24"/>
          <w:szCs w:val="24"/>
        </w:rPr>
        <w:t>）</w:t>
      </w:r>
      <w:r>
        <w:rPr>
          <w:rFonts w:hint="eastAsia" w:ascii="楷体_GB2312" w:hAnsi="楷体_GB2312" w:eastAsia="楷体_GB2312" w:cs="楷体_GB2312"/>
          <w:b/>
          <w:kern w:val="0"/>
          <w:sz w:val="24"/>
          <w:szCs w:val="24"/>
          <w:lang w:val="en-US" w:eastAsia="zh-CN"/>
        </w:rPr>
        <w:t>本期主要机制流程</w:t>
      </w:r>
      <w:bookmarkEnd w:id="4258"/>
      <w:bookmarkEnd w:id="4259"/>
      <w:bookmarkEnd w:id="4260"/>
    </w:p>
    <w:p>
      <w:pPr>
        <w:keepNext w:val="0"/>
        <w:keepLines w:val="0"/>
        <w:pageBreakBefore w:val="0"/>
        <w:widowControl w:val="0"/>
        <w:kinsoku/>
        <w:wordWrap/>
        <w:overflowPunct/>
        <w:topLinePunct w:val="0"/>
        <w:bidi w:val="0"/>
        <w:spacing w:before="144" w:beforeLines="50" w:after="144" w:afterLines="50" w:line="240" w:lineRule="atLeast"/>
        <w:jc w:val="center"/>
        <w:textAlignment w:val="auto"/>
        <w:rPr>
          <w:rFonts w:hint="default" w:ascii="楷体_GB2312" w:hAnsi="楷体_GB2312" w:eastAsia="楷体_GB2312" w:cs="楷体_GB2312"/>
          <w:b/>
          <w:bCs/>
          <w:i w:val="0"/>
          <w:iCs w:val="0"/>
          <w:kern w:val="2"/>
          <w:sz w:val="24"/>
          <w:szCs w:val="24"/>
          <w:u w:val="none"/>
          <w:shd w:val="clear" w:color="auto" w:fill="auto"/>
          <w:lang w:val="en-US" w:eastAsia="zh-CN" w:bidi="zh-TW"/>
        </w:rPr>
      </w:pPr>
      <w:r>
        <w:rPr>
          <w:rFonts w:hint="eastAsia" w:ascii="楷体_GB2312" w:hAnsi="楷体_GB2312" w:eastAsia="楷体_GB2312" w:cs="楷体_GB2312"/>
          <w:b/>
          <w:bCs/>
          <w:i w:val="0"/>
          <w:iCs w:val="0"/>
          <w:kern w:val="2"/>
          <w:sz w:val="24"/>
          <w:szCs w:val="24"/>
          <w:u w:val="none"/>
          <w:shd w:val="clear" w:color="auto" w:fill="auto"/>
          <w:lang w:val="en-US" w:eastAsia="zh-CN" w:bidi="zh-TW"/>
        </w:rPr>
        <w:t>图3-1</w:t>
      </w:r>
      <w:r>
        <w:rPr>
          <w:rFonts w:hint="eastAsia" w:ascii="楷体_GB2312" w:hAnsi="楷体_GB2312" w:eastAsia="楷体_GB2312" w:cs="楷体_GB2312"/>
          <w:b/>
          <w:kern w:val="0"/>
          <w:sz w:val="24"/>
          <w:szCs w:val="24"/>
          <w:lang w:val="en-US" w:eastAsia="zh-CN"/>
        </w:rPr>
        <w:t>本期主要机制流程</w:t>
      </w:r>
      <w:r>
        <w:rPr>
          <w:rStyle w:val="48"/>
          <w:rFonts w:hint="eastAsia" w:ascii="楷体_GB2312" w:hAnsi="楷体_GB2312" w:eastAsia="楷体_GB2312" w:cs="楷体_GB2312"/>
          <w:b/>
          <w:kern w:val="0"/>
          <w:sz w:val="24"/>
          <w:szCs w:val="24"/>
          <w:highlight w:val="none"/>
        </w:rPr>
        <w:footnoteReference w:id="78"/>
      </w:r>
    </w:p>
    <w:tbl>
      <w:tblPr>
        <w:tblStyle w:val="41"/>
        <w:tblW w:w="8560" w:type="dxa"/>
        <w:jc w:val="center"/>
        <w:tblLayout w:type="fixed"/>
        <w:tblCellMar>
          <w:top w:w="0" w:type="dxa"/>
          <w:left w:w="10" w:type="dxa"/>
          <w:bottom w:w="0" w:type="dxa"/>
          <w:right w:w="10" w:type="dxa"/>
        </w:tblCellMar>
      </w:tblPr>
      <w:tblGrid>
        <w:gridCol w:w="1531"/>
        <w:gridCol w:w="2796"/>
        <w:gridCol w:w="4233"/>
      </w:tblGrid>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滚动发行相关</w:t>
            </w:r>
            <w:r>
              <w:rPr>
                <w:rFonts w:hint="eastAsia" w:ascii="楷体_GB2312" w:hAnsi="楷体_GB2312" w:eastAsia="楷体_GB2312" w:cs="楷体_GB2312"/>
                <w:b/>
                <w:bCs/>
                <w:color w:val="000000"/>
                <w:spacing w:val="0"/>
                <w:w w:val="100"/>
                <w:position w:val="0"/>
                <w:sz w:val="24"/>
                <w:szCs w:val="24"/>
                <w:lang w:val="en-US" w:eastAsia="zh-CN"/>
              </w:rPr>
              <w:t>流程</w:t>
            </w:r>
            <w:r>
              <w:rPr>
                <w:rFonts w:hint="eastAsia" w:ascii="楷体_GB2312" w:hAnsi="楷体_GB2312" w:eastAsia="楷体_GB2312" w:cs="楷体_GB2312"/>
                <w:b/>
                <w:bCs/>
                <w:sz w:val="24"/>
                <w:szCs w:val="24"/>
                <w:lang w:val="en-US" w:eastAsia="zh-CN"/>
              </w:rPr>
              <w:t>（选择滚动发行）</w:t>
            </w:r>
          </w:p>
        </w:tc>
      </w:tr>
      <w:tr>
        <w:tblPrEx>
          <w:tblCellMar>
            <w:top w:w="0" w:type="dxa"/>
            <w:left w:w="10" w:type="dxa"/>
            <w:bottom w:w="0" w:type="dxa"/>
            <w:right w:w="10" w:type="dxa"/>
          </w:tblCellMar>
        </w:tblPrEx>
        <w:trPr>
          <w:trHeight w:val="90"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eastAsia="楷体_GB2312" w:cs="楷体_GB2312"/>
                <w:b/>
                <w:bCs/>
                <w:sz w:val="24"/>
                <w:szCs w:val="24"/>
              </w:rPr>
            </w:pPr>
            <w:r>
              <w:rPr>
                <w:rFonts w:hint="eastAsia" w:ascii="楷体_GB2312" w:hAnsi="楷体_GB2312" w:eastAsia="楷体_GB2312" w:cs="楷体_GB2312"/>
                <w:b/>
                <w:bCs/>
                <w:sz w:val="24"/>
                <w:szCs w:val="24"/>
                <w:lang w:val="en-US" w:eastAsia="zh-CN"/>
              </w:rPr>
              <w:t>日期</w:t>
            </w:r>
          </w:p>
        </w:tc>
        <w:tc>
          <w:tcPr>
            <w:tcW w:w="2796" w:type="dxa"/>
            <w:tcBorders>
              <w:top w:val="single" w:color="auto" w:sz="4" w:space="0"/>
              <w:left w:val="single" w:color="auto" w:sz="4" w:space="0"/>
              <w:right w:val="single" w:color="auto" w:sz="4" w:space="0"/>
            </w:tcBorders>
            <w:shd w:val="clear" w:color="auto" w:fill="FFFFFF"/>
            <w:noWrap w:val="0"/>
            <w:vAlign w:val="top"/>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90"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计算日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【预期到期日/到期日】所对应的计算日，即【T所在自然月前【  】个月的最后一日】</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b w:val="0"/>
                <w:bCs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回收款转付日</w:t>
            </w:r>
          </w:p>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b w:val="0"/>
                <w:bCs w:val="0"/>
                <w:sz w:val="24"/>
                <w:szCs w:val="24"/>
                <w:lang w:val="en-US" w:eastAsia="zh-CN"/>
              </w:rPr>
              <w:t>回收款转付期间未改变</w:t>
            </w:r>
            <w:r>
              <w:rPr>
                <w:rFonts w:hint="eastAsia" w:ascii="楷体_GB2312" w:hAnsi="楷体_GB2312" w:eastAsia="楷体_GB2312" w:cs="楷体_GB2312"/>
                <w:sz w:val="24"/>
                <w:szCs w:val="24"/>
                <w:lang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zh-TW" w:eastAsia="zh-CN" w:bidi="zh-TW"/>
              </w:rPr>
            </w:pPr>
            <w:r>
              <w:rPr>
                <w:rFonts w:hint="eastAsia" w:ascii="楷体_GB2312" w:hAnsi="楷体_GB2312" w:eastAsia="楷体_GB2312" w:cs="楷体_GB2312"/>
                <w:sz w:val="24"/>
                <w:szCs w:val="24"/>
                <w:lang w:val="en-US" w:eastAsia="zh-CN"/>
              </w:rPr>
              <w:t>【预期到期日/到期日】所对应的回收款转付日，</w:t>
            </w:r>
            <w:r>
              <w:rPr>
                <w:rFonts w:hint="eastAsia" w:ascii="楷体_GB2312" w:hAnsi="楷体_GB2312" w:eastAsia="楷体_GB2312" w:cs="楷体_GB2312"/>
                <w:sz w:val="24"/>
                <w:szCs w:val="24"/>
              </w:rPr>
              <w:t>资产服务机构将</w:t>
            </w:r>
            <w:r>
              <w:rPr>
                <w:rFonts w:hint="eastAsia" w:ascii="楷体_GB2312" w:hAnsi="楷体_GB2312" w:eastAsia="楷体_GB2312" w:cs="楷体_GB2312"/>
                <w:sz w:val="24"/>
                <w:szCs w:val="24"/>
                <w:lang w:val="en-US" w:eastAsia="zh-CN"/>
              </w:rPr>
              <w:t>对应收款期间的</w:t>
            </w:r>
            <w:r>
              <w:rPr>
                <w:rFonts w:hint="eastAsia" w:ascii="楷体_GB2312" w:hAnsi="楷体_GB2312" w:eastAsia="楷体_GB2312" w:cs="楷体_GB2312"/>
                <w:sz w:val="24"/>
                <w:szCs w:val="24"/>
              </w:rPr>
              <w:t>回收款转付到信托账户</w:t>
            </w:r>
            <w:r>
              <w:rPr>
                <w:rFonts w:hint="eastAsia" w:ascii="楷体_GB2312" w:hAnsi="楷体_GB2312" w:eastAsia="楷体_GB2312" w:cs="楷体_GB2312"/>
                <w:sz w:val="24"/>
                <w:szCs w:val="24"/>
                <w:lang w:eastAsia="zh-CN"/>
              </w:rPr>
              <w:t>。</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截至该日期，委托人未书面通知受托人选择不进行滚动发行后一期资产支持商业票据。</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sz w:val="24"/>
                <w:szCs w:val="24"/>
                <w:lang w:val="en-US" w:eastAsia="zh-CN"/>
              </w:rPr>
            </w:pPr>
            <w:r>
              <w:rPr>
                <w:rFonts w:hint="default" w:ascii="楷体_GB2312" w:hAnsi="楷体_GB2312" w:eastAsia="楷体_GB2312" w:cs="楷体_GB2312"/>
                <w:sz w:val="24"/>
                <w:szCs w:val="24"/>
                <w:lang w:val="en-US" w:eastAsia="zh-CN"/>
              </w:rPr>
              <w:t>信托核算日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受托人核算</w:t>
            </w:r>
            <w:r>
              <w:rPr>
                <w:rFonts w:hint="eastAsia" w:ascii="楷体_GB2312" w:hAnsi="楷体_GB2312" w:eastAsia="楷体_GB2312" w:cs="楷体_GB2312"/>
                <w:sz w:val="24"/>
                <w:szCs w:val="24"/>
              </w:rPr>
              <w:t>信托</w:t>
            </w:r>
            <w:r>
              <w:rPr>
                <w:rFonts w:hint="eastAsia" w:ascii="楷体_GB2312" w:hAnsi="楷体_GB2312" w:eastAsia="楷体_GB2312" w:cs="楷体_GB2312"/>
                <w:sz w:val="24"/>
                <w:szCs w:val="24"/>
                <w:lang w:val="en-US" w:eastAsia="zh-CN"/>
              </w:rPr>
              <w:t>账户内的资金。</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sz w:val="24"/>
                <w:szCs w:val="24"/>
                <w:lang w:val="en-US" w:eastAsia="zh-CN"/>
              </w:rPr>
            </w:pPr>
            <w:r>
              <w:rPr>
                <w:rFonts w:hint="default"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如信托账户内可供分配的资金不足以支付应由信托财产承担的全部税费、报酬和前一期资产支持商业票据的利息，受托人需通知差额支付承诺人履行相关付款义务。（如有）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sz w:val="24"/>
                <w:szCs w:val="24"/>
                <w:lang w:val="en-US" w:eastAsia="zh-CN"/>
              </w:rPr>
            </w:pPr>
            <w:r>
              <w:rPr>
                <w:rFonts w:hint="default"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差额支付承诺人支付回收款差额补足款项。（如有）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缴款日（后一期）</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后一期</w:t>
            </w:r>
            <w:r>
              <w:rPr>
                <w:rFonts w:hint="eastAsia" w:ascii="楷体_GB2312" w:hAnsi="楷体_GB2312" w:eastAsia="楷体_GB2312" w:cs="楷体_GB2312"/>
                <w:sz w:val="24"/>
                <w:szCs w:val="24"/>
              </w:rPr>
              <w:t>资产支持商业票据发行</w:t>
            </w:r>
            <w:r>
              <w:rPr>
                <w:rFonts w:hint="eastAsia" w:ascii="楷体_GB2312" w:hAnsi="楷体_GB2312" w:eastAsia="楷体_GB2312" w:cs="楷体_GB2312"/>
                <w:sz w:val="24"/>
                <w:szCs w:val="24"/>
                <w:lang w:val="en-US" w:eastAsia="zh-CN"/>
              </w:rPr>
              <w:t>缴款。</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募集资金划付日</w:t>
            </w:r>
          </w:p>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（后一期）</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簿记管理人将后一期资产支持商业票据的募集资金划至发行收入缴款账户。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受益权价款支付日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如后一期资产支持商业票据未发行成功，委托人需履行受让信托受益权的义务，将对应的信托受益权转让对价支付至发行收入缴款账户。（如有）</w:t>
            </w:r>
            <w:r>
              <w:rPr>
                <w:rStyle w:val="48"/>
                <w:rFonts w:hint="eastAsia" w:ascii="楷体_GB2312" w:hAnsi="楷体_GB2312" w:eastAsia="楷体_GB2312" w:cs="楷体_GB2312"/>
                <w:sz w:val="24"/>
                <w:szCs w:val="24"/>
                <w:lang w:val="en-US" w:eastAsia="zh-CN"/>
              </w:rPr>
              <w:footnoteReference w:id="79"/>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】/T-【 】</w:t>
            </w:r>
            <w:r>
              <w:rPr>
                <w:rStyle w:val="48"/>
                <w:rFonts w:hint="eastAsia" w:ascii="楷体_GB2312" w:hAnsi="楷体_GB2312" w:eastAsia="楷体_GB2312" w:cs="楷体_GB2312"/>
                <w:b w:val="0"/>
                <w:bCs w:val="0"/>
                <w:color w:val="000000"/>
                <w:spacing w:val="0"/>
                <w:w w:val="100"/>
                <w:position w:val="0"/>
                <w:sz w:val="24"/>
                <w:szCs w:val="24"/>
                <w:lang w:val="en-US" w:eastAsia="zh-CN"/>
              </w:rPr>
              <w:footnoteReference w:id="80"/>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如后一期资产支持商业票据未发行成功，委托人需履行回购资产池的义务，受托人计算本次回购对应的回购价格，并向委托人发出《回购义务通知》。（如有）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回购价款支付日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委托人将相当于回购价格的款项支付至信托账户。（如有）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滚动发行</w:t>
            </w:r>
            <w:r>
              <w:rPr>
                <w:rFonts w:hint="default" w:ascii="楷体_GB2312" w:hAnsi="楷体_GB2312" w:eastAsia="楷体_GB2312" w:cs="楷体_GB2312"/>
                <w:sz w:val="24"/>
                <w:szCs w:val="24"/>
                <w:lang w:val="en-US" w:eastAsia="zh-CN"/>
              </w:rPr>
              <w:t>差额支付启动日</w:t>
            </w:r>
            <w:r>
              <w:rPr>
                <w:rFonts w:hint="eastAsia" w:ascii="楷体_GB2312" w:hAnsi="楷体_GB2312" w:eastAsia="楷体_GB2312" w:cs="楷体_GB2312"/>
                <w:sz w:val="24"/>
                <w:szCs w:val="24"/>
                <w:lang w:val="en-US" w:eastAsia="zh-CN"/>
              </w:rPr>
              <w:t>/</w:t>
            </w:r>
            <w:r>
              <w:rPr>
                <w:rFonts w:hint="default"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如委托人未足额支付信托受益权转让对价/回购资产池的对应款项，受托人需通知差额支付承诺人履行相关付款义务。（如有）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default"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差额支付承诺人支付差额补足款项。（如有）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default" w:ascii="楷体_GB2312" w:hAnsi="楷体_GB2312" w:eastAsia="楷体_GB2312" w:cs="楷体_GB2312"/>
                <w:sz w:val="24"/>
                <w:szCs w:val="24"/>
                <w:lang w:val="en-US" w:eastAsia="zh-CN"/>
              </w:rPr>
              <w:t>信托</w:t>
            </w:r>
            <w:r>
              <w:rPr>
                <w:rFonts w:hint="eastAsia" w:ascii="楷体_GB2312" w:hAnsi="楷体_GB2312" w:eastAsia="楷体_GB2312" w:cs="楷体_GB2312"/>
                <w:sz w:val="24"/>
                <w:szCs w:val="24"/>
                <w:lang w:val="en-US" w:eastAsia="zh-CN"/>
              </w:rPr>
              <w:t>分配</w:t>
            </w:r>
            <w:r>
              <w:rPr>
                <w:rFonts w:hint="default" w:ascii="楷体_GB2312" w:hAnsi="楷体_GB2312" w:eastAsia="楷体_GB2312" w:cs="楷体_GB2312"/>
                <w:sz w:val="24"/>
                <w:szCs w:val="24"/>
                <w:lang w:val="en-US" w:eastAsia="zh-CN"/>
              </w:rPr>
              <w:t>日</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受托人按照信托合同的约定分配</w:t>
            </w:r>
            <w:r>
              <w:rPr>
                <w:rFonts w:hint="eastAsia" w:ascii="楷体_GB2312" w:hAnsi="楷体_GB2312" w:eastAsia="楷体_GB2312" w:cs="楷体_GB2312"/>
                <w:sz w:val="24"/>
                <w:szCs w:val="24"/>
              </w:rPr>
              <w:t>信托</w:t>
            </w:r>
            <w:r>
              <w:rPr>
                <w:rFonts w:hint="eastAsia" w:ascii="楷体_GB2312" w:hAnsi="楷体_GB2312" w:eastAsia="楷体_GB2312" w:cs="楷体_GB2312"/>
                <w:sz w:val="24"/>
                <w:szCs w:val="24"/>
                <w:lang w:val="en-US" w:eastAsia="zh-CN"/>
              </w:rPr>
              <w:t>账户内的资金。</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不迟于该日，受托人向支付代理机构划付信托受益权转让对价。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w:t>
            </w:r>
          </w:p>
        </w:tc>
        <w:tc>
          <w:tcPr>
            <w:tcW w:w="2796"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u w:val="single"/>
                <w:lang w:val="en-US" w:eastAsia="zh-CN"/>
              </w:rPr>
              <w:t>预期到期日/到期日</w:t>
            </w: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both"/>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支付代理机构将收到的应付资金划付给前一期</w:t>
            </w:r>
            <w:r>
              <w:rPr>
                <w:rFonts w:hint="eastAsia" w:ascii="楷体_GB2312" w:hAnsi="楷体_GB2312" w:eastAsia="楷体_GB2312" w:cs="楷体_GB2312"/>
                <w:sz w:val="24"/>
                <w:szCs w:val="24"/>
              </w:rPr>
              <w:t>资产支持商业票据</w:t>
            </w:r>
            <w:r>
              <w:rPr>
                <w:rFonts w:hint="eastAsia" w:ascii="楷体_GB2312" w:hAnsi="楷体_GB2312" w:eastAsia="楷体_GB2312" w:cs="楷体_GB2312"/>
                <w:sz w:val="24"/>
                <w:szCs w:val="24"/>
                <w:lang w:val="en-US" w:eastAsia="zh-CN"/>
              </w:rPr>
              <w:t>持有人。</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滚动发行相关</w:t>
            </w:r>
            <w:r>
              <w:rPr>
                <w:rFonts w:hint="eastAsia" w:ascii="楷体_GB2312" w:hAnsi="楷体_GB2312" w:eastAsia="楷体_GB2312" w:cs="楷体_GB2312"/>
                <w:b/>
                <w:bCs/>
                <w:color w:val="000000"/>
                <w:spacing w:val="0"/>
                <w:w w:val="100"/>
                <w:position w:val="0"/>
                <w:sz w:val="24"/>
                <w:szCs w:val="24"/>
                <w:lang w:val="en-US" w:eastAsia="zh-CN"/>
              </w:rPr>
              <w:t>流程</w:t>
            </w:r>
            <w:r>
              <w:rPr>
                <w:rFonts w:hint="eastAsia" w:ascii="楷体_GB2312" w:hAnsi="楷体_GB2312" w:eastAsia="楷体_GB2312" w:cs="楷体_GB2312"/>
                <w:b/>
                <w:bCs/>
                <w:sz w:val="24"/>
                <w:szCs w:val="24"/>
                <w:lang w:val="en-US" w:eastAsia="zh-CN"/>
              </w:rPr>
              <w:t>（选择不滚动发行）</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b/>
                <w:bCs/>
                <w:color w:val="000000"/>
                <w:spacing w:val="0"/>
                <w:w w:val="100"/>
                <w:position w:val="0"/>
                <w:sz w:val="24"/>
                <w:szCs w:val="24"/>
                <w:lang w:val="en-US" w:eastAsia="zh-CN"/>
              </w:rPr>
            </w:pPr>
            <w:r>
              <w:rPr>
                <w:rFonts w:hint="eastAsia" w:ascii="楷体_GB2312" w:hAnsi="楷体_GB2312" w:eastAsia="楷体_GB2312" w:cs="楷体_GB2312"/>
                <w:b/>
                <w:bCs/>
                <w:color w:val="000000"/>
                <w:spacing w:val="0"/>
                <w:w w:val="100"/>
                <w:position w:val="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不迟于该日，委托人书面通知受托人选择不进行滚动发行后一期资产支持商业票据。</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受益权价款支付日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委托人履行受让信托受益权的义务，将对应的信托受益权转让对价支付至发行收入缴款账户。（如有）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受托人计算本次回购对应的回购价格，并向委托人发出《回购义务通知》。（如有）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回购价款支付日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委托人履行回购资产池的义务，将相当于回购价格的款项支付至信托账户。（如有）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滚动发行</w:t>
            </w:r>
            <w:r>
              <w:rPr>
                <w:rFonts w:hint="default" w:ascii="楷体_GB2312" w:hAnsi="楷体_GB2312" w:eastAsia="楷体_GB2312" w:cs="楷体_GB2312"/>
                <w:sz w:val="24"/>
                <w:szCs w:val="24"/>
                <w:lang w:val="en-US" w:eastAsia="zh-CN"/>
              </w:rPr>
              <w:t>差额支付启动日</w:t>
            </w:r>
            <w:r>
              <w:rPr>
                <w:rFonts w:hint="eastAsia" w:ascii="楷体_GB2312" w:hAnsi="楷体_GB2312" w:eastAsia="楷体_GB2312" w:cs="楷体_GB2312"/>
                <w:sz w:val="24"/>
                <w:szCs w:val="24"/>
                <w:lang w:val="en-US" w:eastAsia="zh-CN"/>
              </w:rPr>
              <w:t>/</w:t>
            </w:r>
            <w:r>
              <w:rPr>
                <w:rFonts w:hint="default"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如委托人未足额支付信托受益权转让对价/回购资产池的对应款项，受托人需通知差额支付承诺人履行相关付款义务。（如有）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default"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差额支付承诺人支付差额补足款项。（如有）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default" w:ascii="楷体_GB2312" w:hAnsi="楷体_GB2312" w:eastAsia="楷体_GB2312" w:cs="楷体_GB2312"/>
                <w:sz w:val="24"/>
                <w:szCs w:val="24"/>
                <w:lang w:val="en-US" w:eastAsia="zh-CN"/>
              </w:rPr>
              <w:t>信托</w:t>
            </w:r>
            <w:r>
              <w:rPr>
                <w:rFonts w:hint="eastAsia" w:ascii="楷体_GB2312" w:hAnsi="楷体_GB2312" w:eastAsia="楷体_GB2312" w:cs="楷体_GB2312"/>
                <w:sz w:val="24"/>
                <w:szCs w:val="24"/>
                <w:lang w:val="en-US" w:eastAsia="zh-CN"/>
              </w:rPr>
              <w:t>分配</w:t>
            </w:r>
            <w:r>
              <w:rPr>
                <w:rFonts w:hint="default" w:ascii="楷体_GB2312" w:hAnsi="楷体_GB2312" w:eastAsia="楷体_GB2312" w:cs="楷体_GB2312"/>
                <w:sz w:val="24"/>
                <w:szCs w:val="24"/>
                <w:lang w:val="en-US" w:eastAsia="zh-CN"/>
              </w:rPr>
              <w:t>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受托人按照信托合同的约定分配</w:t>
            </w:r>
            <w:r>
              <w:rPr>
                <w:rFonts w:hint="eastAsia" w:ascii="楷体_GB2312" w:hAnsi="楷体_GB2312" w:eastAsia="楷体_GB2312" w:cs="楷体_GB2312"/>
                <w:sz w:val="24"/>
                <w:szCs w:val="24"/>
              </w:rPr>
              <w:t>信托</w:t>
            </w:r>
            <w:r>
              <w:rPr>
                <w:rFonts w:hint="eastAsia" w:ascii="楷体_GB2312" w:hAnsi="楷体_GB2312" w:eastAsia="楷体_GB2312" w:cs="楷体_GB2312"/>
                <w:sz w:val="24"/>
                <w:szCs w:val="24"/>
                <w:lang w:val="en-US" w:eastAsia="zh-CN"/>
              </w:rPr>
              <w:t>账户内的资金。</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不迟于该日，受托人向支付代理机构划付信托受益权转让对价。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T</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u w:val="single"/>
                <w:lang w:val="en-US" w:eastAsia="zh-CN"/>
              </w:rPr>
              <w:t>预期到期日/到期日</w:t>
            </w: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支付代理机构将收到的应付资金划付给前一期</w:t>
            </w:r>
            <w:r>
              <w:rPr>
                <w:rFonts w:hint="eastAsia" w:ascii="楷体_GB2312" w:hAnsi="楷体_GB2312" w:eastAsia="楷体_GB2312" w:cs="楷体_GB2312"/>
                <w:sz w:val="24"/>
                <w:szCs w:val="24"/>
              </w:rPr>
              <w:t>资产支持商业票据</w:t>
            </w:r>
            <w:r>
              <w:rPr>
                <w:rFonts w:hint="eastAsia" w:ascii="楷体_GB2312" w:hAnsi="楷体_GB2312" w:eastAsia="楷体_GB2312" w:cs="楷体_GB2312"/>
                <w:sz w:val="24"/>
                <w:szCs w:val="24"/>
                <w:lang w:val="en-US" w:eastAsia="zh-CN"/>
              </w:rPr>
              <w:t>持有人。</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b/>
                <w:bCs/>
                <w:color w:val="000000"/>
                <w:spacing w:val="0"/>
                <w:w w:val="100"/>
                <w:position w:val="0"/>
                <w:sz w:val="24"/>
                <w:szCs w:val="24"/>
                <w:lang w:val="en-US" w:eastAsia="zh-CN"/>
              </w:rPr>
              <w:t>循环购买流程（如有）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b/>
                <w:bCs/>
                <w:color w:val="000000"/>
                <w:spacing w:val="0"/>
                <w:w w:val="100"/>
                <w:position w:val="0"/>
                <w:sz w:val="24"/>
                <w:szCs w:val="24"/>
                <w:lang w:val="en-US" w:eastAsia="zh-CN"/>
              </w:rPr>
            </w:pPr>
            <w:r>
              <w:rPr>
                <w:rFonts w:hint="eastAsia" w:ascii="楷体_GB2312" w:hAnsi="楷体_GB2312" w:eastAsia="楷体_GB2312" w:cs="楷体_GB2312"/>
                <w:b/>
                <w:bCs/>
                <w:color w:val="000000"/>
                <w:spacing w:val="0"/>
                <w:w w:val="100"/>
                <w:position w:val="0"/>
                <w:sz w:val="24"/>
                <w:szCs w:val="24"/>
                <w:lang w:val="en-US" w:eastAsia="zh-CN"/>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S-【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不迟于该日，委托人</w:t>
            </w:r>
            <w:r>
              <w:rPr>
                <w:rFonts w:hint="eastAsia" w:ascii="楷体_GB2312" w:hAnsi="楷体_GB2312" w:eastAsia="楷体_GB2312" w:cs="楷体_GB2312"/>
                <w:sz w:val="24"/>
                <w:szCs w:val="24"/>
                <w:lang w:eastAsia="zh-CN"/>
              </w:rPr>
              <w:t>以书面形式通知受托人启动</w:t>
            </w:r>
            <w:r>
              <w:rPr>
                <w:rFonts w:hint="eastAsia" w:ascii="楷体_GB2312" w:hAnsi="楷体_GB2312" w:eastAsia="楷体_GB2312" w:cs="楷体_GB2312"/>
                <w:sz w:val="24"/>
                <w:szCs w:val="24"/>
                <w:lang w:val="en-US" w:eastAsia="zh-CN"/>
              </w:rPr>
              <w:t>循环购买</w:t>
            </w:r>
            <w:r>
              <w:rPr>
                <w:rFonts w:hint="eastAsia" w:ascii="楷体_GB2312" w:hAnsi="楷体_GB2312" w:eastAsia="楷体_GB2312" w:cs="楷体_GB2312"/>
                <w:sz w:val="24"/>
                <w:szCs w:val="24"/>
                <w:lang w:eastAsia="zh-CN"/>
              </w:rPr>
              <w:t>流程。</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S-【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不迟于该日，委托人向受托人提供可供入池基础资产相关资料。</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S-【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不迟于该日，受托人根据可支配资金、尽职调查情况确定拟循环购买的资产。</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S</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循环购买日/支付日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委托人与受托人进行循环购买，完成价款支付和资产交付。</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追加交付</w:t>
            </w:r>
            <w:r>
              <w:rPr>
                <w:rFonts w:hint="eastAsia" w:ascii="楷体_GB2312" w:hAnsi="楷体_GB2312" w:eastAsia="楷体_GB2312" w:cs="楷体_GB2312"/>
                <w:b/>
                <w:bCs/>
                <w:color w:val="000000"/>
                <w:spacing w:val="0"/>
                <w:w w:val="100"/>
                <w:position w:val="0"/>
                <w:sz w:val="24"/>
                <w:szCs w:val="24"/>
                <w:lang w:val="en-US" w:eastAsia="zh-CN"/>
              </w:rPr>
              <w:t>流程</w:t>
            </w:r>
            <w:r>
              <w:rPr>
                <w:rFonts w:hint="eastAsia" w:ascii="楷体_GB2312" w:hAnsi="楷体_GB2312" w:eastAsia="楷体_GB2312" w:cs="楷体_GB2312"/>
                <w:b/>
                <w:bCs/>
                <w:sz w:val="24"/>
                <w:szCs w:val="24"/>
                <w:lang w:val="en-US" w:eastAsia="zh-CN"/>
              </w:rPr>
              <w:t>（如有）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b/>
                <w:bCs/>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bCs/>
                <w:color w:val="000000"/>
                <w:spacing w:val="0"/>
                <w:w w:val="100"/>
                <w:kern w:val="2"/>
                <w:position w:val="0"/>
                <w:sz w:val="24"/>
                <w:szCs w:val="24"/>
                <w:u w:val="none"/>
                <w:shd w:val="clear" w:color="auto" w:fill="auto"/>
                <w:lang w:val="en-US" w:eastAsia="zh-CN" w:bidi="zh-TW"/>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90"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不迟于该日，委托人</w:t>
            </w:r>
            <w:r>
              <w:rPr>
                <w:rFonts w:hint="eastAsia" w:ascii="楷体_GB2312" w:hAnsi="楷体_GB2312" w:eastAsia="楷体_GB2312" w:cs="楷体_GB2312"/>
                <w:sz w:val="24"/>
                <w:szCs w:val="24"/>
                <w:lang w:eastAsia="zh-CN"/>
              </w:rPr>
              <w:t>以书面形式通知受托人启动追加交付流程。</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w:t>
            </w:r>
            <w:r>
              <w:rPr>
                <w:rFonts w:hint="eastAsia" w:ascii="楷体_GB2312" w:hAnsi="楷体_GB2312" w:eastAsia="楷体_GB2312" w:cs="楷体_GB2312"/>
                <w:sz w:val="24"/>
                <w:szCs w:val="24"/>
                <w:lang w:eastAsia="zh-CN"/>
              </w:rPr>
              <w:t>委托人向受托人提供拟追加资产相关资料。</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不迟于该日，</w:t>
            </w:r>
            <w:r>
              <w:rPr>
                <w:rFonts w:hint="eastAsia" w:ascii="楷体_GB2312" w:hAnsi="楷体_GB2312" w:eastAsia="楷体_GB2312" w:cs="楷体_GB2312"/>
                <w:sz w:val="24"/>
                <w:szCs w:val="24"/>
                <w:lang w:eastAsia="zh-CN"/>
              </w:rPr>
              <w:t>委托人与受托人根据尽职调查情况确定拟追加交付的资产。</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b w:val="0"/>
                <w:bCs w:val="0"/>
                <w:color w:val="000000"/>
                <w:spacing w:val="0"/>
                <w:w w:val="100"/>
                <w:position w:val="0"/>
                <w:sz w:val="24"/>
                <w:szCs w:val="24"/>
                <w:lang w:val="en-US" w:eastAsia="zh-CN"/>
              </w:rPr>
            </w:pPr>
            <w:r>
              <w:rPr>
                <w:rFonts w:hint="eastAsia" w:ascii="楷体_GB2312" w:hAnsi="楷体_GB2312" w:eastAsia="楷体_GB2312" w:cs="楷体_GB2312"/>
                <w:b w:val="0"/>
                <w:bCs w:val="0"/>
                <w:color w:val="000000"/>
                <w:spacing w:val="0"/>
                <w:w w:val="100"/>
                <w:position w:val="0"/>
                <w:sz w:val="24"/>
                <w:szCs w:val="24"/>
                <w:lang w:val="en-US" w:eastAsia="zh-CN"/>
              </w:rPr>
              <w:t>T</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eastAsia="zh-CN"/>
              </w:rPr>
              <w:t>追加信托财产交付日（</w:t>
            </w:r>
            <w:r>
              <w:rPr>
                <w:rFonts w:hint="eastAsia" w:ascii="楷体_GB2312" w:hAnsi="楷体_GB2312" w:eastAsia="楷体_GB2312" w:cs="楷体_GB2312"/>
                <w:sz w:val="24"/>
                <w:szCs w:val="24"/>
                <w:lang w:val="en-US" w:eastAsia="zh-CN"/>
              </w:rPr>
              <w:t>后一期</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w:t>
            </w:r>
            <w:r>
              <w:rPr>
                <w:rFonts w:hint="eastAsia" w:ascii="楷体_GB2312" w:hAnsi="楷体_GB2312" w:eastAsia="楷体_GB2312" w:cs="楷体_GB2312"/>
                <w:sz w:val="24"/>
                <w:szCs w:val="24"/>
                <w:u w:val="single"/>
                <w:lang w:val="en-US" w:eastAsia="zh-CN"/>
              </w:rPr>
              <w:t>预期到期日/到期日</w:t>
            </w: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val="en-US" w:eastAsia="zh-CN"/>
              </w:rPr>
              <w:t>委托人与受托人完成追加资产的价款支付和资产交付。</w:t>
            </w:r>
          </w:p>
        </w:tc>
      </w:tr>
      <w:tr>
        <w:tblPrEx>
          <w:tblCellMar>
            <w:top w:w="0" w:type="dxa"/>
            <w:left w:w="10" w:type="dxa"/>
            <w:bottom w:w="0" w:type="dxa"/>
            <w:right w:w="10" w:type="dxa"/>
          </w:tblCellMar>
        </w:tblPrEx>
        <w:trPr>
          <w:trHeight w:val="567" w:hRule="atLeast"/>
          <w:jc w:val="center"/>
        </w:trPr>
        <w:tc>
          <w:tcPr>
            <w:tcW w:w="856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回购资产</w:t>
            </w:r>
            <w:r>
              <w:rPr>
                <w:rFonts w:hint="eastAsia" w:ascii="楷体_GB2312" w:hAnsi="楷体_GB2312" w:eastAsia="楷体_GB2312" w:cs="楷体_GB2312"/>
                <w:b/>
                <w:bCs/>
                <w:color w:val="000000"/>
                <w:spacing w:val="0"/>
                <w:w w:val="100"/>
                <w:position w:val="0"/>
                <w:sz w:val="24"/>
                <w:szCs w:val="24"/>
                <w:lang w:val="en-US" w:eastAsia="zh-CN"/>
              </w:rPr>
              <w:t>流程</w:t>
            </w:r>
            <w:r>
              <w:rPr>
                <w:rFonts w:hint="eastAsia" w:ascii="楷体_GB2312" w:hAnsi="楷体_GB2312" w:eastAsia="楷体_GB2312" w:cs="楷体_GB2312"/>
                <w:b/>
                <w:bCs/>
                <w:sz w:val="24"/>
                <w:szCs w:val="24"/>
                <w:lang w:val="en-US" w:eastAsia="zh-CN"/>
              </w:rPr>
              <w:t>（如有）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b/>
                <w:bCs/>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bCs/>
                <w:color w:val="000000"/>
                <w:spacing w:val="0"/>
                <w:w w:val="100"/>
                <w:kern w:val="2"/>
                <w:position w:val="0"/>
                <w:sz w:val="24"/>
                <w:szCs w:val="24"/>
                <w:u w:val="none"/>
                <w:shd w:val="clear" w:color="auto" w:fill="auto"/>
                <w:lang w:val="en-US" w:eastAsia="zh-CN" w:bidi="zh-TW"/>
              </w:rPr>
              <w:t>日期</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b/>
                <w:bCs/>
                <w:sz w:val="24"/>
                <w:szCs w:val="24"/>
                <w:lang w:val="en-US" w:eastAsia="zh-CN"/>
              </w:rPr>
              <w:t>日期定义</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b/>
                <w:bCs/>
                <w:sz w:val="24"/>
                <w:szCs w:val="24"/>
                <w:lang w:val="en-US" w:eastAsia="zh-CN"/>
              </w:rPr>
              <w:t>相关安排</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zh-TW" w:eastAsia="zh-CN" w:bidi="zh-TW"/>
              </w:rPr>
            </w:pPr>
            <w:r>
              <w:rPr>
                <w:rFonts w:hint="eastAsia" w:ascii="楷体_GB2312" w:hAnsi="楷体_GB2312" w:eastAsia="楷体_GB2312" w:cs="楷体_GB2312"/>
                <w:kern w:val="2"/>
                <w:sz w:val="24"/>
                <w:szCs w:val="24"/>
                <w:u w:val="none"/>
                <w:shd w:val="clear" w:color="auto" w:fill="auto"/>
                <w:lang w:val="zh-TW" w:eastAsia="zh-CN" w:bidi="zh-TW"/>
              </w:rPr>
              <w:t>委托人选择进行回购，向受托人发出《回购通知书》。</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sz w:val="24"/>
                <w:szCs w:val="24"/>
                <w:lang w:val="en-US" w:eastAsia="zh-CN"/>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zh-TW" w:eastAsia="zh-CN" w:bidi="zh-TW"/>
              </w:rPr>
            </w:pPr>
            <w:r>
              <w:rPr>
                <w:rFonts w:hint="eastAsia" w:ascii="楷体_GB2312" w:hAnsi="楷体_GB2312" w:eastAsia="楷体_GB2312" w:cs="楷体_GB2312"/>
                <w:sz w:val="24"/>
                <w:szCs w:val="24"/>
                <w:lang w:val="en-US" w:eastAsia="zh-CN"/>
              </w:rPr>
              <w:t>不迟于该日，</w:t>
            </w:r>
            <w:r>
              <w:rPr>
                <w:rFonts w:hint="eastAsia" w:ascii="楷体_GB2312" w:hAnsi="楷体_GB2312" w:eastAsia="楷体_GB2312" w:cs="楷体_GB2312"/>
                <w:kern w:val="2"/>
                <w:sz w:val="24"/>
                <w:szCs w:val="24"/>
                <w:u w:val="none"/>
                <w:shd w:val="clear" w:color="auto" w:fill="auto"/>
                <w:lang w:val="zh-TW" w:eastAsia="zh-CN" w:bidi="zh-TW"/>
              </w:rPr>
              <w:t>受托人向委托人发出《回购确认函》。</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color w:val="000000"/>
                <w:spacing w:val="0"/>
                <w:w w:val="100"/>
                <w:position w:val="0"/>
                <w:sz w:val="24"/>
                <w:szCs w:val="24"/>
                <w:lang w:val="en-US" w:eastAsia="zh-CN"/>
              </w:rPr>
              <w:t>P</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kern w:val="2"/>
                <w:sz w:val="24"/>
                <w:szCs w:val="24"/>
                <w:u w:val="none"/>
                <w:shd w:val="clear" w:color="auto" w:fill="auto"/>
                <w:lang w:val="en-US" w:eastAsia="zh-CN" w:bidi="zh-TW"/>
              </w:rPr>
              <w:t>计算日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default"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kern w:val="2"/>
                <w:sz w:val="24"/>
                <w:szCs w:val="24"/>
                <w:u w:val="none"/>
                <w:shd w:val="clear" w:color="auto" w:fill="auto"/>
                <w:lang w:val="en-US" w:eastAsia="zh-CN" w:bidi="zh-TW"/>
              </w:rPr>
              <w:t>即各收款期间届满之日</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color w:val="000000"/>
                <w:spacing w:val="0"/>
                <w:w w:val="100"/>
                <w:kern w:val="2"/>
                <w:position w:val="0"/>
                <w:sz w:val="24"/>
                <w:szCs w:val="24"/>
                <w:u w:val="none"/>
                <w:shd w:val="clear" w:color="auto" w:fill="auto"/>
                <w:lang w:val="en-US" w:eastAsia="zh-CN" w:bidi="zh-TW"/>
              </w:rPr>
            </w:pPr>
            <w:r>
              <w:rPr>
                <w:rFonts w:hint="eastAsia" w:ascii="楷体_GB2312" w:hAnsi="楷体_GB2312" w:eastAsia="楷体_GB2312" w:cs="楷体_GB2312"/>
                <w:b w:val="0"/>
                <w:bCs w:val="0"/>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kern w:val="2"/>
                <w:sz w:val="24"/>
                <w:szCs w:val="24"/>
                <w:u w:val="none"/>
                <w:shd w:val="clear" w:color="auto" w:fill="auto"/>
                <w:lang w:val="en-US" w:eastAsia="zh-CN" w:bidi="zh-TW"/>
              </w:rPr>
              <w:t>回购价款支付日</w:t>
            </w:r>
          </w:p>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kern w:val="2"/>
                <w:sz w:val="24"/>
                <w:szCs w:val="24"/>
                <w:u w:val="none"/>
                <w:shd w:val="clear" w:color="auto" w:fill="auto"/>
                <w:lang w:val="en-US" w:eastAsia="zh-CN" w:bidi="zh-TW"/>
              </w:rPr>
              <w:t>/回收款转付日</w:t>
            </w:r>
          </w:p>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kern w:val="2"/>
                <w:sz w:val="24"/>
                <w:szCs w:val="24"/>
                <w:u w:val="none"/>
                <w:shd w:val="clear" w:color="auto" w:fill="auto"/>
                <w:lang w:val="en-US" w:eastAsia="zh-CN" w:bidi="zh-TW"/>
              </w:rPr>
            </w:pPr>
            <w:r>
              <w:rPr>
                <w:rFonts w:hint="eastAsia" w:ascii="楷体_GB2312" w:hAnsi="楷体_GB2312" w:eastAsia="楷体_GB2312" w:cs="楷体_GB2312"/>
                <w:kern w:val="2"/>
                <w:sz w:val="24"/>
                <w:szCs w:val="24"/>
                <w:u w:val="none"/>
                <w:shd w:val="clear" w:color="auto" w:fill="auto"/>
                <w:lang w:val="en-US" w:eastAsia="zh-CN" w:bidi="zh-TW"/>
              </w:rPr>
              <w:t>（</w:t>
            </w:r>
            <w:r>
              <w:rPr>
                <w:rFonts w:hint="eastAsia" w:ascii="楷体_GB2312" w:hAnsi="楷体_GB2312" w:eastAsia="楷体_GB2312" w:cs="楷体_GB2312"/>
                <w:b w:val="0"/>
                <w:bCs w:val="0"/>
                <w:sz w:val="24"/>
                <w:szCs w:val="24"/>
                <w:lang w:val="en-US" w:eastAsia="zh-CN"/>
              </w:rPr>
              <w:t>回收款转付期间未改变</w:t>
            </w:r>
            <w:r>
              <w:rPr>
                <w:rFonts w:hint="eastAsia" w:ascii="楷体_GB2312" w:hAnsi="楷体_GB2312" w:eastAsia="楷体_GB2312" w:cs="楷体_GB2312"/>
                <w:kern w:val="2"/>
                <w:sz w:val="24"/>
                <w:szCs w:val="24"/>
                <w:u w:val="none"/>
                <w:shd w:val="clear" w:color="auto" w:fill="auto"/>
                <w:lang w:val="en-US" w:eastAsia="zh-CN" w:bidi="zh-TW"/>
              </w:rPr>
              <w:t>）</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zh-TW" w:eastAsia="zh-CN" w:bidi="zh-TW"/>
              </w:rPr>
            </w:pPr>
            <w:r>
              <w:rPr>
                <w:rFonts w:hint="eastAsia" w:ascii="楷体_GB2312" w:hAnsi="楷体_GB2312" w:eastAsia="楷体_GB2312" w:cs="楷体_GB2312"/>
                <w:kern w:val="2"/>
                <w:sz w:val="24"/>
                <w:szCs w:val="24"/>
                <w:u w:val="none"/>
                <w:shd w:val="clear" w:color="auto" w:fill="auto"/>
                <w:lang w:val="zh-TW" w:eastAsia="zh-CN" w:bidi="zh-TW"/>
              </w:rPr>
              <w:t>委托人将相当于回购价格的款项支付至信托账户。</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sz w:val="24"/>
                <w:szCs w:val="24"/>
                <w:lang w:val="en-US" w:eastAsia="zh-CN"/>
              </w:rPr>
            </w:pPr>
            <w:r>
              <w:rPr>
                <w:rFonts w:hint="eastAsia" w:ascii="楷体_GB2312" w:hAnsi="楷体_GB2312" w:eastAsia="楷体_GB2312" w:cs="楷体_GB2312"/>
                <w:b w:val="0"/>
                <w:bCs w:val="0"/>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default" w:ascii="楷体_GB2312" w:hAnsi="楷体_GB2312" w:eastAsia="楷体_GB2312" w:cs="楷体_GB2312"/>
                <w:kern w:val="2"/>
                <w:sz w:val="24"/>
                <w:szCs w:val="24"/>
                <w:u w:val="none"/>
                <w:shd w:val="clear" w:color="auto" w:fill="auto"/>
                <w:lang w:val="en-US" w:eastAsia="zh-CN" w:bidi="zh-TW"/>
              </w:rPr>
            </w:pPr>
            <w:r>
              <w:rPr>
                <w:rFonts w:hint="default" w:ascii="楷体_GB2312" w:hAnsi="楷体_GB2312" w:eastAsia="楷体_GB2312" w:cs="楷体_GB2312"/>
                <w:sz w:val="24"/>
                <w:szCs w:val="24"/>
                <w:lang w:val="en-US" w:eastAsia="zh-CN"/>
              </w:rPr>
              <w:t>回收款差额支付启动日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zh-TW" w:eastAsia="zh-CN" w:bidi="zh-TW"/>
              </w:rPr>
            </w:pPr>
            <w:r>
              <w:rPr>
                <w:rFonts w:hint="eastAsia" w:ascii="楷体_GB2312" w:hAnsi="楷体_GB2312" w:eastAsia="楷体_GB2312" w:cs="楷体_GB2312"/>
                <w:sz w:val="24"/>
                <w:szCs w:val="24"/>
                <w:lang w:val="en-US" w:eastAsia="zh-CN"/>
              </w:rPr>
              <w:t>如委托人未能足额支付回购资产的对应款项，受托人需通知差额支付承诺人履行相关付款义务。（如有）</w:t>
            </w:r>
          </w:p>
        </w:tc>
      </w:tr>
      <w:tr>
        <w:tblPrEx>
          <w:tblCellMar>
            <w:top w:w="0" w:type="dxa"/>
            <w:left w:w="10" w:type="dxa"/>
            <w:bottom w:w="0" w:type="dxa"/>
            <w:right w:w="10" w:type="dxa"/>
          </w:tblCellMar>
        </w:tblPrEx>
        <w:trPr>
          <w:trHeight w:val="23" w:hRule="atLeas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right="0" w:firstLine="0"/>
              <w:jc w:val="center"/>
              <w:rPr>
                <w:rFonts w:hint="eastAsia" w:ascii="楷体_GB2312" w:hAnsi="楷体_GB2312" w:eastAsia="楷体_GB2312" w:cs="楷体_GB2312"/>
                <w:b w:val="0"/>
                <w:bCs w:val="0"/>
                <w:sz w:val="24"/>
                <w:szCs w:val="24"/>
                <w:lang w:val="en-US" w:eastAsia="zh-CN"/>
              </w:rPr>
            </w:pPr>
            <w:r>
              <w:rPr>
                <w:rFonts w:hint="eastAsia" w:ascii="楷体_GB2312" w:hAnsi="楷体_GB2312" w:eastAsia="楷体_GB2312" w:cs="楷体_GB2312"/>
                <w:b w:val="0"/>
                <w:bCs w:val="0"/>
                <w:sz w:val="24"/>
                <w:szCs w:val="24"/>
                <w:lang w:val="en-US" w:eastAsia="zh-CN"/>
              </w:rPr>
              <w:t>P+【 】</w:t>
            </w:r>
          </w:p>
        </w:tc>
        <w:tc>
          <w:tcPr>
            <w:tcW w:w="279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center"/>
              <w:rPr>
                <w:rFonts w:hint="eastAsia" w:ascii="楷体_GB2312" w:hAnsi="楷体_GB2312" w:eastAsia="楷体_GB2312" w:cs="楷体_GB2312"/>
                <w:kern w:val="2"/>
                <w:sz w:val="24"/>
                <w:szCs w:val="24"/>
                <w:u w:val="none"/>
                <w:shd w:val="clear" w:color="auto" w:fill="auto"/>
                <w:lang w:val="en-US" w:eastAsia="zh-CN" w:bidi="zh-TW"/>
              </w:rPr>
            </w:pPr>
            <w:r>
              <w:rPr>
                <w:rFonts w:hint="default" w:ascii="楷体_GB2312" w:hAnsi="楷体_GB2312" w:eastAsia="楷体_GB2312" w:cs="楷体_GB2312"/>
                <w:sz w:val="24"/>
                <w:szCs w:val="24"/>
                <w:lang w:val="en-US" w:eastAsia="zh-CN"/>
              </w:rPr>
              <w:t>差额支付承诺人划款日</w:t>
            </w:r>
          </w:p>
        </w:tc>
        <w:tc>
          <w:tcPr>
            <w:tcW w:w="423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3"/>
              <w:keepNext w:val="0"/>
              <w:keepLines w:val="0"/>
              <w:widowControl w:val="0"/>
              <w:shd w:val="clear" w:color="auto" w:fill="auto"/>
              <w:bidi w:val="0"/>
              <w:spacing w:before="0" w:after="0" w:line="240" w:lineRule="auto"/>
              <w:ind w:left="0" w:leftChars="0" w:right="0" w:rightChars="0" w:firstLine="0" w:firstLineChars="0"/>
              <w:jc w:val="both"/>
              <w:rPr>
                <w:rFonts w:hint="eastAsia" w:ascii="楷体_GB2312" w:hAnsi="楷体_GB2312" w:eastAsia="楷体_GB2312" w:cs="楷体_GB2312"/>
                <w:kern w:val="2"/>
                <w:sz w:val="24"/>
                <w:szCs w:val="24"/>
                <w:u w:val="none"/>
                <w:shd w:val="clear" w:color="auto" w:fill="auto"/>
                <w:lang w:val="zh-TW" w:eastAsia="zh-CN" w:bidi="zh-TW"/>
              </w:rPr>
            </w:pPr>
            <w:r>
              <w:rPr>
                <w:rFonts w:hint="eastAsia" w:ascii="楷体_GB2312" w:hAnsi="楷体_GB2312" w:eastAsia="楷体_GB2312" w:cs="楷体_GB2312"/>
                <w:sz w:val="24"/>
                <w:szCs w:val="24"/>
                <w:lang w:val="en-US" w:eastAsia="zh-CN"/>
              </w:rPr>
              <w:t>差额支付承诺人支付回收款差额补足款项。（如有）</w:t>
            </w:r>
          </w:p>
        </w:tc>
      </w:tr>
    </w:tbl>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i/>
          <w:iCs/>
          <w:color w:val="FF0000"/>
          <w:kern w:val="2"/>
          <w:sz w:val="24"/>
          <w:szCs w:val="24"/>
          <w:u w:val="single"/>
          <w:lang w:val="en-US" w:eastAsia="zh-CN" w:bidi="ar-SA"/>
        </w:rPr>
      </w:pPr>
      <w:r>
        <w:rPr>
          <w:rFonts w:hint="eastAsia" w:ascii="楷体_GB2312" w:hAnsi="楷体_GB2312" w:eastAsia="楷体_GB2312" w:cs="楷体_GB2312"/>
          <w:b/>
          <w:bCs/>
          <w:i/>
          <w:iCs/>
          <w:color w:val="FF0000"/>
          <w:kern w:val="2"/>
          <w:sz w:val="24"/>
          <w:szCs w:val="24"/>
          <w:u w:val="single"/>
          <w:lang w:val="en-US" w:eastAsia="zh-CN" w:bidi="ar-SA"/>
        </w:rPr>
        <w:t>应根据项目实际情况调整主要机制流程。</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61" w:name="_Toc22717"/>
      <w:bookmarkStart w:id="4262" w:name="_Toc19088"/>
      <w:bookmarkStart w:id="4263" w:name="_Toc25109"/>
      <w:r>
        <w:rPr>
          <w:rFonts w:hint="eastAsia" w:ascii="楷体_GB2312" w:hAnsi="楷体_GB2312" w:eastAsia="楷体_GB2312" w:cs="楷体_GB2312"/>
          <w:b/>
          <w:kern w:val="0"/>
          <w:sz w:val="24"/>
          <w:szCs w:val="24"/>
          <w:lang w:val="en-US" w:eastAsia="zh-CN"/>
        </w:rPr>
        <w:t>（三）滚动发行安排</w:t>
      </w:r>
      <w:bookmarkEnd w:id="4261"/>
      <w:bookmarkEnd w:id="4262"/>
      <w:bookmarkEnd w:id="4263"/>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Times New Roman" w:hAnsi="Times New Roman" w:eastAsia="楷体_GB2312" w:cs="Times New Roman"/>
          <w:b/>
          <w:bCs w:val="0"/>
          <w:i/>
          <w:color w:val="FF0000"/>
          <w:sz w:val="24"/>
          <w:szCs w:val="28"/>
          <w:u w:val="single"/>
          <w:lang w:val="en-US" w:eastAsia="zh-CN"/>
        </w:rPr>
      </w:pPr>
      <w:r>
        <w:rPr>
          <w:rFonts w:hint="eastAsia" w:ascii="Times New Roman" w:hAnsi="Times New Roman" w:eastAsia="楷体_GB2312" w:cs="Times New Roman"/>
          <w:b/>
          <w:bCs w:val="0"/>
          <w:i/>
          <w:color w:val="FF0000"/>
          <w:sz w:val="24"/>
          <w:szCs w:val="28"/>
          <w:u w:val="single"/>
          <w:lang w:val="en-US" w:eastAsia="zh-CN"/>
        </w:rPr>
        <w:t>应参照《信托合同》“7.7.2资产支持商业票据的滚动发行”的内容。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64" w:name="_Toc16942"/>
      <w:bookmarkStart w:id="4265" w:name="_Toc10523"/>
      <w:r>
        <w:rPr>
          <w:rFonts w:hint="eastAsia" w:ascii="楷体_GB2312" w:hAnsi="楷体_GB2312" w:eastAsia="楷体_GB2312" w:cs="楷体_GB2312"/>
          <w:b/>
          <w:kern w:val="0"/>
          <w:sz w:val="24"/>
          <w:szCs w:val="24"/>
          <w:lang w:val="en-US" w:eastAsia="zh-CN"/>
        </w:rPr>
        <w:t>（四）受让信托受益权后的后续发行（如有）</w:t>
      </w:r>
      <w:bookmarkEnd w:id="4264"/>
      <w:bookmarkEnd w:id="4265"/>
    </w:p>
    <w:p>
      <w:pPr>
        <w:pStyle w:val="2"/>
        <w:keepNext w:val="0"/>
        <w:keepLines w:val="0"/>
        <w:pageBreakBefore w:val="0"/>
        <w:widowControl w:val="0"/>
        <w:kinsoku/>
        <w:wordWrap/>
        <w:topLinePunct w:val="0"/>
        <w:bidi w:val="0"/>
        <w:spacing w:before="144" w:beforeLines="50" w:after="144" w:afterLines="50" w:line="240" w:lineRule="atLeast"/>
        <w:jc w:val="both"/>
        <w:rPr>
          <w:rFonts w:hint="eastAsia"/>
        </w:rPr>
      </w:pPr>
      <w:r>
        <w:rPr>
          <w:rFonts w:hint="eastAsia" w:ascii="Times New Roman" w:hAnsi="Times New Roman" w:eastAsia="楷体_GB2312" w:cs="Times New Roman"/>
          <w:b/>
          <w:bCs w:val="0"/>
          <w:i/>
          <w:color w:val="FF0000"/>
          <w:sz w:val="24"/>
          <w:szCs w:val="28"/>
          <w:u w:val="single"/>
          <w:lang w:val="en-US" w:eastAsia="zh-CN"/>
        </w:rPr>
        <w:t>应参照《信托合同》“7.7.3委托人成为信托项下唯一受益人情形下的后续发行”的内容。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66" w:name="_Toc22859"/>
      <w:bookmarkStart w:id="4267" w:name="_Toc31523"/>
      <w:bookmarkStart w:id="4268" w:name="_Toc2469"/>
      <w:r>
        <w:rPr>
          <w:rFonts w:hint="eastAsia" w:ascii="楷体_GB2312" w:hAnsi="楷体_GB2312" w:eastAsia="楷体_GB2312" w:cs="楷体_GB2312"/>
          <w:b/>
          <w:kern w:val="0"/>
          <w:sz w:val="24"/>
          <w:szCs w:val="24"/>
          <w:lang w:val="en-US" w:eastAsia="zh-CN"/>
        </w:rPr>
        <w:t>（五）循环购买安排（如有）</w:t>
      </w:r>
      <w:bookmarkEnd w:id="4266"/>
      <w:bookmarkEnd w:id="4267"/>
      <w:bookmarkEnd w:id="4268"/>
    </w:p>
    <w:p>
      <w:pPr>
        <w:pStyle w:val="2"/>
        <w:keepNext w:val="0"/>
        <w:keepLines w:val="0"/>
        <w:pageBreakBefore w:val="0"/>
        <w:widowControl w:val="0"/>
        <w:kinsoku/>
        <w:wordWrap/>
        <w:topLinePunct w:val="0"/>
        <w:bidi w:val="0"/>
        <w:spacing w:before="144" w:beforeLines="50" w:after="144" w:afterLines="50" w:line="240" w:lineRule="atLeast"/>
        <w:jc w:val="both"/>
        <w:rPr>
          <w:rFonts w:hint="eastAsia"/>
        </w:rPr>
      </w:pPr>
      <w:r>
        <w:rPr>
          <w:rFonts w:hint="eastAsia" w:ascii="Times New Roman" w:hAnsi="Times New Roman" w:eastAsia="楷体_GB2312" w:cs="Times New Roman"/>
          <w:b/>
          <w:bCs w:val="0"/>
          <w:i/>
          <w:color w:val="FF0000"/>
          <w:sz w:val="24"/>
          <w:szCs w:val="28"/>
          <w:u w:val="single"/>
          <w:lang w:val="en-US" w:eastAsia="zh-CN"/>
        </w:rPr>
        <w:t>应参照《信托合同》“13资产的循环购买”的内容。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69" w:name="_Toc12204"/>
      <w:bookmarkStart w:id="4270" w:name="_Toc24661"/>
      <w:bookmarkStart w:id="4271" w:name="_Toc30985"/>
      <w:r>
        <w:rPr>
          <w:rFonts w:hint="eastAsia" w:ascii="楷体_GB2312" w:hAnsi="楷体_GB2312" w:eastAsia="楷体_GB2312" w:cs="楷体_GB2312"/>
          <w:b/>
          <w:kern w:val="0"/>
          <w:sz w:val="24"/>
          <w:szCs w:val="24"/>
          <w:lang w:val="en-US" w:eastAsia="zh-CN"/>
        </w:rPr>
        <w:t>（六）追加交付安排（如有）</w:t>
      </w:r>
      <w:bookmarkEnd w:id="4269"/>
      <w:bookmarkEnd w:id="4270"/>
      <w:bookmarkEnd w:id="4271"/>
    </w:p>
    <w:p>
      <w:pPr>
        <w:pStyle w:val="2"/>
        <w:keepNext w:val="0"/>
        <w:keepLines w:val="0"/>
        <w:pageBreakBefore w:val="0"/>
        <w:widowControl w:val="0"/>
        <w:kinsoku/>
        <w:wordWrap/>
        <w:topLinePunct w:val="0"/>
        <w:bidi w:val="0"/>
        <w:spacing w:before="144" w:beforeLines="50" w:after="144" w:afterLines="50" w:line="240" w:lineRule="atLeast"/>
        <w:jc w:val="both"/>
        <w:rPr>
          <w:rFonts w:hint="eastAsia"/>
        </w:rPr>
      </w:pPr>
      <w:r>
        <w:rPr>
          <w:rFonts w:hint="eastAsia" w:ascii="Times New Roman" w:hAnsi="Times New Roman" w:eastAsia="楷体_GB2312" w:cs="Times New Roman"/>
          <w:b/>
          <w:bCs w:val="0"/>
          <w:i/>
          <w:color w:val="FF0000"/>
          <w:sz w:val="24"/>
          <w:szCs w:val="28"/>
          <w:u w:val="single"/>
          <w:lang w:val="en-US" w:eastAsia="zh-CN"/>
        </w:rPr>
        <w:t>应参照《信托合同》“14资产的追加交付”的内容。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72" w:name="_Toc21390"/>
      <w:bookmarkStart w:id="4273" w:name="_Toc864"/>
      <w:bookmarkStart w:id="4274" w:name="_Toc28876"/>
      <w:r>
        <w:rPr>
          <w:rFonts w:hint="eastAsia" w:ascii="楷体_GB2312" w:hAnsi="楷体_GB2312" w:eastAsia="楷体_GB2312" w:cs="楷体_GB2312"/>
          <w:b/>
          <w:kern w:val="0"/>
          <w:sz w:val="24"/>
          <w:szCs w:val="24"/>
          <w:lang w:val="en-US" w:eastAsia="zh-CN"/>
        </w:rPr>
        <w:t>（七）回购资产安排（如有）</w:t>
      </w:r>
      <w:bookmarkEnd w:id="4272"/>
      <w:bookmarkEnd w:id="4273"/>
      <w:bookmarkEnd w:id="4274"/>
    </w:p>
    <w:p>
      <w:pPr>
        <w:pStyle w:val="2"/>
        <w:keepNext w:val="0"/>
        <w:keepLines w:val="0"/>
        <w:pageBreakBefore w:val="0"/>
        <w:widowControl w:val="0"/>
        <w:kinsoku/>
        <w:wordWrap/>
        <w:topLinePunct w:val="0"/>
        <w:bidi w:val="0"/>
        <w:spacing w:before="144" w:beforeLines="50" w:after="144" w:afterLines="50" w:line="240" w:lineRule="atLeast"/>
        <w:jc w:val="both"/>
        <w:rPr>
          <w:rFonts w:hint="eastAsia"/>
        </w:rPr>
      </w:pPr>
      <w:r>
        <w:rPr>
          <w:rFonts w:hint="eastAsia" w:ascii="Times New Roman" w:hAnsi="Times New Roman" w:eastAsia="楷体_GB2312" w:cs="Times New Roman"/>
          <w:b/>
          <w:bCs w:val="0"/>
          <w:i/>
          <w:color w:val="FF0000"/>
          <w:sz w:val="24"/>
          <w:szCs w:val="28"/>
          <w:u w:val="single"/>
          <w:lang w:val="en-US" w:eastAsia="zh-CN"/>
        </w:rPr>
        <w:t>应参照《信托合同》“15.1委托人选择进行回购”的内容。</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outlineLvl w:val="2"/>
        <w:rPr>
          <w:rFonts w:hint="eastAsia" w:ascii="楷体_GB2312" w:hAnsi="楷体_GB2312" w:eastAsia="楷体_GB2312" w:cs="楷体_GB2312"/>
          <w:b/>
          <w:kern w:val="0"/>
          <w:sz w:val="24"/>
          <w:szCs w:val="24"/>
          <w:lang w:val="en-US" w:eastAsia="zh-CN"/>
        </w:rPr>
      </w:pPr>
      <w:bookmarkStart w:id="4275" w:name="_Toc17481"/>
      <w:bookmarkStart w:id="4276" w:name="_Toc32647"/>
      <w:bookmarkStart w:id="4277" w:name="_Toc18802"/>
      <w:bookmarkStart w:id="4278" w:name="_Toc27116"/>
      <w:r>
        <w:rPr>
          <w:rFonts w:hint="eastAsia" w:ascii="楷体_GB2312" w:hAnsi="楷体_GB2312" w:eastAsia="楷体_GB2312" w:cs="楷体_GB2312"/>
          <w:b/>
          <w:kern w:val="0"/>
          <w:sz w:val="24"/>
          <w:szCs w:val="24"/>
          <w:lang w:val="en-US" w:eastAsia="zh-CN"/>
        </w:rPr>
        <w:t>三、各当事方的权利与义务</w:t>
      </w:r>
      <w:bookmarkEnd w:id="4275"/>
      <w:bookmarkEnd w:id="4276"/>
      <w:bookmarkEnd w:id="4277"/>
      <w:bookmarkEnd w:id="4278"/>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79" w:name="_Toc10410"/>
      <w:bookmarkStart w:id="4280" w:name="_Toc722"/>
      <w:bookmarkStart w:id="4281" w:name="_Toc2943"/>
      <w:r>
        <w:rPr>
          <w:rFonts w:hint="eastAsia" w:ascii="楷体_GB2312" w:hAnsi="楷体_GB2312" w:eastAsia="楷体_GB2312" w:cs="楷体_GB2312"/>
          <w:b/>
          <w:kern w:val="0"/>
          <w:sz w:val="24"/>
          <w:szCs w:val="24"/>
          <w:lang w:val="en-US" w:eastAsia="zh-CN"/>
        </w:rPr>
        <w:t>（一）发起机构/委托人</w:t>
      </w:r>
      <w:bookmarkEnd w:id="4279"/>
      <w:bookmarkEnd w:id="4280"/>
      <w:bookmarkEnd w:id="4281"/>
    </w:p>
    <w:p>
      <w:pPr>
        <w:pStyle w:val="2"/>
        <w:keepNext w:val="0"/>
        <w:keepLines w:val="0"/>
        <w:pageBreakBefore w:val="0"/>
        <w:widowControl w:val="0"/>
        <w:kinsoku/>
        <w:wordWrap/>
        <w:topLinePunct w:val="0"/>
        <w:bidi w:val="0"/>
        <w:spacing w:before="144" w:beforeLines="50" w:after="144" w:afterLines="50" w:line="240" w:lineRule="atLeast"/>
        <w:ind w:firstLine="480"/>
        <w:jc w:val="both"/>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《信托合同》“4委托人”的内容。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82" w:name="_Toc7038"/>
      <w:bookmarkStart w:id="4283" w:name="_Toc13503"/>
      <w:bookmarkStart w:id="4284" w:name="_Toc10345"/>
      <w:bookmarkStart w:id="4285" w:name="_Toc12415"/>
      <w:r>
        <w:rPr>
          <w:rFonts w:hint="eastAsia" w:ascii="楷体_GB2312" w:hAnsi="楷体_GB2312" w:eastAsia="楷体_GB2312" w:cs="楷体_GB2312"/>
          <w:b/>
          <w:kern w:val="0"/>
          <w:sz w:val="24"/>
          <w:szCs w:val="24"/>
          <w:lang w:val="en-US" w:eastAsia="zh-CN"/>
        </w:rPr>
        <w:t>（二）发行载体管理机构</w:t>
      </w:r>
      <w:bookmarkEnd w:id="4282"/>
      <w:r>
        <w:rPr>
          <w:rFonts w:hint="eastAsia" w:ascii="楷体_GB2312" w:hAnsi="楷体_GB2312" w:eastAsia="楷体_GB2312" w:cs="楷体_GB2312"/>
          <w:b/>
          <w:kern w:val="0"/>
          <w:sz w:val="24"/>
          <w:szCs w:val="24"/>
          <w:lang w:val="en-US" w:eastAsia="zh-CN"/>
        </w:rPr>
        <w:t>/受托人</w:t>
      </w:r>
      <w:bookmarkEnd w:id="4283"/>
      <w:bookmarkEnd w:id="4284"/>
      <w:bookmarkEnd w:id="4285"/>
    </w:p>
    <w:p>
      <w:pPr>
        <w:pStyle w:val="2"/>
        <w:keepNext w:val="0"/>
        <w:keepLines w:val="0"/>
        <w:pageBreakBefore w:val="0"/>
        <w:widowControl w:val="0"/>
        <w:kinsoku/>
        <w:wordWrap/>
        <w:topLinePunct w:val="0"/>
        <w:bidi w:val="0"/>
        <w:spacing w:before="144" w:beforeLines="50" w:after="144" w:afterLines="50" w:line="240" w:lineRule="atLeast"/>
        <w:ind w:firstLine="480"/>
        <w:jc w:val="both"/>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《信托合同》“5受托人”的内容。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86" w:name="_Toc18106"/>
      <w:r>
        <w:rPr>
          <w:rFonts w:hint="eastAsia" w:ascii="楷体_GB2312" w:hAnsi="楷体_GB2312" w:eastAsia="楷体_GB2312" w:cs="楷体_GB2312"/>
          <w:b/>
          <w:kern w:val="0"/>
          <w:sz w:val="24"/>
          <w:szCs w:val="24"/>
          <w:lang w:val="en-US" w:eastAsia="zh-CN"/>
        </w:rPr>
        <w:t>（三）投资人/受益人</w:t>
      </w:r>
      <w:bookmarkEnd w:id="4286"/>
    </w:p>
    <w:p>
      <w:pPr>
        <w:pStyle w:val="2"/>
        <w:keepNext w:val="0"/>
        <w:keepLines w:val="0"/>
        <w:pageBreakBefore w:val="0"/>
        <w:widowControl w:val="0"/>
        <w:kinsoku/>
        <w:wordWrap/>
        <w:topLinePunct w:val="0"/>
        <w:bidi w:val="0"/>
        <w:spacing w:before="144" w:beforeLines="50" w:after="144" w:afterLines="50" w:line="240" w:lineRule="atLeast"/>
        <w:ind w:firstLine="480"/>
        <w:jc w:val="both"/>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《信托合同》“6受益人”的内容。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87" w:name="_Toc19985"/>
      <w:bookmarkStart w:id="4288" w:name="_Toc2222"/>
      <w:r>
        <w:rPr>
          <w:rFonts w:hint="eastAsia" w:ascii="楷体_GB2312" w:hAnsi="楷体_GB2312" w:eastAsia="楷体_GB2312" w:cs="楷体_GB2312"/>
          <w:b/>
          <w:kern w:val="0"/>
          <w:sz w:val="24"/>
          <w:szCs w:val="24"/>
          <w:lang w:val="en-US" w:eastAsia="zh-CN"/>
        </w:rPr>
        <w:t>（四）信用增级机构（如有）</w:t>
      </w:r>
      <w:bookmarkEnd w:id="4287"/>
      <w:bookmarkEnd w:id="4288"/>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89" w:name="_Toc7430"/>
      <w:bookmarkStart w:id="4290" w:name="_Toc21774"/>
      <w:bookmarkStart w:id="4291" w:name="_Toc7528"/>
      <w:r>
        <w:rPr>
          <w:rFonts w:hint="eastAsia" w:ascii="楷体_GB2312" w:hAnsi="楷体_GB2312" w:eastAsia="楷体_GB2312" w:cs="楷体_GB2312"/>
          <w:b/>
          <w:kern w:val="0"/>
          <w:sz w:val="24"/>
          <w:szCs w:val="24"/>
          <w:lang w:val="en-US" w:eastAsia="zh-CN"/>
        </w:rPr>
        <w:t>（五）资产服务机构（如有）</w:t>
      </w:r>
      <w:bookmarkEnd w:id="4289"/>
      <w:bookmarkEnd w:id="4290"/>
      <w:bookmarkEnd w:id="4291"/>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92" w:name="_Toc21990"/>
      <w:bookmarkStart w:id="4293" w:name="_Toc16344"/>
      <w:bookmarkStart w:id="4294" w:name="_Toc27339"/>
      <w:r>
        <w:rPr>
          <w:rFonts w:hint="eastAsia" w:ascii="楷体_GB2312" w:hAnsi="楷体_GB2312" w:eastAsia="楷体_GB2312" w:cs="楷体_GB2312"/>
          <w:b/>
          <w:kern w:val="0"/>
          <w:sz w:val="24"/>
          <w:szCs w:val="24"/>
          <w:lang w:val="en-US" w:eastAsia="zh-CN"/>
        </w:rPr>
        <w:t>（六）资金保管机构</w:t>
      </w:r>
      <w:bookmarkEnd w:id="4292"/>
      <w:bookmarkEnd w:id="4293"/>
      <w:bookmarkEnd w:id="4294"/>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95" w:name="_Toc18163"/>
      <w:bookmarkStart w:id="4296" w:name="_Toc7390"/>
      <w:bookmarkStart w:id="4297" w:name="_Toc22974"/>
      <w:r>
        <w:rPr>
          <w:rFonts w:hint="eastAsia" w:ascii="楷体_GB2312" w:hAnsi="楷体_GB2312" w:eastAsia="楷体_GB2312" w:cs="楷体_GB2312"/>
          <w:b/>
          <w:kern w:val="0"/>
          <w:sz w:val="24"/>
          <w:szCs w:val="24"/>
          <w:lang w:val="en-US" w:eastAsia="zh-CN"/>
        </w:rPr>
        <w:t>（七）资金监管机构（如有）</w:t>
      </w:r>
      <w:bookmarkEnd w:id="4295"/>
      <w:bookmarkEnd w:id="4296"/>
      <w:bookmarkEnd w:id="4297"/>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298" w:name="_Toc13163"/>
      <w:bookmarkStart w:id="4299" w:name="_Toc11150"/>
      <w:r>
        <w:rPr>
          <w:rFonts w:hint="eastAsia" w:ascii="楷体_GB2312" w:hAnsi="楷体_GB2312" w:eastAsia="楷体_GB2312" w:cs="楷体_GB2312"/>
          <w:b/>
          <w:kern w:val="0"/>
          <w:sz w:val="24"/>
          <w:szCs w:val="24"/>
          <w:lang w:val="en-US" w:eastAsia="zh-CN"/>
        </w:rPr>
        <w:t>（八）主承销商</w:t>
      </w:r>
      <w:bookmarkEnd w:id="4298"/>
      <w:bookmarkEnd w:id="4299"/>
    </w:p>
    <w:p>
      <w:pPr>
        <w:keepNext w:val="0"/>
        <w:keepLines w:val="0"/>
        <w:pageBreakBefore w:val="0"/>
        <w:widowControl w:val="0"/>
        <w:kinsoku/>
        <w:wordWrap/>
        <w:overflowPunct w:val="0"/>
        <w:topLinePunct w:val="0"/>
        <w:autoSpaceDE w:val="0"/>
        <w:autoSpaceDN w:val="0"/>
        <w:bidi w:val="0"/>
        <w:adjustRightInd w:val="0"/>
        <w:snapToGrid w:val="0"/>
        <w:spacing w:before="144" w:beforeLines="50" w:after="144" w:afterLines="50" w:line="240" w:lineRule="atLeast"/>
        <w:jc w:val="both"/>
        <w:outlineLvl w:val="9"/>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br w:type="page"/>
      </w:r>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outlineLvl w:val="1"/>
        <w:rPr>
          <w:rFonts w:hint="eastAsia" w:ascii="楷体_GB2312" w:hAnsi="楷体_GB2312" w:eastAsia="楷体_GB2312" w:cs="楷体_GB2312"/>
          <w:b/>
          <w:bCs/>
          <w:kern w:val="0"/>
          <w:sz w:val="30"/>
          <w:szCs w:val="30"/>
        </w:rPr>
      </w:pPr>
      <w:bookmarkStart w:id="4300" w:name="_Toc8098"/>
      <w:bookmarkStart w:id="4301" w:name="_Toc8220"/>
      <w:bookmarkStart w:id="4302" w:name="_Toc14675"/>
      <w:bookmarkStart w:id="4303" w:name="_Toc9178"/>
      <w:r>
        <w:rPr>
          <w:rFonts w:hint="eastAsia" w:ascii="楷体_GB2312" w:hAnsi="楷体_GB2312" w:eastAsia="楷体_GB2312" w:cs="楷体_GB2312"/>
          <w:b/>
          <w:bCs/>
          <w:kern w:val="0"/>
          <w:sz w:val="30"/>
          <w:szCs w:val="30"/>
        </w:rPr>
        <w:t>信用增</w:t>
      </w:r>
      <w:r>
        <w:rPr>
          <w:rFonts w:hint="eastAsia" w:ascii="楷体_GB2312" w:hAnsi="楷体_GB2312" w:eastAsia="楷体_GB2312" w:cs="楷体_GB2312"/>
          <w:b/>
          <w:bCs/>
          <w:kern w:val="0"/>
          <w:sz w:val="30"/>
          <w:szCs w:val="30"/>
          <w:lang w:val="en-US" w:eastAsia="zh-CN"/>
        </w:rPr>
        <w:t>级</w:t>
      </w:r>
      <w:r>
        <w:rPr>
          <w:rFonts w:hint="eastAsia" w:ascii="楷体_GB2312" w:hAnsi="楷体_GB2312" w:eastAsia="楷体_GB2312" w:cs="楷体_GB2312"/>
          <w:b/>
          <w:bCs/>
          <w:kern w:val="0"/>
          <w:sz w:val="30"/>
          <w:szCs w:val="30"/>
        </w:rPr>
        <w:t>方式</w:t>
      </w:r>
      <w:bookmarkEnd w:id="4300"/>
      <w:bookmarkEnd w:id="4301"/>
      <w:bookmarkEnd w:id="4302"/>
      <w:bookmarkEnd w:id="4303"/>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rPr>
          <w:rFonts w:hint="eastAsia" w:ascii="楷体_GB2312" w:hAnsi="楷体_GB2312" w:eastAsia="楷体_GB2312" w:cs="楷体_GB2312"/>
          <w:bCs/>
          <w:kern w:val="0"/>
          <w:sz w:val="24"/>
          <w:szCs w:val="24"/>
        </w:rPr>
      </w:pPr>
      <w:r>
        <w:rPr>
          <w:rFonts w:hint="eastAsia" w:ascii="楷体_GB2312" w:hAnsi="楷体_GB2312" w:eastAsia="楷体_GB2312" w:cs="楷体_GB2312"/>
          <w:bCs/>
          <w:kern w:val="0"/>
          <w:sz w:val="24"/>
          <w:szCs w:val="24"/>
        </w:rPr>
        <w:t>本期</w:t>
      </w:r>
      <w:r>
        <w:rPr>
          <w:rFonts w:hint="eastAsia" w:ascii="楷体_GB2312" w:hAnsi="楷体_GB2312" w:eastAsia="楷体_GB2312" w:cs="楷体_GB2312"/>
          <w:bCs/>
          <w:kern w:val="0"/>
          <w:sz w:val="24"/>
          <w:szCs w:val="24"/>
          <w:lang w:val="en-US" w:eastAsia="zh-CN"/>
        </w:rPr>
        <w:t>资产支持商业票据</w:t>
      </w:r>
      <w:r>
        <w:rPr>
          <w:rFonts w:hint="eastAsia" w:ascii="楷体_GB2312" w:hAnsi="楷体_GB2312" w:eastAsia="楷体_GB2312" w:cs="楷体_GB2312"/>
          <w:bCs/>
          <w:kern w:val="0"/>
          <w:sz w:val="24"/>
          <w:szCs w:val="24"/>
        </w:rPr>
        <w:t>安排了</w:t>
      </w:r>
      <w:r>
        <w:rPr>
          <w:rFonts w:hint="eastAsia" w:ascii="楷体_GB2312" w:hAnsi="楷体_GB2312" w:eastAsia="楷体_GB2312" w:cs="楷体_GB2312"/>
          <w:bCs/>
          <w:kern w:val="0"/>
          <w:sz w:val="24"/>
          <w:szCs w:val="24"/>
          <w:lang w:eastAsia="zh-CN"/>
        </w:rPr>
        <w:t>【</w:t>
      </w:r>
      <w:r>
        <w:rPr>
          <w:rFonts w:hint="eastAsia" w:ascii="楷体_GB2312" w:hAnsi="楷体_GB2312" w:eastAsia="楷体_GB2312" w:cs="楷体_GB2312"/>
          <w:bCs/>
          <w:kern w:val="0"/>
          <w:sz w:val="24"/>
          <w:szCs w:val="24"/>
        </w:rPr>
        <w:t>优先级/次级分层、现金流</w:t>
      </w:r>
      <w:r>
        <w:rPr>
          <w:rFonts w:hint="eastAsia" w:ascii="楷体_GB2312" w:hAnsi="楷体_GB2312" w:eastAsia="楷体_GB2312" w:cs="楷体_GB2312"/>
          <w:bCs/>
          <w:kern w:val="0"/>
          <w:sz w:val="24"/>
          <w:szCs w:val="24"/>
          <w:lang w:val="en-US" w:eastAsia="zh-CN"/>
        </w:rPr>
        <w:t>超额</w:t>
      </w:r>
      <w:r>
        <w:rPr>
          <w:rFonts w:hint="eastAsia" w:ascii="楷体_GB2312" w:hAnsi="楷体_GB2312" w:eastAsia="楷体_GB2312" w:cs="楷体_GB2312"/>
          <w:bCs/>
          <w:kern w:val="0"/>
          <w:sz w:val="24"/>
          <w:szCs w:val="24"/>
        </w:rPr>
        <w:t>覆盖、</w:t>
      </w:r>
      <w:r>
        <w:rPr>
          <w:rFonts w:hint="eastAsia" w:ascii="楷体_GB2312" w:hAnsi="楷体_GB2312" w:eastAsia="楷体_GB2312" w:cs="楷体_GB2312"/>
          <w:bCs/>
          <w:kern w:val="0"/>
          <w:sz w:val="24"/>
          <w:szCs w:val="24"/>
          <w:lang w:val="en-US" w:eastAsia="zh-CN"/>
        </w:rPr>
        <w:t>差额支付承诺</w:t>
      </w:r>
      <w:r>
        <w:rPr>
          <w:rFonts w:hint="eastAsia" w:ascii="楷体_GB2312" w:hAnsi="楷体_GB2312" w:eastAsia="楷体_GB2312" w:cs="楷体_GB2312"/>
          <w:bCs/>
          <w:kern w:val="0"/>
          <w:sz w:val="24"/>
          <w:szCs w:val="24"/>
        </w:rPr>
        <w:t>等</w:t>
      </w:r>
      <w:r>
        <w:rPr>
          <w:rFonts w:hint="eastAsia" w:ascii="楷体_GB2312" w:hAnsi="楷体_GB2312" w:eastAsia="楷体_GB2312" w:cs="楷体_GB2312"/>
          <w:bCs/>
          <w:kern w:val="0"/>
          <w:sz w:val="24"/>
          <w:szCs w:val="24"/>
          <w:lang w:val="en-US" w:eastAsia="zh-CN"/>
        </w:rPr>
        <w:t>/（其他）</w:t>
      </w:r>
      <w:r>
        <w:rPr>
          <w:rFonts w:hint="eastAsia" w:ascii="楷体_GB2312" w:hAnsi="楷体_GB2312" w:eastAsia="楷体_GB2312" w:cs="楷体_GB2312"/>
          <w:bCs/>
          <w:kern w:val="0"/>
          <w:sz w:val="24"/>
          <w:szCs w:val="24"/>
          <w:lang w:eastAsia="zh-CN"/>
        </w:rPr>
        <w:t>】</w:t>
      </w:r>
      <w:r>
        <w:rPr>
          <w:rFonts w:hint="eastAsia" w:ascii="楷体_GB2312" w:hAnsi="楷体_GB2312" w:eastAsia="楷体_GB2312" w:cs="楷体_GB2312"/>
          <w:bCs/>
          <w:kern w:val="0"/>
          <w:sz w:val="24"/>
          <w:szCs w:val="24"/>
        </w:rPr>
        <w:t>信用增级</w:t>
      </w:r>
      <w:r>
        <w:rPr>
          <w:rFonts w:hint="eastAsia" w:ascii="楷体_GB2312" w:hAnsi="楷体_GB2312" w:eastAsia="楷体_GB2312" w:cs="楷体_GB2312"/>
          <w:bCs/>
          <w:kern w:val="0"/>
          <w:sz w:val="24"/>
          <w:szCs w:val="24"/>
          <w:lang w:val="en-US" w:eastAsia="zh-CN"/>
        </w:rPr>
        <w:t>方式</w:t>
      </w:r>
      <w:r>
        <w:rPr>
          <w:rFonts w:hint="eastAsia" w:ascii="楷体_GB2312" w:hAnsi="楷体_GB2312" w:eastAsia="楷体_GB2312" w:cs="楷体_GB2312"/>
          <w:bCs/>
          <w:kern w:val="0"/>
          <w:sz w:val="24"/>
          <w:szCs w:val="24"/>
        </w:rPr>
        <w:t>，以下就相关</w:t>
      </w:r>
      <w:r>
        <w:rPr>
          <w:rFonts w:hint="eastAsia" w:ascii="楷体_GB2312" w:hAnsi="楷体_GB2312" w:eastAsia="楷体_GB2312" w:cs="楷体_GB2312"/>
          <w:bCs/>
          <w:kern w:val="0"/>
          <w:sz w:val="24"/>
          <w:szCs w:val="24"/>
          <w:lang w:val="en-US" w:eastAsia="zh-CN"/>
        </w:rPr>
        <w:t>信用增级方式</w:t>
      </w:r>
      <w:r>
        <w:rPr>
          <w:rFonts w:hint="eastAsia" w:ascii="楷体_GB2312" w:hAnsi="楷体_GB2312" w:eastAsia="楷体_GB2312" w:cs="楷体_GB2312"/>
          <w:bCs/>
          <w:kern w:val="0"/>
          <w:sz w:val="24"/>
          <w:szCs w:val="24"/>
        </w:rPr>
        <w:t>介绍如下：</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outlineLvl w:val="2"/>
        <w:rPr>
          <w:rFonts w:hint="eastAsia" w:ascii="楷体_GB2312" w:hAnsi="楷体_GB2312" w:eastAsia="楷体_GB2312" w:cs="楷体_GB2312"/>
          <w:b/>
          <w:kern w:val="0"/>
          <w:sz w:val="24"/>
          <w:szCs w:val="24"/>
        </w:rPr>
      </w:pPr>
      <w:bookmarkStart w:id="4304" w:name="_Toc27632"/>
      <w:bookmarkStart w:id="4305" w:name="_Toc23913"/>
      <w:bookmarkStart w:id="4306" w:name="_Toc21681"/>
      <w:r>
        <w:rPr>
          <w:rFonts w:hint="eastAsia" w:ascii="楷体_GB2312" w:hAnsi="楷体_GB2312" w:eastAsia="楷体_GB2312" w:cs="楷体_GB2312"/>
          <w:b/>
          <w:kern w:val="0"/>
          <w:sz w:val="24"/>
          <w:szCs w:val="24"/>
        </w:rPr>
        <w:t>一、内部增信安排</w:t>
      </w:r>
      <w:bookmarkEnd w:id="4304"/>
      <w:bookmarkEnd w:id="4305"/>
      <w:bookmarkEnd w:id="4306"/>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307" w:name="_Toc3666"/>
      <w:bookmarkStart w:id="4308" w:name="_Toc2315"/>
      <w:bookmarkStart w:id="4309" w:name="_Toc3111"/>
      <w:r>
        <w:rPr>
          <w:rFonts w:hint="eastAsia" w:ascii="楷体_GB2312" w:hAnsi="楷体_GB2312" w:eastAsia="楷体_GB2312" w:cs="楷体_GB2312"/>
          <w:b/>
          <w:kern w:val="0"/>
          <w:sz w:val="24"/>
          <w:szCs w:val="24"/>
          <w:lang w:val="en-US" w:eastAsia="zh-CN"/>
        </w:rPr>
        <w:t>（一）优先级/次级分层（如有）</w:t>
      </w:r>
      <w:bookmarkEnd w:id="4307"/>
      <w:bookmarkEnd w:id="4308"/>
      <w:bookmarkEnd w:id="4309"/>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310" w:name="_Toc577"/>
      <w:bookmarkStart w:id="4311" w:name="_Toc30403"/>
      <w:bookmarkStart w:id="4312" w:name="_Toc10327"/>
      <w:r>
        <w:rPr>
          <w:rFonts w:hint="eastAsia" w:ascii="楷体_GB2312" w:hAnsi="楷体_GB2312" w:eastAsia="楷体_GB2312" w:cs="楷体_GB2312"/>
          <w:b/>
          <w:kern w:val="0"/>
          <w:sz w:val="24"/>
          <w:szCs w:val="24"/>
          <w:lang w:val="en-US" w:eastAsia="zh-CN"/>
        </w:rPr>
        <w:t>（二）现金流超额覆盖（如有）</w:t>
      </w:r>
      <w:bookmarkEnd w:id="4310"/>
      <w:bookmarkEnd w:id="4311"/>
      <w:bookmarkEnd w:id="4312"/>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313" w:name="_Toc6959"/>
      <w:bookmarkStart w:id="4314" w:name="_Toc29404"/>
      <w:bookmarkStart w:id="4315" w:name="_Toc24186"/>
      <w:r>
        <w:rPr>
          <w:rFonts w:hint="eastAsia" w:ascii="楷体_GB2312" w:hAnsi="楷体_GB2312" w:eastAsia="楷体_GB2312" w:cs="楷体_GB2312"/>
          <w:b/>
          <w:kern w:val="0"/>
          <w:sz w:val="24"/>
          <w:szCs w:val="24"/>
          <w:lang w:val="en-US" w:eastAsia="zh-CN"/>
        </w:rPr>
        <w:t>（三）信用触发机制</w:t>
      </w:r>
      <w:bookmarkEnd w:id="4313"/>
      <w:bookmarkEnd w:id="4314"/>
      <w:bookmarkEnd w:id="4315"/>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val="0"/>
          <w:kern w:val="0"/>
          <w:sz w:val="24"/>
          <w:szCs w:val="24"/>
          <w:lang w:val="en-US" w:eastAsia="zh-CN" w:bidi="ar-SA"/>
        </w:rPr>
      </w:pPr>
      <w:r>
        <w:rPr>
          <w:rFonts w:hint="eastAsia" w:ascii="楷体_GB2312" w:hAnsi="楷体_GB2312" w:eastAsia="楷体_GB2312" w:cs="楷体_GB2312"/>
          <w:b/>
          <w:bCs w:val="0"/>
          <w:kern w:val="0"/>
          <w:sz w:val="24"/>
          <w:szCs w:val="24"/>
          <w:lang w:val="en-US" w:eastAsia="zh-CN" w:bidi="ar-SA"/>
        </w:rPr>
        <w:t>1、加速清偿事件（如有）</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val="0"/>
          <w:kern w:val="0"/>
          <w:sz w:val="24"/>
          <w:szCs w:val="24"/>
          <w:lang w:val="en-US" w:eastAsia="zh-CN" w:bidi="ar-SA"/>
        </w:rPr>
      </w:pPr>
      <w:r>
        <w:rPr>
          <w:rFonts w:hint="eastAsia" w:ascii="楷体_GB2312" w:hAnsi="楷体_GB2312" w:eastAsia="楷体_GB2312" w:cs="楷体_GB2312"/>
          <w:b/>
          <w:bCs w:val="0"/>
          <w:kern w:val="0"/>
          <w:sz w:val="24"/>
          <w:szCs w:val="24"/>
          <w:lang w:val="en-US" w:eastAsia="zh-CN" w:bidi="ar-SA"/>
        </w:rPr>
        <w:t>2、违约事件</w:t>
      </w:r>
    </w:p>
    <w:p>
      <w:pPr>
        <w:pStyle w:val="2"/>
        <w:keepNext w:val="0"/>
        <w:keepLines w:val="0"/>
        <w:pageBreakBefore w:val="0"/>
        <w:widowControl w:val="0"/>
        <w:kinsoku/>
        <w:wordWrap/>
        <w:topLinePunct w:val="0"/>
        <w:bidi w:val="0"/>
        <w:spacing w:before="144" w:beforeLines="50" w:after="144" w:afterLines="50" w:line="240" w:lineRule="atLeast"/>
        <w:jc w:val="both"/>
        <w:rPr>
          <w:rFonts w:hint="default" w:ascii="楷体_GB2312" w:hAnsi="楷体_GB2312" w:eastAsia="楷体_GB2312" w:cs="楷体_GB2312"/>
          <w:b/>
          <w:bCs w:val="0"/>
          <w:kern w:val="0"/>
          <w:sz w:val="24"/>
          <w:szCs w:val="24"/>
          <w:lang w:val="en-US" w:eastAsia="zh-CN" w:bidi="ar-SA"/>
        </w:rPr>
      </w:pPr>
      <w:r>
        <w:rPr>
          <w:rFonts w:hint="eastAsia" w:ascii="楷体_GB2312" w:hAnsi="楷体_GB2312" w:eastAsia="楷体_GB2312" w:cs="楷体_GB2312"/>
          <w:b/>
          <w:bCs w:val="0"/>
          <w:kern w:val="0"/>
          <w:sz w:val="24"/>
          <w:szCs w:val="24"/>
          <w:lang w:val="en-US" w:eastAsia="zh-CN" w:bidi="ar-SA"/>
        </w:rPr>
        <w:t>3、</w:t>
      </w:r>
      <w:r>
        <w:rPr>
          <w:rFonts w:hint="default" w:ascii="楷体_GB2312" w:hAnsi="楷体_GB2312" w:eastAsia="楷体_GB2312" w:cs="楷体_GB2312"/>
          <w:b/>
          <w:bCs w:val="0"/>
          <w:kern w:val="0"/>
          <w:sz w:val="24"/>
          <w:szCs w:val="24"/>
          <w:lang w:val="en-US" w:eastAsia="zh-CN" w:bidi="ar-SA"/>
        </w:rPr>
        <w:t>循环期提前终止事件</w:t>
      </w:r>
      <w:r>
        <w:rPr>
          <w:rFonts w:hint="eastAsia" w:ascii="楷体_GB2312" w:hAnsi="楷体_GB2312" w:eastAsia="楷体_GB2312" w:cs="楷体_GB2312"/>
          <w:b/>
          <w:bCs w:val="0"/>
          <w:kern w:val="0"/>
          <w:sz w:val="24"/>
          <w:szCs w:val="24"/>
          <w:lang w:val="en-US" w:eastAsia="zh-CN" w:bidi="ar-SA"/>
        </w:rPr>
        <w:t>（如有）</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val="0"/>
          <w:kern w:val="0"/>
          <w:sz w:val="24"/>
          <w:szCs w:val="24"/>
          <w:lang w:val="en-US" w:eastAsia="zh-CN" w:bidi="ar-SA"/>
        </w:rPr>
      </w:pPr>
      <w:r>
        <w:rPr>
          <w:rFonts w:hint="eastAsia" w:ascii="楷体_GB2312" w:hAnsi="楷体_GB2312" w:eastAsia="楷体_GB2312" w:cs="楷体_GB2312"/>
          <w:b/>
          <w:bCs w:val="0"/>
          <w:kern w:val="0"/>
          <w:sz w:val="24"/>
          <w:szCs w:val="24"/>
          <w:lang w:val="en-US" w:eastAsia="zh-CN" w:bidi="ar-SA"/>
        </w:rPr>
        <w:t>4、滚动发行提前终止事件</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val="0"/>
          <w:kern w:val="0"/>
          <w:sz w:val="24"/>
          <w:szCs w:val="24"/>
          <w:lang w:val="en-US" w:eastAsia="zh-CN" w:bidi="ar-SA"/>
        </w:rPr>
      </w:pPr>
      <w:r>
        <w:rPr>
          <w:rFonts w:hint="eastAsia" w:ascii="楷体_GB2312" w:hAnsi="楷体_GB2312" w:eastAsia="楷体_GB2312" w:cs="楷体_GB2312"/>
          <w:b/>
          <w:bCs w:val="0"/>
          <w:kern w:val="0"/>
          <w:sz w:val="24"/>
          <w:szCs w:val="24"/>
          <w:lang w:val="en-US" w:eastAsia="zh-CN" w:bidi="ar-SA"/>
        </w:rPr>
        <w:t>5、权利完善事件（如有）</w:t>
      </w:r>
    </w:p>
    <w:p>
      <w:pPr>
        <w:pStyle w:val="2"/>
        <w:keepNext w:val="0"/>
        <w:keepLines w:val="0"/>
        <w:pageBreakBefore w:val="0"/>
        <w:widowControl w:val="0"/>
        <w:kinsoku/>
        <w:wordWrap/>
        <w:topLinePunct w:val="0"/>
        <w:bidi w:val="0"/>
        <w:spacing w:before="144" w:beforeLines="50" w:after="144" w:afterLines="50" w:line="240" w:lineRule="atLeast"/>
        <w:jc w:val="both"/>
        <w:rPr>
          <w:rFonts w:hint="default" w:ascii="楷体_GB2312" w:hAnsi="楷体_GB2312" w:eastAsia="楷体_GB2312" w:cs="楷体_GB2312"/>
          <w:b/>
          <w:bCs w:val="0"/>
          <w:color w:val="FF0000"/>
          <w:kern w:val="0"/>
          <w:sz w:val="24"/>
          <w:szCs w:val="24"/>
          <w:u w:val="single"/>
          <w:lang w:val="en-US" w:eastAsia="zh-CN" w:bidi="ar-SA"/>
        </w:rPr>
      </w:pPr>
      <w:r>
        <w:rPr>
          <w:rFonts w:hint="eastAsia" w:ascii="Times New Roman" w:hAnsi="Times New Roman" w:eastAsia="楷体_GB2312" w:cs="Times New Roman"/>
          <w:b/>
          <w:bCs w:val="0"/>
          <w:i/>
          <w:color w:val="FF0000"/>
          <w:sz w:val="24"/>
          <w:szCs w:val="28"/>
          <w:u w:val="single"/>
          <w:lang w:val="en-US" w:eastAsia="zh-CN"/>
        </w:rPr>
        <w:t>应参照《主定义表》“一、定义（138）</w:t>
      </w:r>
      <w:r>
        <w:rPr>
          <w:rFonts w:hint="eastAsia" w:ascii="楷体_GB2312" w:hAnsi="楷体_GB2312" w:eastAsia="楷体_GB2312" w:cs="楷体_GB2312"/>
          <w:b/>
          <w:bCs w:val="0"/>
          <w:color w:val="FF0000"/>
          <w:kern w:val="0"/>
          <w:sz w:val="24"/>
          <w:szCs w:val="24"/>
          <w:u w:val="single"/>
          <w:lang w:val="en-US" w:eastAsia="zh-CN" w:bidi="ar-SA"/>
        </w:rPr>
        <w:t>加速清偿事件</w:t>
      </w:r>
      <w:r>
        <w:rPr>
          <w:rFonts w:hint="eastAsia" w:ascii="Times New Roman" w:hAnsi="Times New Roman" w:eastAsia="楷体_GB2312" w:cs="Times New Roman"/>
          <w:b/>
          <w:bCs w:val="0"/>
          <w:i/>
          <w:color w:val="FF0000"/>
          <w:sz w:val="24"/>
          <w:szCs w:val="28"/>
          <w:u w:val="single"/>
          <w:lang w:val="en-US" w:eastAsia="zh-CN"/>
        </w:rPr>
        <w:t>、（139）</w:t>
      </w:r>
      <w:r>
        <w:rPr>
          <w:rFonts w:hint="eastAsia" w:ascii="楷体_GB2312" w:hAnsi="楷体_GB2312" w:eastAsia="楷体_GB2312" w:cs="楷体_GB2312"/>
          <w:b/>
          <w:bCs w:val="0"/>
          <w:color w:val="FF0000"/>
          <w:kern w:val="0"/>
          <w:sz w:val="24"/>
          <w:szCs w:val="24"/>
          <w:u w:val="single"/>
          <w:lang w:val="en-US" w:eastAsia="zh-CN" w:bidi="ar-SA"/>
        </w:rPr>
        <w:t>违约事件</w:t>
      </w:r>
      <w:r>
        <w:rPr>
          <w:rFonts w:hint="eastAsia" w:ascii="Times New Roman" w:hAnsi="Times New Roman" w:eastAsia="楷体_GB2312" w:cs="Times New Roman"/>
          <w:b/>
          <w:bCs w:val="0"/>
          <w:i/>
          <w:color w:val="FF0000"/>
          <w:sz w:val="24"/>
          <w:szCs w:val="28"/>
          <w:u w:val="single"/>
          <w:lang w:val="en-US" w:eastAsia="zh-CN"/>
        </w:rPr>
        <w:t>、（143）</w:t>
      </w:r>
      <w:r>
        <w:rPr>
          <w:rFonts w:hint="default" w:ascii="楷体_GB2312" w:hAnsi="楷体_GB2312" w:eastAsia="楷体_GB2312" w:cs="楷体_GB2312"/>
          <w:b/>
          <w:bCs w:val="0"/>
          <w:color w:val="FF0000"/>
          <w:kern w:val="0"/>
          <w:sz w:val="24"/>
          <w:szCs w:val="24"/>
          <w:u w:val="single"/>
          <w:lang w:val="en-US" w:eastAsia="zh-CN" w:bidi="ar-SA"/>
        </w:rPr>
        <w:t>循环期提前终止事件</w:t>
      </w:r>
      <w:r>
        <w:rPr>
          <w:rFonts w:hint="eastAsia" w:ascii="Times New Roman" w:hAnsi="Times New Roman" w:eastAsia="楷体_GB2312" w:cs="Times New Roman"/>
          <w:b/>
          <w:bCs w:val="0"/>
          <w:i/>
          <w:color w:val="FF0000"/>
          <w:sz w:val="24"/>
          <w:szCs w:val="28"/>
          <w:u w:val="single"/>
          <w:lang w:val="en-US" w:eastAsia="zh-CN"/>
        </w:rPr>
        <w:t>、（144）</w:t>
      </w:r>
      <w:r>
        <w:rPr>
          <w:rFonts w:hint="eastAsia" w:ascii="楷体_GB2312" w:hAnsi="楷体_GB2312" w:eastAsia="楷体_GB2312" w:cs="楷体_GB2312"/>
          <w:b/>
          <w:bCs w:val="0"/>
          <w:color w:val="FF0000"/>
          <w:kern w:val="0"/>
          <w:sz w:val="24"/>
          <w:szCs w:val="24"/>
          <w:u w:val="single"/>
          <w:lang w:val="en-US" w:eastAsia="zh-CN" w:bidi="ar-SA"/>
        </w:rPr>
        <w:t>滚动发行提前终止事件</w:t>
      </w:r>
      <w:r>
        <w:rPr>
          <w:rFonts w:hint="eastAsia" w:ascii="Times New Roman" w:hAnsi="Times New Roman" w:eastAsia="楷体_GB2312" w:cs="Times New Roman"/>
          <w:b/>
          <w:bCs w:val="0"/>
          <w:i/>
          <w:color w:val="FF0000"/>
          <w:sz w:val="24"/>
          <w:szCs w:val="28"/>
          <w:u w:val="single"/>
          <w:lang w:val="en-US" w:eastAsia="zh-CN"/>
        </w:rPr>
        <w:t>和（150）</w:t>
      </w:r>
      <w:r>
        <w:rPr>
          <w:rFonts w:hint="eastAsia" w:ascii="楷体_GB2312" w:hAnsi="楷体_GB2312" w:eastAsia="楷体_GB2312" w:cs="楷体_GB2312"/>
          <w:b/>
          <w:bCs w:val="0"/>
          <w:color w:val="FF0000"/>
          <w:kern w:val="0"/>
          <w:sz w:val="24"/>
          <w:szCs w:val="24"/>
          <w:u w:val="single"/>
          <w:lang w:val="en-US" w:eastAsia="zh-CN" w:bidi="ar-SA"/>
        </w:rPr>
        <w:t>权利完善事件</w:t>
      </w:r>
      <w:r>
        <w:rPr>
          <w:rFonts w:hint="eastAsia" w:ascii="Times New Roman" w:hAnsi="Times New Roman" w:eastAsia="楷体_GB2312" w:cs="Times New Roman"/>
          <w:b/>
          <w:bCs w:val="0"/>
          <w:i/>
          <w:color w:val="FF0000"/>
          <w:sz w:val="24"/>
          <w:szCs w:val="28"/>
          <w:u w:val="single"/>
          <w:lang w:val="en-US" w:eastAsia="zh-CN"/>
        </w:rPr>
        <w:t>”的内容。</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rPr>
      </w:pPr>
      <w:r>
        <w:rPr>
          <w:rFonts w:hint="eastAsia" w:ascii="Times New Roman" w:hAnsi="Times New Roman" w:eastAsia="楷体_GB2312" w:cs="Times New Roman"/>
          <w:b/>
          <w:bCs w:val="0"/>
          <w:i/>
          <w:color w:val="FF0000"/>
          <w:sz w:val="24"/>
          <w:szCs w:val="28"/>
          <w:u w:val="single"/>
          <w:lang w:val="en-US" w:eastAsia="zh-CN"/>
        </w:rPr>
        <w:t>应根据项目实际情况阐述其他内部增信安排。</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outlineLvl w:val="2"/>
        <w:rPr>
          <w:rFonts w:hint="default" w:ascii="楷体_GB2312" w:hAnsi="楷体_GB2312" w:eastAsia="楷体_GB2312" w:cs="楷体_GB2312"/>
          <w:b/>
          <w:kern w:val="0"/>
          <w:sz w:val="24"/>
          <w:szCs w:val="24"/>
          <w:lang w:val="en-US" w:eastAsia="zh-CN"/>
        </w:rPr>
      </w:pPr>
      <w:bookmarkStart w:id="4316" w:name="_Toc8643"/>
      <w:bookmarkStart w:id="4317" w:name="_Toc11430"/>
      <w:bookmarkStart w:id="4318" w:name="_Toc20528"/>
      <w:bookmarkStart w:id="4319" w:name="_Toc6371"/>
      <w:r>
        <w:rPr>
          <w:rFonts w:hint="eastAsia" w:ascii="楷体_GB2312" w:hAnsi="楷体_GB2312" w:eastAsia="楷体_GB2312" w:cs="楷体_GB2312"/>
          <w:b/>
          <w:kern w:val="0"/>
          <w:sz w:val="24"/>
          <w:szCs w:val="24"/>
        </w:rPr>
        <w:t>二、外部增</w:t>
      </w:r>
      <w:r>
        <w:rPr>
          <w:rFonts w:hint="eastAsia" w:ascii="楷体_GB2312" w:hAnsi="楷体_GB2312" w:eastAsia="楷体_GB2312" w:cs="楷体_GB2312"/>
          <w:b/>
          <w:kern w:val="0"/>
          <w:sz w:val="24"/>
          <w:szCs w:val="24"/>
          <w:lang w:val="en-US" w:eastAsia="zh-CN"/>
        </w:rPr>
        <w:t>信安排</w:t>
      </w:r>
      <w:bookmarkEnd w:id="4316"/>
      <w:r>
        <w:rPr>
          <w:rStyle w:val="48"/>
          <w:rFonts w:hint="eastAsia" w:ascii="楷体_GB2312" w:hAnsi="楷体_GB2312" w:eastAsia="楷体_GB2312" w:cs="楷体_GB2312"/>
          <w:b/>
          <w:kern w:val="0"/>
          <w:sz w:val="24"/>
          <w:szCs w:val="24"/>
        </w:rPr>
        <w:footnoteReference w:id="81"/>
      </w:r>
      <w:bookmarkEnd w:id="4317"/>
      <w:bookmarkEnd w:id="4318"/>
      <w:bookmarkEnd w:id="4319"/>
      <w:r>
        <w:rPr>
          <w:rFonts w:hint="eastAsia" w:ascii="楷体_GB2312" w:hAnsi="楷体_GB2312" w:eastAsia="楷体_GB2312" w:cs="楷体_GB2312"/>
          <w:b/>
          <w:kern w:val="0"/>
          <w:sz w:val="24"/>
          <w:szCs w:val="24"/>
          <w:lang w:val="en-US" w:eastAsia="zh-CN"/>
        </w:rPr>
        <w:t>（如有）</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320" w:name="_Toc7328"/>
      <w:bookmarkStart w:id="4321" w:name="_Toc14769"/>
      <w:r>
        <w:rPr>
          <w:rFonts w:hint="eastAsia" w:ascii="楷体_GB2312" w:hAnsi="楷体_GB2312" w:eastAsia="楷体_GB2312" w:cs="楷体_GB2312"/>
          <w:b/>
          <w:kern w:val="0"/>
          <w:sz w:val="24"/>
          <w:szCs w:val="24"/>
          <w:lang w:val="en-US" w:eastAsia="zh-CN"/>
        </w:rPr>
        <w:t>（一）差额支付承诺（如有）</w:t>
      </w:r>
      <w:bookmarkEnd w:id="4320"/>
      <w:bookmarkEnd w:id="4321"/>
    </w:p>
    <w:p>
      <w:pPr>
        <w:pStyle w:val="2"/>
        <w:keepNext w:val="0"/>
        <w:keepLines w:val="0"/>
        <w:pageBreakBefore w:val="0"/>
        <w:widowControl w:val="0"/>
        <w:kinsoku/>
        <w:wordWrap/>
        <w:topLinePunct w:val="0"/>
        <w:bidi w:val="0"/>
        <w:spacing w:before="144" w:beforeLines="50" w:after="144" w:afterLines="50" w:line="240" w:lineRule="atLeast"/>
        <w:ind w:firstLine="480"/>
        <w:jc w:val="both"/>
        <w:rPr>
          <w:rFonts w:hint="eastAsia"/>
        </w:rPr>
      </w:pPr>
      <w:r>
        <w:rPr>
          <w:rFonts w:hint="eastAsia" w:ascii="Times New Roman" w:hAnsi="Times New Roman" w:eastAsia="楷体_GB2312" w:cs="Times New Roman"/>
          <w:b/>
          <w:i/>
          <w:color w:val="FF0000"/>
          <w:sz w:val="24"/>
          <w:szCs w:val="28"/>
          <w:u w:val="single"/>
          <w:lang w:eastAsia="zh-CN"/>
        </w:rPr>
        <w:t>应参照</w:t>
      </w:r>
      <w:r>
        <w:rPr>
          <w:rFonts w:hint="eastAsia" w:ascii="Times New Roman" w:hAnsi="Times New Roman" w:eastAsia="楷体_GB2312" w:cs="Times New Roman"/>
          <w:b/>
          <w:i/>
          <w:color w:val="FF0000"/>
          <w:sz w:val="24"/>
          <w:szCs w:val="28"/>
          <w:u w:val="single"/>
        </w:rPr>
        <w:t>《差额支付承诺函》</w:t>
      </w:r>
      <w:r>
        <w:rPr>
          <w:rFonts w:hint="eastAsia" w:ascii="Times New Roman" w:hAnsi="Times New Roman" w:eastAsia="楷体_GB2312" w:cs="Times New Roman"/>
          <w:b/>
          <w:i/>
          <w:color w:val="FF0000"/>
          <w:sz w:val="24"/>
          <w:szCs w:val="28"/>
          <w:u w:val="single"/>
          <w:lang w:val="en-US" w:eastAsia="zh-CN"/>
        </w:rPr>
        <w:t>及</w:t>
      </w:r>
      <w:r>
        <w:rPr>
          <w:rFonts w:hint="eastAsia" w:ascii="Times New Roman" w:hAnsi="Times New Roman" w:eastAsia="楷体_GB2312" w:cs="Times New Roman"/>
          <w:b/>
          <w:i/>
          <w:color w:val="FF0000"/>
          <w:sz w:val="24"/>
          <w:szCs w:val="28"/>
          <w:u w:val="single"/>
        </w:rPr>
        <w:t>《主定义表》“一、定义（140）差额支付启动事件</w:t>
      </w:r>
      <w:r>
        <w:rPr>
          <w:rFonts w:hint="eastAsia" w:ascii="Times New Roman" w:hAnsi="Times New Roman" w:eastAsia="楷体_GB2312" w:cs="Times New Roman"/>
          <w:b/>
          <w:i/>
          <w:color w:val="FF0000"/>
          <w:sz w:val="24"/>
          <w:szCs w:val="28"/>
          <w:u w:val="single"/>
          <w:lang w:eastAsia="zh-CN"/>
        </w:rPr>
        <w:t>、</w:t>
      </w:r>
      <w:r>
        <w:rPr>
          <w:rFonts w:hint="eastAsia" w:ascii="Times New Roman" w:hAnsi="Times New Roman" w:eastAsia="楷体_GB2312" w:cs="Times New Roman"/>
          <w:b/>
          <w:i/>
          <w:color w:val="FF0000"/>
          <w:sz w:val="24"/>
          <w:szCs w:val="28"/>
          <w:u w:val="single"/>
        </w:rPr>
        <w:t>（14</w:t>
      </w:r>
      <w:r>
        <w:rPr>
          <w:rFonts w:hint="eastAsia" w:ascii="Times New Roman" w:hAnsi="Times New Roman" w:eastAsia="楷体_GB2312" w:cs="Times New Roman"/>
          <w:b/>
          <w:i/>
          <w:color w:val="FF0000"/>
          <w:sz w:val="24"/>
          <w:szCs w:val="28"/>
          <w:u w:val="single"/>
          <w:lang w:val="en-US" w:eastAsia="zh-CN"/>
        </w:rPr>
        <w:t>1</w:t>
      </w:r>
      <w:r>
        <w:rPr>
          <w:rFonts w:hint="eastAsia" w:ascii="Times New Roman" w:hAnsi="Times New Roman" w:eastAsia="楷体_GB2312" w:cs="Times New Roman"/>
          <w:b/>
          <w:i/>
          <w:color w:val="FF0000"/>
          <w:sz w:val="24"/>
          <w:szCs w:val="28"/>
          <w:u w:val="single"/>
        </w:rPr>
        <w:t>）</w:t>
      </w:r>
      <w:r>
        <w:rPr>
          <w:rFonts w:hint="eastAsia" w:ascii="Times New Roman" w:hAnsi="Times New Roman" w:eastAsia="楷体_GB2312" w:cs="Times New Roman"/>
          <w:b/>
          <w:i/>
          <w:color w:val="FF0000"/>
          <w:sz w:val="24"/>
          <w:szCs w:val="28"/>
          <w:u w:val="single"/>
          <w:lang w:val="en-US" w:eastAsia="zh-CN"/>
        </w:rPr>
        <w:t>回收款</w:t>
      </w:r>
      <w:r>
        <w:rPr>
          <w:rFonts w:hint="eastAsia" w:ascii="Times New Roman" w:hAnsi="Times New Roman" w:eastAsia="楷体_GB2312" w:cs="Times New Roman"/>
          <w:b/>
          <w:i/>
          <w:color w:val="FF0000"/>
          <w:sz w:val="24"/>
          <w:szCs w:val="28"/>
          <w:u w:val="single"/>
        </w:rPr>
        <w:t>差额支付启动事件</w:t>
      </w:r>
      <w:r>
        <w:rPr>
          <w:rFonts w:hint="eastAsia" w:ascii="Times New Roman" w:hAnsi="Times New Roman" w:eastAsia="楷体_GB2312" w:cs="Times New Roman"/>
          <w:b/>
          <w:i/>
          <w:color w:val="FF0000"/>
          <w:sz w:val="24"/>
          <w:szCs w:val="28"/>
          <w:u w:val="single"/>
          <w:lang w:val="en-US" w:eastAsia="zh-CN"/>
        </w:rPr>
        <w:t>和</w:t>
      </w:r>
      <w:r>
        <w:rPr>
          <w:rFonts w:hint="eastAsia" w:ascii="Times New Roman" w:hAnsi="Times New Roman" w:eastAsia="楷体_GB2312" w:cs="Times New Roman"/>
          <w:b/>
          <w:i/>
          <w:color w:val="FF0000"/>
          <w:sz w:val="24"/>
          <w:szCs w:val="28"/>
          <w:u w:val="single"/>
        </w:rPr>
        <w:t>（14</w:t>
      </w:r>
      <w:r>
        <w:rPr>
          <w:rFonts w:hint="eastAsia" w:ascii="Times New Roman" w:hAnsi="Times New Roman" w:eastAsia="楷体_GB2312" w:cs="Times New Roman"/>
          <w:b/>
          <w:i/>
          <w:color w:val="FF0000"/>
          <w:sz w:val="24"/>
          <w:szCs w:val="28"/>
          <w:u w:val="single"/>
          <w:lang w:val="en-US" w:eastAsia="zh-CN"/>
        </w:rPr>
        <w:t>2</w:t>
      </w:r>
      <w:r>
        <w:rPr>
          <w:rFonts w:hint="eastAsia" w:ascii="Times New Roman" w:hAnsi="Times New Roman" w:eastAsia="楷体_GB2312" w:cs="Times New Roman"/>
          <w:b/>
          <w:i/>
          <w:color w:val="FF0000"/>
          <w:sz w:val="24"/>
          <w:szCs w:val="28"/>
          <w:u w:val="single"/>
        </w:rPr>
        <w:t>）</w:t>
      </w:r>
      <w:r>
        <w:rPr>
          <w:rFonts w:hint="eastAsia" w:ascii="Times New Roman" w:hAnsi="Times New Roman" w:eastAsia="楷体_GB2312" w:cs="Times New Roman"/>
          <w:b/>
          <w:i/>
          <w:color w:val="FF0000"/>
          <w:sz w:val="24"/>
          <w:szCs w:val="28"/>
          <w:u w:val="single"/>
          <w:lang w:val="en-US" w:eastAsia="zh-CN"/>
        </w:rPr>
        <w:t>滚动发行</w:t>
      </w:r>
      <w:r>
        <w:rPr>
          <w:rFonts w:hint="eastAsia" w:ascii="Times New Roman" w:hAnsi="Times New Roman" w:eastAsia="楷体_GB2312" w:cs="Times New Roman"/>
          <w:b/>
          <w:i/>
          <w:color w:val="FF0000"/>
          <w:sz w:val="24"/>
          <w:szCs w:val="28"/>
          <w:u w:val="single"/>
        </w:rPr>
        <w:t>差额支付启动事件”的内容。</w:t>
      </w:r>
    </w:p>
    <w:p>
      <w:pPr>
        <w:keepNext w:val="0"/>
        <w:keepLines w:val="0"/>
        <w:pageBreakBefore w:val="0"/>
        <w:widowControl w:val="0"/>
        <w:numPr>
          <w:ilvl w:val="0"/>
          <w:numId w:val="0"/>
        </w:numPr>
        <w:kinsoku/>
        <w:wordWrap/>
        <w:topLinePunct w:val="0"/>
        <w:bidi w:val="0"/>
        <w:adjustRightInd w:val="0"/>
        <w:spacing w:before="144" w:beforeLines="50" w:after="144" w:afterLines="50" w:line="240" w:lineRule="atLeast"/>
        <w:ind w:firstLine="482" w:firstLineChars="200"/>
        <w:jc w:val="both"/>
        <w:textAlignment w:val="baseline"/>
        <w:rPr>
          <w:rFonts w:hint="eastAsia" w:ascii="Times New Roman" w:hAnsi="Times New Roman" w:eastAsia="楷体_GB2312" w:cs="Times New Roman"/>
          <w:b/>
          <w:bCs w:val="0"/>
          <w:i/>
          <w:color w:val="FF0000"/>
          <w:kern w:val="0"/>
          <w:sz w:val="24"/>
          <w:szCs w:val="28"/>
          <w:u w:val="single"/>
          <w:lang w:val="en-US" w:eastAsia="zh-CN" w:bidi="ar-SA"/>
        </w:rPr>
      </w:pPr>
      <w:r>
        <w:rPr>
          <w:rFonts w:hint="eastAsia" w:ascii="Times New Roman" w:hAnsi="Times New Roman" w:eastAsia="楷体_GB2312" w:cs="Times New Roman"/>
          <w:b/>
          <w:bCs w:val="0"/>
          <w:i/>
          <w:color w:val="FF0000"/>
          <w:kern w:val="0"/>
          <w:sz w:val="24"/>
          <w:szCs w:val="28"/>
          <w:u w:val="single"/>
          <w:lang w:val="en-US" w:eastAsia="zh-CN" w:bidi="ar-SA"/>
        </w:rPr>
        <w:t>差额支付承诺函需明确约定的内容，包括但不限于承诺对象、承诺范围、承诺期间、差额支付的启动条件、差额支付的操作流程、差额支付义务的承接、差额支付资金的偿还与追偿、法律适用与争议解决、差额支付承诺函的生效、对差额支付承诺函进行修改、变更、解除或终止应经过定向资产支持商业票据持有人会议同意等事项，差额支付范围可能包括（1）对基础资产回收款不足以按顺序支付完毕各期优先级资产支持商业票据的利息以及最后一期优先级资产支持商业票据未偿本金余额的差额部分承担补足义务，（2）委托人未足额支付信托受益权转让对价或后一期优先级资产支持商业票据未滚动发行成功，对信托受益权转让对价的差额部分承担补足义务，（3）委托人未足额支付回购价款，包括委托人选择进行回购需支付的回购价款以及因中止滚动发行或滚动发行不成功委托人产生回购义务需支付的回购价款。</w:t>
      </w:r>
    </w:p>
    <w:p>
      <w:pPr>
        <w:keepNext w:val="0"/>
        <w:keepLines w:val="0"/>
        <w:pageBreakBefore w:val="0"/>
        <w:widowControl w:val="0"/>
        <w:numPr>
          <w:ilvl w:val="0"/>
          <w:numId w:val="0"/>
        </w:numPr>
        <w:kinsoku/>
        <w:wordWrap/>
        <w:topLinePunct w:val="0"/>
        <w:bidi w:val="0"/>
        <w:adjustRightInd w:val="0"/>
        <w:spacing w:before="144" w:beforeLines="50" w:after="144" w:afterLines="50" w:line="240" w:lineRule="atLeast"/>
        <w:ind w:firstLine="482" w:firstLineChars="200"/>
        <w:jc w:val="both"/>
        <w:textAlignment w:val="baseline"/>
        <w:rPr>
          <w:rFonts w:hint="eastAsia" w:ascii="Times New Roman" w:hAnsi="Times New Roman" w:eastAsia="楷体_GB2312" w:cs="Times New Roman"/>
          <w:b/>
          <w:bCs w:val="0"/>
          <w:i/>
          <w:color w:val="FF0000"/>
          <w:kern w:val="0"/>
          <w:sz w:val="24"/>
          <w:szCs w:val="28"/>
          <w:u w:val="single"/>
          <w:lang w:val="en-US" w:eastAsia="zh-CN" w:bidi="ar-SA"/>
        </w:rPr>
      </w:pPr>
      <w:r>
        <w:rPr>
          <w:rFonts w:hint="eastAsia" w:ascii="Times New Roman" w:hAnsi="Times New Roman" w:eastAsia="楷体_GB2312" w:cs="Times New Roman"/>
          <w:b/>
          <w:bCs w:val="0"/>
          <w:i/>
          <w:color w:val="FF0000"/>
          <w:kern w:val="0"/>
          <w:sz w:val="24"/>
          <w:szCs w:val="28"/>
          <w:u w:val="single"/>
          <w:lang w:val="en-US" w:eastAsia="zh-CN" w:bidi="ar-SA"/>
        </w:rPr>
        <w:t>应根据项目实际情况调整差额支付承诺的内容。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322" w:name="_Toc2989"/>
      <w:bookmarkStart w:id="4323" w:name="_Toc30918"/>
      <w:r>
        <w:rPr>
          <w:rFonts w:hint="eastAsia" w:ascii="楷体_GB2312" w:hAnsi="楷体_GB2312" w:eastAsia="楷体_GB2312" w:cs="楷体_GB2312"/>
          <w:b/>
          <w:kern w:val="0"/>
          <w:sz w:val="24"/>
          <w:szCs w:val="24"/>
          <w:lang w:val="en-US" w:eastAsia="zh-CN"/>
        </w:rPr>
        <w:t>（二）回购资产池（如有）</w:t>
      </w:r>
      <w:bookmarkEnd w:id="4322"/>
      <w:bookmarkEnd w:id="4323"/>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Times New Roman" w:hAnsi="Times New Roman" w:eastAsia="楷体_GB2312" w:cs="Times New Roman"/>
          <w:b/>
          <w:bCs w:val="0"/>
          <w:i/>
          <w:color w:val="FF0000"/>
          <w:sz w:val="24"/>
          <w:szCs w:val="28"/>
          <w:u w:val="single"/>
          <w:lang w:val="en-US" w:eastAsia="zh-CN"/>
        </w:rPr>
      </w:pPr>
      <w:r>
        <w:rPr>
          <w:rFonts w:hint="eastAsia" w:ascii="Times New Roman" w:hAnsi="Times New Roman" w:eastAsia="楷体_GB2312" w:cs="Times New Roman"/>
          <w:b/>
          <w:bCs w:val="0"/>
          <w:i/>
          <w:color w:val="FF0000"/>
          <w:sz w:val="24"/>
          <w:szCs w:val="28"/>
          <w:u w:val="single"/>
          <w:lang w:val="en-US" w:eastAsia="zh-CN"/>
        </w:rPr>
        <w:t>应参照《信托合同》“15资产的回购 15.2委托人因中止滚动发行产生的回购义务和15.3委托人因滚动发行不成功需承担的回购义务”的内容。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ind w:firstLine="482" w:firstLineChars="200"/>
        <w:jc w:val="both"/>
        <w:textAlignment w:val="auto"/>
        <w:outlineLvl w:val="3"/>
        <w:rPr>
          <w:rFonts w:hint="eastAsia" w:ascii="楷体_GB2312" w:hAnsi="楷体_GB2312" w:eastAsia="楷体_GB2312" w:cs="楷体_GB2312"/>
          <w:b/>
          <w:kern w:val="0"/>
          <w:sz w:val="24"/>
          <w:szCs w:val="24"/>
          <w:lang w:val="en-US" w:eastAsia="zh-CN"/>
        </w:rPr>
      </w:pPr>
      <w:bookmarkStart w:id="4324" w:name="_Toc28004"/>
      <w:bookmarkStart w:id="4325" w:name="_Toc12815"/>
      <w:r>
        <w:rPr>
          <w:rFonts w:hint="eastAsia" w:ascii="楷体_GB2312" w:hAnsi="楷体_GB2312" w:eastAsia="楷体_GB2312" w:cs="楷体_GB2312"/>
          <w:b/>
          <w:kern w:val="0"/>
          <w:sz w:val="24"/>
          <w:szCs w:val="24"/>
          <w:lang w:val="en-US" w:eastAsia="zh-CN"/>
        </w:rPr>
        <w:t>（三）受让信托受益权（如有）</w:t>
      </w:r>
      <w:bookmarkEnd w:id="4324"/>
      <w:bookmarkEnd w:id="4325"/>
    </w:p>
    <w:p>
      <w:pPr>
        <w:pStyle w:val="2"/>
        <w:keepNext w:val="0"/>
        <w:keepLines w:val="0"/>
        <w:pageBreakBefore w:val="0"/>
        <w:widowControl w:val="0"/>
        <w:kinsoku/>
        <w:wordWrap/>
        <w:topLinePunct w:val="0"/>
        <w:bidi w:val="0"/>
        <w:spacing w:before="144" w:beforeLines="50" w:after="144" w:afterLines="50" w:line="240" w:lineRule="atLeast"/>
        <w:jc w:val="both"/>
        <w:rPr>
          <w:rFonts w:hint="eastAsia"/>
          <w:lang w:eastAsia="zh-CN"/>
        </w:rPr>
      </w:pPr>
      <w:r>
        <w:rPr>
          <w:rFonts w:hint="eastAsia" w:ascii="Times New Roman" w:hAnsi="Times New Roman" w:eastAsia="楷体_GB2312" w:cs="Times New Roman"/>
          <w:b/>
          <w:bCs w:val="0"/>
          <w:i/>
          <w:color w:val="FF0000"/>
          <w:sz w:val="24"/>
          <w:szCs w:val="28"/>
          <w:u w:val="single"/>
          <w:lang w:val="en-US" w:eastAsia="zh-CN"/>
        </w:rPr>
        <w:t>应参照《信托合同》“7信托受益权和资产支持商业票据7.7资产支持商业票据的发行、承销、登记、交易和结算7.7.2资产支持商业票据的滚动发行7.7.2.3和7.8资产支持商业票据发行不成功”的内容。</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outlineLvl w:val="2"/>
        <w:rPr>
          <w:rFonts w:hint="eastAsia" w:ascii="楷体_GB2312" w:hAnsi="楷体_GB2312" w:eastAsia="楷体_GB2312" w:cs="楷体_GB2312"/>
          <w:b/>
          <w:kern w:val="0"/>
          <w:sz w:val="24"/>
          <w:szCs w:val="24"/>
        </w:rPr>
      </w:pPr>
      <w:bookmarkStart w:id="4326" w:name="_Toc3554"/>
      <w:bookmarkStart w:id="4327" w:name="_Toc4824"/>
      <w:bookmarkStart w:id="4328" w:name="_Toc19461"/>
      <w:bookmarkStart w:id="4329" w:name="_Toc4780"/>
      <w:r>
        <w:rPr>
          <w:rFonts w:hint="eastAsia" w:ascii="楷体_GB2312" w:hAnsi="楷体_GB2312" w:eastAsia="楷体_GB2312" w:cs="楷体_GB2312"/>
          <w:b/>
          <w:kern w:val="0"/>
          <w:sz w:val="24"/>
          <w:szCs w:val="24"/>
        </w:rPr>
        <w:t>三、增</w:t>
      </w:r>
      <w:r>
        <w:rPr>
          <w:rFonts w:hint="eastAsia" w:ascii="楷体_GB2312" w:hAnsi="楷体_GB2312" w:eastAsia="楷体_GB2312" w:cs="楷体_GB2312"/>
          <w:b/>
          <w:kern w:val="0"/>
          <w:sz w:val="24"/>
          <w:szCs w:val="24"/>
          <w:lang w:val="en-US" w:eastAsia="zh-CN"/>
        </w:rPr>
        <w:t>级</w:t>
      </w:r>
      <w:r>
        <w:rPr>
          <w:rFonts w:hint="eastAsia" w:ascii="楷体_GB2312" w:hAnsi="楷体_GB2312" w:eastAsia="楷体_GB2312" w:cs="楷体_GB2312"/>
          <w:b/>
          <w:kern w:val="0"/>
          <w:sz w:val="24"/>
          <w:szCs w:val="24"/>
        </w:rPr>
        <w:t>方式的触发顺序</w:t>
      </w:r>
      <w:bookmarkEnd w:id="4326"/>
      <w:bookmarkEnd w:id="4327"/>
      <w:bookmarkEnd w:id="4328"/>
      <w:bookmarkEnd w:id="4329"/>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jc w:val="both"/>
        <w:textAlignment w:val="auto"/>
        <w:rPr>
          <w:rFonts w:hint="eastAsia" w:ascii="楷体_GB2312" w:hAnsi="楷体_GB2312" w:eastAsia="楷体_GB2312" w:cs="楷体_GB2312"/>
          <w:sz w:val="24"/>
        </w:rPr>
      </w:pPr>
      <w:r>
        <w:rPr>
          <w:rFonts w:hint="eastAsia" w:ascii="楷体_GB2312" w:hAnsi="楷体_GB2312" w:eastAsia="楷体_GB2312" w:cs="楷体_GB2312"/>
          <w:sz w:val="24"/>
        </w:rPr>
        <w:br w:type="page"/>
      </w:r>
      <w:bookmarkStart w:id="4462" w:name="_GoBack"/>
      <w:bookmarkEnd w:id="4462"/>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330" w:name="_Toc20867"/>
      <w:bookmarkStart w:id="4331" w:name="_Toc14815"/>
      <w:bookmarkStart w:id="4332" w:name="_Toc26384"/>
      <w:r>
        <w:rPr>
          <w:rFonts w:hint="eastAsia" w:ascii="楷体_GB2312" w:hAnsi="楷体_GB2312" w:eastAsia="楷体_GB2312" w:cs="楷体_GB2312"/>
          <w:b/>
          <w:bCs/>
          <w:kern w:val="0"/>
          <w:sz w:val="30"/>
          <w:szCs w:val="30"/>
        </w:rPr>
        <w:t>发起机构、</w:t>
      </w:r>
      <w:r>
        <w:rPr>
          <w:rFonts w:hint="eastAsia" w:ascii="楷体_GB2312" w:hAnsi="楷体_GB2312" w:eastAsia="楷体_GB2312" w:cs="楷体_GB2312"/>
          <w:b/>
          <w:bCs/>
          <w:kern w:val="0"/>
          <w:sz w:val="30"/>
          <w:szCs w:val="30"/>
          <w:lang w:val="en-US" w:eastAsia="zh-CN"/>
        </w:rPr>
        <w:t>信用增级机构（如有）、发行载体管理机构</w:t>
      </w:r>
      <w:r>
        <w:rPr>
          <w:rFonts w:hint="eastAsia" w:ascii="楷体_GB2312" w:hAnsi="楷体_GB2312" w:eastAsia="楷体_GB2312" w:cs="楷体_GB2312"/>
          <w:b/>
          <w:bCs/>
          <w:kern w:val="0"/>
          <w:sz w:val="30"/>
          <w:szCs w:val="30"/>
        </w:rPr>
        <w:t>及相关中介机构的基本情况</w:t>
      </w:r>
      <w:bookmarkEnd w:id="4330"/>
      <w:bookmarkEnd w:id="4331"/>
      <w:bookmarkEnd w:id="4332"/>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lang w:val="en-US" w:eastAsia="zh-CN"/>
        </w:rPr>
      </w:pPr>
      <w:bookmarkStart w:id="4333" w:name="_Toc1898"/>
      <w:bookmarkStart w:id="4334" w:name="_Toc22806"/>
      <w:r>
        <w:rPr>
          <w:rFonts w:hint="eastAsia" w:ascii="楷体_GB2312" w:hAnsi="楷体_GB2312" w:eastAsia="楷体_GB2312" w:cs="楷体_GB2312"/>
          <w:b/>
          <w:bCs/>
          <w:sz w:val="24"/>
          <w:szCs w:val="24"/>
          <w:lang w:val="en-US" w:eastAsia="zh-CN"/>
        </w:rPr>
        <w:t>一、发起机构的基本情况</w:t>
      </w:r>
      <w:bookmarkEnd w:id="4333"/>
      <w:bookmarkEnd w:id="4334"/>
    </w:p>
    <w:p>
      <w:pPr>
        <w:keepNext w:val="0"/>
        <w:keepLines w:val="0"/>
        <w:pageBreakBefore w:val="0"/>
        <w:widowControl w:val="0"/>
        <w:numPr>
          <w:ilvl w:val="0"/>
          <w:numId w:val="0"/>
        </w:numPr>
        <w:kinsoku/>
        <w:wordWrap/>
        <w:topLinePunct w:val="0"/>
        <w:bidi w:val="0"/>
        <w:adjustRightInd w:val="0"/>
        <w:spacing w:before="144" w:beforeLines="50" w:after="144" w:afterLines="50" w:line="240" w:lineRule="atLeast"/>
        <w:ind w:firstLine="482" w:firstLineChars="200"/>
        <w:jc w:val="both"/>
        <w:textAlignment w:val="baseline"/>
        <w:rPr>
          <w:rFonts w:hint="eastAsia" w:ascii="Times New Roman" w:hAnsi="Times New Roman" w:eastAsia="楷体_GB2312" w:cs="Times New Roman"/>
          <w:b/>
          <w:bCs w:val="0"/>
          <w:i w:val="0"/>
          <w:iCs/>
          <w:color w:val="FF0000"/>
          <w:kern w:val="0"/>
          <w:sz w:val="24"/>
          <w:szCs w:val="28"/>
          <w:u w:val="none"/>
          <w:lang w:val="en-US" w:eastAsia="zh-CN" w:bidi="ar-SA"/>
        </w:rPr>
      </w:pPr>
      <w:r>
        <w:rPr>
          <w:rFonts w:hint="eastAsia" w:ascii="Times New Roman" w:hAnsi="Times New Roman" w:eastAsia="楷体_GB2312" w:cs="Times New Roman"/>
          <w:b/>
          <w:bCs w:val="0"/>
          <w:i w:val="0"/>
          <w:iCs/>
          <w:color w:val="FF0000"/>
          <w:kern w:val="0"/>
          <w:sz w:val="24"/>
          <w:szCs w:val="28"/>
          <w:u w:val="none"/>
          <w:lang w:val="en-US" w:eastAsia="zh-CN" w:bidi="ar-SA"/>
        </w:rPr>
        <w:t>【基础资产现金流的获得取决于发起机构持续经营，或发起机构需持续承担基础资产现金流转付义务的情形】</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（一）基本情况</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（二）历史沿革</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（三）股权结构</w:t>
      </w:r>
    </w:p>
    <w:p>
      <w:pPr>
        <w:pStyle w:val="2"/>
        <w:keepNext w:val="0"/>
        <w:keepLines w:val="0"/>
        <w:pageBreakBefore w:val="0"/>
        <w:widowControl w:val="0"/>
        <w:kinsoku/>
        <w:wordWrap/>
        <w:topLinePunct w:val="0"/>
        <w:bidi w:val="0"/>
        <w:spacing w:before="144" w:beforeLines="50" w:after="144" w:afterLines="50" w:line="240" w:lineRule="atLeast"/>
        <w:jc w:val="both"/>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（四）独立性</w:t>
      </w:r>
    </w:p>
    <w:p>
      <w:pPr>
        <w:pStyle w:val="2"/>
        <w:keepNext w:val="0"/>
        <w:keepLines w:val="0"/>
        <w:pageBreakBefore w:val="0"/>
        <w:widowControl w:val="0"/>
        <w:kinsoku/>
        <w:wordWrap/>
        <w:topLinePunct w:val="0"/>
        <w:bidi w:val="0"/>
        <w:spacing w:before="144" w:beforeLines="50" w:after="144" w:afterLines="50" w:line="240" w:lineRule="atLeast"/>
        <w:jc w:val="both"/>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（五）重要权益投资</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（六）治理结构</w:t>
      </w:r>
    </w:p>
    <w:p>
      <w:pPr>
        <w:pStyle w:val="2"/>
        <w:keepNext w:val="0"/>
        <w:keepLines w:val="0"/>
        <w:pageBreakBefore w:val="0"/>
        <w:widowControl w:val="0"/>
        <w:kinsoku/>
        <w:wordWrap/>
        <w:topLinePunct w:val="0"/>
        <w:bidi w:val="0"/>
        <w:spacing w:before="144" w:beforeLines="50" w:after="144" w:afterLines="50" w:line="240" w:lineRule="atLeast"/>
        <w:jc w:val="both"/>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（七）内控制度</w:t>
      </w:r>
    </w:p>
    <w:p>
      <w:pPr>
        <w:pStyle w:val="2"/>
        <w:keepNext w:val="0"/>
        <w:keepLines w:val="0"/>
        <w:pageBreakBefore w:val="0"/>
        <w:widowControl w:val="0"/>
        <w:kinsoku/>
        <w:wordWrap/>
        <w:topLinePunct w:val="0"/>
        <w:bidi w:val="0"/>
        <w:spacing w:before="144" w:beforeLines="50" w:after="144" w:afterLines="50" w:line="240" w:lineRule="atLeast"/>
        <w:jc w:val="both"/>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（八）企业人员基本情况</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（九）经营情况</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（十）在建工程（如有）</w:t>
      </w:r>
    </w:p>
    <w:p>
      <w:pPr>
        <w:pStyle w:val="2"/>
        <w:keepNext w:val="0"/>
        <w:keepLines w:val="0"/>
        <w:pageBreakBefore w:val="0"/>
        <w:widowControl w:val="0"/>
        <w:kinsoku/>
        <w:wordWrap/>
        <w:topLinePunct w:val="0"/>
        <w:bidi w:val="0"/>
        <w:spacing w:before="144" w:beforeLines="50" w:after="144" w:afterLines="50" w:line="240" w:lineRule="atLeast"/>
        <w:jc w:val="both"/>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（十一）对投资人判断定向资产支持商业票据投资价值和投资风险有重要影响的其他信息（如有）</w:t>
      </w:r>
    </w:p>
    <w:p>
      <w:pPr>
        <w:pStyle w:val="2"/>
        <w:keepNext w:val="0"/>
        <w:keepLines w:val="0"/>
        <w:pageBreakBefore w:val="0"/>
        <w:widowControl w:val="0"/>
        <w:kinsoku/>
        <w:wordWrap/>
        <w:topLinePunct w:val="0"/>
        <w:bidi w:val="0"/>
        <w:spacing w:before="144" w:beforeLines="50" w:after="144" w:afterLines="50" w:line="240" w:lineRule="atLeast"/>
        <w:jc w:val="both"/>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（十二）财务报表</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（十三）财务报表分析</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（十四）有息债务</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（十五）关联交易</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（十六）或有事项</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（十七）受限资产情况</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（十八）资信情况</w:t>
      </w:r>
    </w:p>
    <w:p>
      <w:pPr>
        <w:pStyle w:val="110"/>
        <w:keepNext w:val="0"/>
        <w:keepLines w:val="0"/>
        <w:pageBreakBefore w:val="0"/>
        <w:widowControl w:val="0"/>
        <w:kinsoku/>
        <w:wordWrap/>
        <w:topLinePunct w:val="0"/>
        <w:bidi w:val="0"/>
        <w:spacing w:before="144" w:beforeLines="50" w:after="144" w:afterLines="50" w:line="240" w:lineRule="atLeast"/>
        <w:ind w:firstLine="482" w:firstLineChars="200"/>
        <w:jc w:val="both"/>
        <w:textAlignment w:val="auto"/>
        <w:rPr>
          <w:rFonts w:hint="eastAsia" w:ascii="楷体_GB2312" w:hAnsi="楷体_GB2312" w:eastAsia="楷体_GB2312" w:cs="楷体_GB2312"/>
          <w:b/>
          <w:bCs/>
          <w:i/>
          <w:iCs/>
          <w:snapToGrid w:val="0"/>
          <w:color w:val="FF0000"/>
          <w:kern w:val="0"/>
          <w:sz w:val="24"/>
          <w:szCs w:val="24"/>
          <w:u w:val="single"/>
          <w:lang w:val="en-US" w:eastAsia="zh-CN" w:bidi="ar-SA"/>
        </w:rPr>
      </w:pPr>
      <w:r>
        <w:rPr>
          <w:rFonts w:hint="eastAsia" w:hAnsi="楷体_GB2312"/>
          <w:b/>
          <w:bCs/>
          <w:i/>
          <w:iCs/>
          <w:snapToGrid w:val="0"/>
          <w:color w:val="FF0000"/>
          <w:u w:val="single"/>
        </w:rPr>
        <w:t>涉及基础设施建设、房地产等</w:t>
      </w:r>
      <w:r>
        <w:rPr>
          <w:rFonts w:hint="eastAsia" w:hAnsi="楷体_GB2312"/>
          <w:b/>
          <w:bCs/>
          <w:i/>
          <w:iCs/>
          <w:snapToGrid w:val="0"/>
          <w:color w:val="FF0000"/>
          <w:u w:val="single"/>
          <w:lang w:val="en-US" w:eastAsia="zh-CN"/>
        </w:rPr>
        <w:t>特定</w:t>
      </w:r>
      <w:r>
        <w:rPr>
          <w:rFonts w:hint="eastAsia" w:hAnsi="楷体_GB2312"/>
          <w:b/>
          <w:bCs/>
          <w:i/>
          <w:iCs/>
          <w:snapToGrid w:val="0"/>
          <w:color w:val="FF0000"/>
          <w:u w:val="single"/>
        </w:rPr>
        <w:t>行业</w:t>
      </w:r>
      <w:r>
        <w:rPr>
          <w:rFonts w:hint="eastAsia" w:hAnsi="楷体_GB2312"/>
          <w:b/>
          <w:bCs/>
          <w:i/>
          <w:iCs/>
          <w:snapToGrid w:val="0"/>
          <w:color w:val="FF0000"/>
          <w:u w:val="single"/>
          <w:lang w:val="en-US" w:eastAsia="zh-CN"/>
        </w:rPr>
        <w:t>的</w:t>
      </w:r>
      <w:r>
        <w:rPr>
          <w:rFonts w:hint="eastAsia" w:hAnsi="楷体_GB2312"/>
          <w:b/>
          <w:bCs/>
          <w:i/>
          <w:iCs/>
          <w:snapToGrid w:val="0"/>
          <w:color w:val="FF0000"/>
          <w:u w:val="single"/>
        </w:rPr>
        <w:t>，应符合</w:t>
      </w:r>
      <w:r>
        <w:rPr>
          <w:rFonts w:hint="eastAsia" w:hAnsi="楷体_GB2312"/>
          <w:b/>
          <w:bCs/>
          <w:i/>
          <w:iCs/>
          <w:snapToGrid w:val="0"/>
          <w:color w:val="FF0000"/>
          <w:u w:val="single"/>
          <w:lang w:eastAsia="zh-CN"/>
        </w:rPr>
        <w:t>《</w:t>
      </w:r>
      <w:r>
        <w:rPr>
          <w:rFonts w:hint="eastAsia" w:hAnsi="楷体_GB2312"/>
          <w:b/>
          <w:bCs/>
          <w:i/>
          <w:iCs/>
          <w:snapToGrid w:val="0"/>
          <w:color w:val="FF0000"/>
          <w:u w:val="single"/>
        </w:rPr>
        <w:t>非金融企业债务融资工具</w:t>
      </w:r>
      <w:r>
        <w:rPr>
          <w:rFonts w:hint="eastAsia" w:hAnsi="楷体_GB2312"/>
          <w:b/>
          <w:bCs/>
          <w:i/>
          <w:iCs/>
          <w:snapToGrid w:val="0"/>
          <w:color w:val="FF0000"/>
          <w:u w:val="single"/>
          <w:lang w:val="en-US" w:eastAsia="zh-CN"/>
        </w:rPr>
        <w:t>定向</w:t>
      </w:r>
      <w:r>
        <w:rPr>
          <w:rFonts w:hint="eastAsia" w:hAnsi="楷体_GB2312"/>
          <w:b/>
          <w:bCs/>
          <w:i/>
          <w:iCs/>
          <w:snapToGrid w:val="0"/>
          <w:color w:val="FF0000"/>
          <w:u w:val="single"/>
        </w:rPr>
        <w:t>发行注册文件表格体系</w:t>
      </w:r>
      <w:r>
        <w:rPr>
          <w:rFonts w:hint="eastAsia" w:hAnsi="楷体_GB2312"/>
          <w:b/>
          <w:bCs/>
          <w:i/>
          <w:iCs/>
          <w:snapToGrid w:val="0"/>
          <w:color w:val="FF0000"/>
          <w:u w:val="single"/>
          <w:lang w:eastAsia="zh-CN"/>
        </w:rPr>
        <w:t>》</w:t>
      </w:r>
      <w:r>
        <w:rPr>
          <w:rFonts w:hint="eastAsia" w:hAnsi="楷体_GB2312"/>
          <w:b/>
          <w:bCs/>
          <w:i/>
          <w:iCs/>
          <w:snapToGrid w:val="0"/>
          <w:color w:val="FF0000"/>
          <w:u w:val="single"/>
          <w:lang w:val="en-US" w:eastAsia="zh-CN"/>
        </w:rPr>
        <w:t>对应子表格的要求。</w:t>
      </w:r>
    </w:p>
    <w:p>
      <w:pPr>
        <w:keepNext w:val="0"/>
        <w:keepLines w:val="0"/>
        <w:pageBreakBefore w:val="0"/>
        <w:widowControl w:val="0"/>
        <w:numPr>
          <w:ilvl w:val="0"/>
          <w:numId w:val="0"/>
        </w:numPr>
        <w:kinsoku/>
        <w:wordWrap/>
        <w:topLinePunct w:val="0"/>
        <w:bidi w:val="0"/>
        <w:adjustRightInd w:val="0"/>
        <w:spacing w:before="144" w:beforeLines="50" w:after="144" w:afterLines="50" w:line="240" w:lineRule="atLeast"/>
        <w:ind w:firstLine="482" w:firstLineChars="200"/>
        <w:jc w:val="both"/>
        <w:textAlignment w:val="baseline"/>
        <w:rPr>
          <w:rFonts w:hint="eastAsia" w:ascii="Times New Roman" w:hAnsi="Times New Roman" w:eastAsia="楷体_GB2312" w:cs="Times New Roman"/>
          <w:b/>
          <w:bCs w:val="0"/>
          <w:i w:val="0"/>
          <w:iCs/>
          <w:color w:val="FF0000"/>
          <w:kern w:val="0"/>
          <w:sz w:val="24"/>
          <w:szCs w:val="28"/>
          <w:u w:val="none"/>
          <w:lang w:val="en-US" w:eastAsia="zh-CN" w:bidi="ar-SA"/>
        </w:rPr>
      </w:pPr>
      <w:r>
        <w:rPr>
          <w:rFonts w:hint="eastAsia" w:ascii="Times New Roman" w:hAnsi="Times New Roman" w:eastAsia="楷体_GB2312" w:cs="Times New Roman"/>
          <w:b/>
          <w:bCs w:val="0"/>
          <w:i w:val="0"/>
          <w:iCs/>
          <w:color w:val="FF0000"/>
          <w:kern w:val="0"/>
          <w:sz w:val="24"/>
          <w:szCs w:val="28"/>
          <w:u w:val="none"/>
          <w:lang w:val="en-US" w:eastAsia="zh-CN" w:bidi="ar-SA"/>
        </w:rPr>
        <w:t>【除上述情形外的其他情形】</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（一）基本情况</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（二）历史沿革</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（三）股权结构</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（四）治理结构</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（五）与基础资产相关的业务管理制度及风险控制制度</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（六）与基础资产相关的业务情况</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（七）财务报表</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（八）财务报表分析</w:t>
      </w:r>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（九）资信情况</w:t>
      </w:r>
    </w:p>
    <w:p>
      <w:pPr>
        <w:keepNext w:val="0"/>
        <w:keepLines w:val="0"/>
        <w:pageBreakBefore w:val="0"/>
        <w:widowControl w:val="0"/>
        <w:kinsoku/>
        <w:wordWrap/>
        <w:topLinePunct w:val="0"/>
        <w:autoSpaceDE/>
        <w:autoSpaceDN/>
        <w:bidi w:val="0"/>
        <w:adjustRightInd w:val="0"/>
        <w:snapToGrid/>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napToGrid/>
          <w:kern w:val="2"/>
          <w:sz w:val="24"/>
          <w:szCs w:val="24"/>
          <w:highlight w:val="none"/>
          <w:lang w:eastAsia="zh-CN"/>
        </w:rPr>
      </w:pPr>
      <w:bookmarkStart w:id="4335" w:name="_Toc8484"/>
      <w:bookmarkStart w:id="4336" w:name="_Toc11581"/>
      <w:bookmarkStart w:id="4337" w:name="_Toc27804"/>
      <w:bookmarkStart w:id="4338" w:name="_Toc19066"/>
      <w:r>
        <w:rPr>
          <w:rFonts w:hint="eastAsia" w:ascii="楷体_GB2312" w:hAnsi="楷体_GB2312" w:eastAsia="楷体_GB2312" w:cs="楷体_GB2312"/>
          <w:b/>
          <w:bCs/>
          <w:snapToGrid/>
          <w:kern w:val="2"/>
          <w:sz w:val="24"/>
          <w:szCs w:val="24"/>
          <w:highlight w:val="none"/>
          <w:lang w:val="en-US" w:eastAsia="zh-CN"/>
        </w:rPr>
        <w:t>二</w:t>
      </w:r>
      <w:r>
        <w:rPr>
          <w:rFonts w:hint="eastAsia" w:ascii="楷体_GB2312" w:hAnsi="楷体_GB2312" w:eastAsia="楷体_GB2312" w:cs="楷体_GB2312"/>
          <w:b/>
          <w:bCs/>
          <w:snapToGrid/>
          <w:kern w:val="2"/>
          <w:sz w:val="24"/>
          <w:szCs w:val="24"/>
          <w:highlight w:val="none"/>
        </w:rPr>
        <w:t>、</w:t>
      </w:r>
      <w:r>
        <w:rPr>
          <w:rFonts w:hint="eastAsia" w:ascii="楷体_GB2312" w:hAnsi="楷体_GB2312" w:eastAsia="楷体_GB2312" w:cs="楷体_GB2312"/>
          <w:b/>
          <w:bCs/>
          <w:snapToGrid/>
          <w:kern w:val="2"/>
          <w:sz w:val="24"/>
          <w:szCs w:val="24"/>
          <w:highlight w:val="none"/>
          <w:lang w:val="en-US" w:eastAsia="zh-CN"/>
        </w:rPr>
        <w:t>信用增级机构</w:t>
      </w:r>
      <w:r>
        <w:rPr>
          <w:rFonts w:hint="eastAsia" w:ascii="楷体_GB2312" w:hAnsi="楷体_GB2312" w:eastAsia="楷体_GB2312" w:cs="楷体_GB2312"/>
          <w:b/>
          <w:bCs/>
          <w:snapToGrid/>
          <w:kern w:val="2"/>
          <w:sz w:val="24"/>
          <w:szCs w:val="24"/>
          <w:highlight w:val="none"/>
        </w:rPr>
        <w:t>的基本情况</w:t>
      </w:r>
      <w:r>
        <w:rPr>
          <w:rStyle w:val="48"/>
          <w:rFonts w:hint="eastAsia" w:ascii="楷体_GB2312" w:hAnsi="楷体_GB2312" w:eastAsia="楷体_GB2312" w:cs="楷体_GB2312"/>
          <w:b/>
          <w:bCs/>
          <w:sz w:val="24"/>
          <w:szCs w:val="24"/>
        </w:rPr>
        <w:footnoteReference w:id="82"/>
      </w:r>
      <w:r>
        <w:rPr>
          <w:rFonts w:hint="eastAsia" w:ascii="楷体_GB2312" w:hAnsi="楷体_GB2312" w:eastAsia="楷体_GB2312" w:cs="楷体_GB2312"/>
          <w:b/>
          <w:bCs/>
          <w:snapToGrid/>
          <w:kern w:val="2"/>
          <w:sz w:val="24"/>
          <w:szCs w:val="24"/>
          <w:highlight w:val="none"/>
          <w:lang w:eastAsia="zh-CN"/>
        </w:rPr>
        <w:t>（</w:t>
      </w:r>
      <w:r>
        <w:rPr>
          <w:rFonts w:hint="eastAsia" w:ascii="楷体_GB2312" w:hAnsi="楷体_GB2312" w:eastAsia="楷体_GB2312" w:cs="楷体_GB2312"/>
          <w:b/>
          <w:bCs/>
          <w:snapToGrid/>
          <w:kern w:val="2"/>
          <w:sz w:val="24"/>
          <w:szCs w:val="24"/>
          <w:highlight w:val="none"/>
          <w:lang w:val="en-US" w:eastAsia="zh-CN"/>
        </w:rPr>
        <w:t>如有</w:t>
      </w:r>
      <w:r>
        <w:rPr>
          <w:rFonts w:hint="eastAsia" w:ascii="楷体_GB2312" w:hAnsi="楷体_GB2312" w:eastAsia="楷体_GB2312" w:cs="楷体_GB2312"/>
          <w:b/>
          <w:bCs/>
          <w:snapToGrid/>
          <w:kern w:val="2"/>
          <w:sz w:val="24"/>
          <w:szCs w:val="24"/>
          <w:highlight w:val="none"/>
          <w:lang w:eastAsia="zh-CN"/>
        </w:rPr>
        <w:t>）</w:t>
      </w:r>
      <w:bookmarkEnd w:id="4335"/>
      <w:bookmarkEnd w:id="4336"/>
      <w:bookmarkEnd w:id="4337"/>
      <w:bookmarkEnd w:id="4338"/>
    </w:p>
    <w:p>
      <w:pPr>
        <w:pStyle w:val="2"/>
        <w:keepNext w:val="0"/>
        <w:keepLines w:val="0"/>
        <w:pageBreakBefore w:val="0"/>
        <w:widowControl w:val="0"/>
        <w:kinsoku/>
        <w:wordWrap/>
        <w:topLinePunct w:val="0"/>
        <w:bidi w:val="0"/>
        <w:spacing w:before="144" w:beforeLines="50" w:after="144" w:afterLines="50" w:line="240" w:lineRule="atLeast"/>
        <w:jc w:val="both"/>
        <w:rPr>
          <w:rFonts w:hint="eastAsia" w:ascii="楷体_GB2312" w:hAnsi="楷体_GB2312" w:eastAsia="楷体_GB2312" w:cs="楷体_GB2312"/>
          <w:b/>
          <w:bCs/>
          <w:i/>
          <w:iCs/>
          <w:snapToGrid w:val="0"/>
          <w:color w:val="FF0000"/>
          <w:sz w:val="24"/>
          <w:szCs w:val="24"/>
          <w:u w:val="single"/>
          <w:lang w:val="en-US" w:eastAsia="zh-CN"/>
        </w:rPr>
      </w:pPr>
      <w:r>
        <w:rPr>
          <w:rFonts w:hint="eastAsia" w:ascii="楷体_GB2312" w:hAnsi="楷体_GB2312" w:eastAsia="楷体_GB2312" w:cs="楷体_GB2312"/>
          <w:b/>
          <w:bCs/>
          <w:i/>
          <w:iCs/>
          <w:snapToGrid w:val="0"/>
          <w:color w:val="FF0000"/>
          <w:sz w:val="24"/>
          <w:szCs w:val="24"/>
          <w:u w:val="single"/>
          <w:lang w:val="en-US" w:eastAsia="zh-CN"/>
        </w:rPr>
        <w:t>由专业信用增进机构提供信用增级的，</w:t>
      </w:r>
      <w:r>
        <w:rPr>
          <w:rFonts w:hint="eastAsia" w:ascii="Times New Roman" w:hAnsi="Times New Roman" w:eastAsia="楷体_GB2312" w:cs="Times New Roman"/>
          <w:b/>
          <w:i/>
          <w:color w:val="FF0000"/>
          <w:kern w:val="0"/>
          <w:sz w:val="24"/>
          <w:szCs w:val="28"/>
          <w:u w:val="single"/>
        </w:rPr>
        <w:t>按照相关监管要求披露信息</w:t>
      </w:r>
      <w:r>
        <w:rPr>
          <w:rFonts w:hint="eastAsia" w:ascii="楷体_GB2312" w:hAnsi="楷体_GB2312" w:eastAsia="楷体_GB2312" w:cs="楷体_GB2312"/>
          <w:b/>
          <w:bCs/>
          <w:i/>
          <w:iCs/>
          <w:snapToGrid w:val="0"/>
          <w:color w:val="FF0000"/>
          <w:sz w:val="24"/>
          <w:szCs w:val="24"/>
          <w:u w:val="single"/>
          <w:lang w:val="en-US" w:eastAsia="zh-CN"/>
        </w:rPr>
        <w:t>，同时披露其近一年债券担保责任余额、集中度</w:t>
      </w:r>
      <w:r>
        <w:rPr>
          <w:rStyle w:val="48"/>
          <w:rFonts w:hint="eastAsia" w:ascii="Times New Roman" w:hAnsi="Times New Roman" w:eastAsia="楷体_GB2312" w:cs="Times New Roman"/>
          <w:b/>
          <w:bCs w:val="0"/>
          <w:i/>
          <w:color w:val="FF0000"/>
          <w:kern w:val="0"/>
          <w:sz w:val="24"/>
          <w:szCs w:val="28"/>
          <w:u w:val="single"/>
          <w:lang w:val="en-US" w:eastAsia="zh-CN" w:bidi="ar-SA"/>
        </w:rPr>
        <w:footnoteReference w:id="83"/>
      </w:r>
      <w:r>
        <w:rPr>
          <w:rFonts w:hint="eastAsia" w:ascii="楷体_GB2312" w:hAnsi="楷体_GB2312" w:eastAsia="楷体_GB2312" w:cs="楷体_GB2312"/>
          <w:b/>
          <w:bCs/>
          <w:i/>
          <w:iCs/>
          <w:snapToGrid w:val="0"/>
          <w:color w:val="FF0000"/>
          <w:sz w:val="24"/>
          <w:szCs w:val="24"/>
          <w:u w:val="single"/>
          <w:lang w:val="en-US" w:eastAsia="zh-CN"/>
        </w:rPr>
        <w:t>等指标。由其他信用增级主体提供</w:t>
      </w:r>
      <w:r>
        <w:rPr>
          <w:rFonts w:hint="eastAsia" w:ascii="Times New Roman" w:hAnsi="Times New Roman" w:eastAsia="楷体_GB2312" w:cs="Times New Roman"/>
          <w:b/>
          <w:bCs w:val="0"/>
          <w:i/>
          <w:color w:val="FF0000"/>
          <w:kern w:val="0"/>
          <w:sz w:val="24"/>
          <w:szCs w:val="28"/>
          <w:u w:val="single"/>
          <w:lang w:val="en-US" w:eastAsia="zh-CN" w:bidi="ar-SA"/>
        </w:rPr>
        <w:t>信用增级</w:t>
      </w:r>
      <w:r>
        <w:rPr>
          <w:rFonts w:hint="eastAsia" w:ascii="楷体_GB2312" w:hAnsi="楷体_GB2312" w:eastAsia="楷体_GB2312" w:cs="楷体_GB2312"/>
          <w:b/>
          <w:bCs/>
          <w:i/>
          <w:iCs/>
          <w:snapToGrid w:val="0"/>
          <w:color w:val="FF0000"/>
          <w:sz w:val="24"/>
          <w:szCs w:val="24"/>
          <w:u w:val="single"/>
          <w:lang w:val="en-US" w:eastAsia="zh-CN"/>
        </w:rPr>
        <w:t>的，参照发起机构的第一种情形进行信息披露。</w:t>
      </w:r>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4339" w:name="_Toc20078"/>
      <w:bookmarkStart w:id="4340" w:name="_Toc3924"/>
      <w:bookmarkStart w:id="4341" w:name="_Toc23093"/>
      <w:r>
        <w:rPr>
          <w:rFonts w:hint="eastAsia" w:ascii="楷体_GB2312" w:hAnsi="楷体_GB2312" w:eastAsia="楷体_GB2312" w:cs="楷体_GB2312"/>
          <w:b/>
          <w:bCs/>
          <w:sz w:val="24"/>
          <w:szCs w:val="24"/>
          <w:lang w:val="en-US" w:eastAsia="zh-CN"/>
        </w:rPr>
        <w:t>三</w:t>
      </w:r>
      <w:r>
        <w:rPr>
          <w:rFonts w:hint="eastAsia" w:ascii="楷体_GB2312" w:hAnsi="楷体_GB2312" w:eastAsia="楷体_GB2312" w:cs="楷体_GB2312"/>
          <w:b/>
          <w:bCs/>
          <w:sz w:val="24"/>
          <w:szCs w:val="24"/>
        </w:rPr>
        <w:t>、发行载体管理机构</w:t>
      </w:r>
      <w:r>
        <w:rPr>
          <w:rFonts w:hint="eastAsia" w:ascii="楷体_GB2312" w:hAnsi="楷体_GB2312" w:eastAsia="楷体_GB2312" w:cs="楷体_GB2312"/>
          <w:b/>
          <w:bCs/>
          <w:sz w:val="24"/>
          <w:szCs w:val="24"/>
          <w:lang w:val="en-US" w:eastAsia="zh-CN"/>
        </w:rPr>
        <w:t>的</w:t>
      </w:r>
      <w:r>
        <w:rPr>
          <w:rFonts w:hint="eastAsia" w:ascii="楷体_GB2312" w:hAnsi="楷体_GB2312" w:eastAsia="楷体_GB2312" w:cs="楷体_GB2312"/>
          <w:b/>
          <w:bCs/>
          <w:sz w:val="24"/>
          <w:szCs w:val="24"/>
        </w:rPr>
        <w:t>基本情况</w:t>
      </w:r>
      <w:bookmarkEnd w:id="4339"/>
      <w:bookmarkEnd w:id="4340"/>
      <w:bookmarkEnd w:id="4341"/>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lang w:val="en-US" w:eastAsia="zh-CN"/>
        </w:rPr>
      </w:pPr>
      <w:bookmarkStart w:id="4342" w:name="_Toc15820"/>
      <w:bookmarkStart w:id="4343" w:name="_Toc22210"/>
      <w:r>
        <w:rPr>
          <w:rFonts w:hint="eastAsia" w:ascii="楷体_GB2312" w:hAnsi="楷体_GB2312" w:eastAsia="楷体_GB2312" w:cs="楷体_GB2312"/>
          <w:b/>
          <w:kern w:val="0"/>
          <w:sz w:val="24"/>
          <w:szCs w:val="24"/>
          <w:lang w:val="en-US" w:eastAsia="zh-CN"/>
        </w:rPr>
        <w:t>四、资金保管机构的基本情况</w:t>
      </w:r>
      <w:bookmarkEnd w:id="4342"/>
      <w:bookmarkEnd w:id="4343"/>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default"/>
          <w:lang w:val="en-US" w:eastAsia="zh-CN"/>
        </w:rPr>
      </w:pPr>
      <w:bookmarkStart w:id="4344" w:name="_Toc3204"/>
      <w:bookmarkStart w:id="4345" w:name="_Toc1161"/>
      <w:bookmarkStart w:id="4346" w:name="_Toc16921"/>
      <w:bookmarkStart w:id="4347" w:name="_Toc21792"/>
      <w:r>
        <w:rPr>
          <w:rFonts w:hint="eastAsia" w:ascii="楷体_GB2312" w:hAnsi="楷体_GB2312" w:eastAsia="楷体_GB2312" w:cs="楷体_GB2312"/>
          <w:b/>
          <w:kern w:val="0"/>
          <w:sz w:val="24"/>
          <w:szCs w:val="24"/>
          <w:lang w:val="en-US" w:eastAsia="zh-CN"/>
        </w:rPr>
        <w:t>五、资产服务机构的基本情况</w:t>
      </w:r>
      <w:r>
        <w:rPr>
          <w:rStyle w:val="48"/>
          <w:rFonts w:hint="eastAsia" w:ascii="楷体_GB2312" w:hAnsi="楷体_GB2312" w:eastAsia="楷体_GB2312" w:cs="楷体_GB2312"/>
          <w:b/>
          <w:kern w:val="0"/>
          <w:sz w:val="24"/>
          <w:szCs w:val="24"/>
          <w:lang w:val="en-US" w:eastAsia="zh-CN"/>
        </w:rPr>
        <w:footnoteReference w:id="84"/>
      </w:r>
      <w:r>
        <w:rPr>
          <w:rFonts w:hint="eastAsia" w:ascii="楷体_GB2312" w:hAnsi="楷体_GB2312" w:eastAsia="楷体_GB2312" w:cs="楷体_GB2312"/>
          <w:b/>
          <w:kern w:val="0"/>
          <w:sz w:val="24"/>
          <w:szCs w:val="24"/>
          <w:lang w:val="en-US" w:eastAsia="zh-CN"/>
        </w:rPr>
        <w:t>（如有）</w:t>
      </w:r>
      <w:bookmarkEnd w:id="4344"/>
      <w:bookmarkEnd w:id="4345"/>
      <w:bookmarkEnd w:id="4346"/>
      <w:bookmarkEnd w:id="4347"/>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lang w:val="en-US" w:eastAsia="zh-CN"/>
        </w:rPr>
      </w:pPr>
      <w:bookmarkStart w:id="4348" w:name="_Toc25635"/>
      <w:bookmarkStart w:id="4349" w:name="_Toc31777"/>
      <w:r>
        <w:rPr>
          <w:rFonts w:hint="eastAsia" w:ascii="楷体_GB2312" w:hAnsi="楷体_GB2312" w:eastAsia="楷体_GB2312" w:cs="楷体_GB2312"/>
          <w:b/>
          <w:kern w:val="0"/>
          <w:sz w:val="24"/>
          <w:szCs w:val="24"/>
          <w:lang w:val="en-US" w:eastAsia="zh-CN"/>
        </w:rPr>
        <w:t>六、资金监管机构的基本情况（如有）</w:t>
      </w:r>
      <w:bookmarkEnd w:id="4348"/>
      <w:bookmarkEnd w:id="4349"/>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kern w:val="0"/>
          <w:sz w:val="24"/>
          <w:szCs w:val="24"/>
          <w:lang w:val="en-US" w:eastAsia="zh-CN" w:bidi="ar-SA"/>
        </w:rPr>
      </w:pPr>
      <w:bookmarkStart w:id="4350" w:name="_Toc17015"/>
      <w:bookmarkStart w:id="4351" w:name="_Toc27431"/>
      <w:bookmarkStart w:id="4352" w:name="_Toc25977"/>
      <w:bookmarkStart w:id="4353" w:name="_Toc10302"/>
      <w:r>
        <w:rPr>
          <w:rFonts w:hint="eastAsia" w:ascii="楷体_GB2312" w:hAnsi="楷体_GB2312" w:eastAsia="楷体_GB2312" w:cs="楷体_GB2312"/>
          <w:b/>
          <w:kern w:val="0"/>
          <w:sz w:val="24"/>
          <w:szCs w:val="24"/>
          <w:lang w:val="en-US" w:eastAsia="zh-CN"/>
        </w:rPr>
        <w:t>七、主承销商的基本情况</w:t>
      </w:r>
      <w:bookmarkEnd w:id="4350"/>
      <w:bookmarkEnd w:id="4351"/>
      <w:bookmarkEnd w:id="4352"/>
      <w:bookmarkEnd w:id="4353"/>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lang w:val="en-US" w:eastAsia="zh-CN"/>
        </w:rPr>
      </w:pPr>
      <w:bookmarkStart w:id="4354" w:name="_Toc1581"/>
      <w:bookmarkStart w:id="4355" w:name="_Toc27195"/>
      <w:bookmarkStart w:id="4356" w:name="_Toc6098"/>
      <w:r>
        <w:rPr>
          <w:rFonts w:hint="eastAsia" w:ascii="楷体_GB2312" w:hAnsi="楷体_GB2312" w:eastAsia="楷体_GB2312" w:cs="楷体_GB2312"/>
          <w:b/>
          <w:kern w:val="0"/>
          <w:sz w:val="24"/>
          <w:szCs w:val="24"/>
          <w:lang w:val="en-US" w:eastAsia="zh-CN"/>
        </w:rPr>
        <w:t>八、律师事务所的基本情况</w:t>
      </w:r>
      <w:bookmarkEnd w:id="4354"/>
      <w:bookmarkEnd w:id="4355"/>
      <w:bookmarkEnd w:id="4356"/>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lang w:val="en-US" w:eastAsia="zh-CN"/>
        </w:rPr>
      </w:pPr>
      <w:bookmarkStart w:id="4357" w:name="_Toc29287"/>
      <w:bookmarkStart w:id="4358" w:name="_Toc5177"/>
      <w:bookmarkStart w:id="4359" w:name="_Toc29468"/>
      <w:r>
        <w:rPr>
          <w:rFonts w:hint="eastAsia" w:ascii="楷体_GB2312" w:hAnsi="楷体_GB2312" w:eastAsia="楷体_GB2312" w:cs="楷体_GB2312"/>
          <w:b/>
          <w:kern w:val="0"/>
          <w:sz w:val="24"/>
          <w:szCs w:val="24"/>
          <w:lang w:val="en-US" w:eastAsia="zh-CN"/>
        </w:rPr>
        <w:t>九、信用评级机构的基本情况（如有）</w:t>
      </w:r>
      <w:bookmarkEnd w:id="4357"/>
      <w:bookmarkEnd w:id="4358"/>
      <w:bookmarkEnd w:id="4359"/>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kern w:val="0"/>
          <w:sz w:val="24"/>
          <w:szCs w:val="24"/>
          <w:lang w:val="en-US" w:eastAsia="zh-CN"/>
        </w:rPr>
      </w:pPr>
      <w:bookmarkStart w:id="4360" w:name="_Toc15761"/>
      <w:bookmarkStart w:id="4361" w:name="_Toc9955"/>
      <w:bookmarkStart w:id="4362" w:name="_Toc9411"/>
      <w:r>
        <w:rPr>
          <w:rFonts w:hint="eastAsia" w:ascii="楷体_GB2312" w:hAnsi="楷体_GB2312" w:eastAsia="楷体_GB2312" w:cs="楷体_GB2312"/>
          <w:b/>
          <w:kern w:val="0"/>
          <w:sz w:val="24"/>
          <w:szCs w:val="24"/>
          <w:lang w:val="en-US" w:eastAsia="zh-CN"/>
        </w:rPr>
        <w:t>十、与相关机构的关系</w:t>
      </w:r>
      <w:bookmarkEnd w:id="4360"/>
      <w:bookmarkEnd w:id="4361"/>
      <w:bookmarkEnd w:id="4362"/>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jc w:val="both"/>
        <w:textAlignment w:val="auto"/>
        <w:outlineLvl w:val="9"/>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363" w:name="_Toc33"/>
      <w:bookmarkStart w:id="4364" w:name="_Toc26680"/>
      <w:bookmarkStart w:id="4365" w:name="_Toc28682"/>
      <w:bookmarkStart w:id="4366" w:name="_Toc3984"/>
      <w:bookmarkStart w:id="4367" w:name="_Toc24094"/>
      <w:r>
        <w:rPr>
          <w:rFonts w:hint="eastAsia" w:ascii="楷体_GB2312" w:hAnsi="楷体_GB2312" w:eastAsia="楷体_GB2312" w:cs="楷体_GB2312"/>
          <w:b/>
          <w:bCs/>
          <w:kern w:val="0"/>
          <w:sz w:val="30"/>
          <w:szCs w:val="30"/>
        </w:rPr>
        <w:t>基础资产情况及现金流预测分析</w:t>
      </w:r>
      <w:bookmarkEnd w:id="4363"/>
      <w:bookmarkEnd w:id="4364"/>
      <w:bookmarkEnd w:id="4365"/>
      <w:bookmarkEnd w:id="4366"/>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4368" w:name="_Toc13789"/>
      <w:bookmarkStart w:id="4369" w:name="_Toc3191"/>
      <w:bookmarkStart w:id="4370" w:name="_Toc31300"/>
      <w:r>
        <w:rPr>
          <w:rFonts w:hint="eastAsia" w:ascii="楷体_GB2312" w:hAnsi="楷体_GB2312" w:eastAsia="楷体_GB2312" w:cs="楷体_GB2312"/>
          <w:b/>
          <w:bCs/>
          <w:sz w:val="24"/>
          <w:szCs w:val="24"/>
        </w:rPr>
        <w:t>一、基础资产情况</w:t>
      </w:r>
      <w:bookmarkEnd w:id="4367"/>
      <w:bookmarkEnd w:id="4368"/>
      <w:bookmarkEnd w:id="4369"/>
      <w:bookmarkEnd w:id="4370"/>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（一）基础资产基本情况</w:t>
      </w:r>
    </w:p>
    <w:p>
      <w:pPr>
        <w:pStyle w:val="2"/>
        <w:keepNext w:val="0"/>
        <w:keepLines w:val="0"/>
        <w:pageBreakBefore w:val="0"/>
        <w:widowControl w:val="0"/>
        <w:kinsoku/>
        <w:wordWrap/>
        <w:topLinePunct w:val="0"/>
        <w:bidi w:val="0"/>
        <w:spacing w:before="144" w:beforeLines="50" w:after="144" w:afterLines="50" w:line="240" w:lineRule="atLeast"/>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（二）基础资产的形成和取得</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（三）基础资产的合法性</w:t>
      </w:r>
    </w:p>
    <w:p>
      <w:pPr>
        <w:pStyle w:val="2"/>
        <w:keepNext w:val="0"/>
        <w:keepLines w:val="0"/>
        <w:pageBreakBefore w:val="0"/>
        <w:widowControl w:val="0"/>
        <w:kinsoku/>
        <w:wordWrap/>
        <w:topLinePunct w:val="0"/>
        <w:bidi w:val="0"/>
        <w:spacing w:before="144" w:beforeLines="50" w:after="144" w:afterLines="50" w:line="240" w:lineRule="atLeast"/>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（四）基础资产合格标准</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（五）基础资产的管理与运营安排</w:t>
      </w:r>
    </w:p>
    <w:p>
      <w:pPr>
        <w:pStyle w:val="2"/>
        <w:keepNext w:val="0"/>
        <w:keepLines w:val="0"/>
        <w:pageBreakBefore w:val="0"/>
        <w:widowControl w:val="0"/>
        <w:kinsoku/>
        <w:wordWrap/>
        <w:topLinePunct w:val="0"/>
        <w:bidi w:val="0"/>
        <w:spacing w:before="144" w:beforeLines="50" w:after="144" w:afterLines="50" w:line="240" w:lineRule="atLeast"/>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（六）基础资产的总体信息与分布信息</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（七）基础资产尽职调查方法</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（八）基础资产集中度较高的债务人（如有）</w:t>
      </w:r>
    </w:p>
    <w:p>
      <w:pPr>
        <w:pStyle w:val="2"/>
        <w:keepNext w:val="0"/>
        <w:keepLines w:val="0"/>
        <w:pageBreakBefore w:val="0"/>
        <w:widowControl w:val="0"/>
        <w:kinsoku/>
        <w:wordWrap/>
        <w:topLinePunct w:val="0"/>
        <w:bidi w:val="0"/>
        <w:spacing w:before="144" w:beforeLines="50" w:after="144" w:afterLines="50" w:line="240" w:lineRule="atLeast"/>
        <w:rPr>
          <w:rFonts w:hint="eastAsia" w:ascii="Times New Roman" w:hAnsi="Times New Roman" w:eastAsia="楷体_GB2312" w:cs="Times New Roman"/>
          <w:b/>
          <w:i/>
          <w:color w:val="FF0000"/>
          <w:sz w:val="24"/>
          <w:szCs w:val="28"/>
          <w:u w:val="single"/>
          <w:lang w:val="en-US" w:eastAsia="zh-CN"/>
        </w:rPr>
      </w:pPr>
      <w:r>
        <w:rPr>
          <w:rFonts w:hint="eastAsia" w:ascii="Times New Roman" w:hAnsi="Times New Roman" w:eastAsia="楷体_GB2312" w:cs="Times New Roman"/>
          <w:b/>
          <w:i/>
          <w:color w:val="FF0000"/>
          <w:sz w:val="24"/>
          <w:szCs w:val="28"/>
          <w:u w:val="single"/>
          <w:lang w:val="en-US" w:eastAsia="zh-CN"/>
        </w:rPr>
        <w:t>包括但不限于</w:t>
      </w:r>
      <w:r>
        <w:rPr>
          <w:rFonts w:hint="eastAsia" w:ascii="Times New Roman" w:hAnsi="Times New Roman" w:eastAsia="楷体_GB2312" w:cs="Times New Roman"/>
          <w:b/>
          <w:bCs w:val="0"/>
          <w:i/>
          <w:snapToGrid/>
          <w:color w:val="FF0000"/>
          <w:kern w:val="0"/>
          <w:sz w:val="24"/>
          <w:szCs w:val="28"/>
          <w:u w:val="single"/>
          <w:lang w:val="en-US" w:eastAsia="zh-CN"/>
        </w:rPr>
        <w:t>集中度较高债务人</w:t>
      </w:r>
      <w:r>
        <w:rPr>
          <w:rFonts w:hint="eastAsia" w:ascii="Times New Roman" w:hAnsi="Times New Roman" w:eastAsia="楷体_GB2312" w:cs="Times New Roman"/>
          <w:b/>
          <w:i/>
          <w:color w:val="FF0000"/>
          <w:sz w:val="24"/>
          <w:szCs w:val="28"/>
          <w:u w:val="single"/>
          <w:lang w:val="en-US" w:eastAsia="zh-CN"/>
        </w:rPr>
        <w:t>的基本情况、主要经营和财务情况及资信评级情况。</w:t>
      </w:r>
      <w:r>
        <w:rPr>
          <w:rFonts w:hint="eastAsia" w:ascii="Times New Roman" w:hAnsi="Times New Roman" w:eastAsia="楷体_GB2312" w:cs="Times New Roman"/>
          <w:b/>
          <w:bCs w:val="0"/>
          <w:i/>
          <w:snapToGrid/>
          <w:color w:val="FF0000"/>
          <w:kern w:val="0"/>
          <w:sz w:val="24"/>
          <w:szCs w:val="28"/>
          <w:u w:val="single"/>
          <w:lang w:val="en-US" w:eastAsia="zh-CN"/>
        </w:rPr>
        <w:t>集中度较高的债务人</w:t>
      </w:r>
      <w:r>
        <w:rPr>
          <w:rFonts w:hint="eastAsia" w:ascii="Times New Roman" w:hAnsi="Times New Roman" w:eastAsia="楷体_GB2312" w:cs="Times New Roman"/>
          <w:b/>
          <w:i/>
          <w:color w:val="FF0000"/>
          <w:sz w:val="24"/>
          <w:szCs w:val="28"/>
          <w:u w:val="single"/>
          <w:lang w:val="en-US" w:eastAsia="zh-CN"/>
        </w:rPr>
        <w:t>指基础资产池所对应的单一债务人未偿还本金余额占比超过15%，或债务人及其关联方的未偿本金余额合计占比超过20%。</w:t>
      </w:r>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4371" w:name="_Toc6035"/>
      <w:bookmarkStart w:id="4372" w:name="_Toc10120"/>
      <w:bookmarkStart w:id="4373" w:name="_Toc31866"/>
      <w:bookmarkStart w:id="4374" w:name="_Toc11948"/>
      <w:r>
        <w:rPr>
          <w:rFonts w:hint="eastAsia" w:ascii="楷体_GB2312" w:hAnsi="楷体_GB2312" w:eastAsia="楷体_GB2312" w:cs="楷体_GB2312"/>
          <w:b/>
          <w:bCs/>
          <w:sz w:val="24"/>
          <w:szCs w:val="24"/>
        </w:rPr>
        <w:t>二、基础资产现金流形成机制及历史数据</w:t>
      </w:r>
      <w:bookmarkEnd w:id="4371"/>
      <w:bookmarkEnd w:id="4372"/>
      <w:bookmarkEnd w:id="4373"/>
      <w:bookmarkEnd w:id="4374"/>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4375" w:name="_Toc933"/>
      <w:r>
        <w:rPr>
          <w:rFonts w:hint="eastAsia" w:ascii="楷体_GB2312" w:hAnsi="楷体_GB2312" w:eastAsia="楷体_GB2312" w:cs="楷体_GB2312"/>
          <w:b/>
          <w:bCs/>
          <w:sz w:val="24"/>
          <w:szCs w:val="24"/>
        </w:rPr>
        <w:t>三、基础资产现金流预测分析、压力测试情况</w:t>
      </w:r>
      <w:bookmarkEnd w:id="4375"/>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jc w:val="both"/>
        <w:textAlignment w:val="auto"/>
        <w:outlineLvl w:val="9"/>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376" w:name="_Toc12868"/>
      <w:bookmarkStart w:id="4377" w:name="_Toc30828"/>
      <w:bookmarkStart w:id="4378" w:name="_Toc907"/>
      <w:bookmarkStart w:id="4379" w:name="_Toc7844"/>
      <w:r>
        <w:rPr>
          <w:rFonts w:hint="eastAsia" w:ascii="楷体_GB2312" w:hAnsi="楷体_GB2312" w:eastAsia="楷体_GB2312" w:cs="楷体_GB2312"/>
          <w:b/>
          <w:bCs/>
          <w:kern w:val="0"/>
          <w:sz w:val="30"/>
          <w:szCs w:val="30"/>
        </w:rPr>
        <w:t>现金流归集与管理机制、投资及分配机制</w:t>
      </w:r>
      <w:bookmarkEnd w:id="4376"/>
      <w:bookmarkEnd w:id="4377"/>
      <w:bookmarkEnd w:id="4378"/>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4380" w:name="_Toc23101"/>
      <w:bookmarkStart w:id="4381" w:name="_Toc2963"/>
      <w:bookmarkStart w:id="4382" w:name="_Toc22268"/>
      <w:r>
        <w:rPr>
          <w:rFonts w:hint="eastAsia" w:ascii="楷体_GB2312" w:hAnsi="楷体_GB2312" w:eastAsia="楷体_GB2312" w:cs="楷体_GB2312"/>
          <w:b/>
          <w:bCs/>
          <w:sz w:val="24"/>
          <w:szCs w:val="24"/>
        </w:rPr>
        <w:t>一、现金流的归集安排</w:t>
      </w:r>
      <w:bookmarkEnd w:id="4379"/>
      <w:bookmarkEnd w:id="4380"/>
      <w:bookmarkEnd w:id="4381"/>
      <w:bookmarkEnd w:id="4382"/>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4383" w:name="_Toc26"/>
      <w:bookmarkStart w:id="4384" w:name="_Toc817"/>
      <w:bookmarkStart w:id="4385" w:name="_Toc22967"/>
      <w:bookmarkStart w:id="4386" w:name="_Toc26715"/>
      <w:r>
        <w:rPr>
          <w:rFonts w:hint="eastAsia" w:ascii="楷体_GB2312" w:hAnsi="楷体_GB2312" w:eastAsia="楷体_GB2312" w:cs="楷体_GB2312"/>
          <w:b/>
          <w:bCs/>
          <w:sz w:val="24"/>
          <w:szCs w:val="24"/>
        </w:rPr>
        <w:t>二、现金流运用及投资安排</w:t>
      </w:r>
      <w:bookmarkEnd w:id="4383"/>
      <w:bookmarkEnd w:id="4384"/>
      <w:bookmarkEnd w:id="4385"/>
      <w:bookmarkEnd w:id="4386"/>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4387" w:name="_Toc30231"/>
      <w:bookmarkStart w:id="4388" w:name="_Toc31599"/>
      <w:bookmarkStart w:id="4389" w:name="_Toc3893"/>
      <w:bookmarkStart w:id="4390" w:name="_Toc28033"/>
      <w:r>
        <w:rPr>
          <w:rFonts w:hint="eastAsia" w:ascii="楷体_GB2312" w:hAnsi="楷体_GB2312" w:eastAsia="楷体_GB2312" w:cs="楷体_GB2312"/>
          <w:b/>
          <w:bCs/>
          <w:sz w:val="24"/>
          <w:szCs w:val="24"/>
        </w:rPr>
        <w:t>三、现金流分配机制</w:t>
      </w:r>
      <w:bookmarkEnd w:id="4387"/>
      <w:bookmarkEnd w:id="4388"/>
      <w:bookmarkEnd w:id="4389"/>
      <w:bookmarkEnd w:id="4390"/>
    </w:p>
    <w:p>
      <w:pPr>
        <w:pStyle w:val="2"/>
        <w:keepNext w:val="0"/>
        <w:keepLines w:val="0"/>
        <w:pageBreakBefore w:val="0"/>
        <w:widowControl w:val="0"/>
        <w:kinsoku/>
        <w:wordWrap/>
        <w:topLinePunct w:val="0"/>
        <w:bidi w:val="0"/>
        <w:spacing w:before="144" w:beforeLines="50" w:after="144" w:afterLines="50" w:line="240" w:lineRule="atLeast"/>
        <w:textAlignment w:val="auto"/>
        <w:rPr>
          <w:rFonts w:hint="eastAsia"/>
        </w:rPr>
      </w:pPr>
      <w:r>
        <w:rPr>
          <w:rFonts w:hint="eastAsia" w:ascii="Times New Roman" w:hAnsi="Times New Roman" w:eastAsia="楷体_GB2312" w:cs="Times New Roman"/>
          <w:b/>
          <w:bCs w:val="0"/>
          <w:i/>
          <w:color w:val="FF0000"/>
          <w:sz w:val="24"/>
          <w:szCs w:val="28"/>
          <w:u w:val="single"/>
          <w:lang w:val="en-US" w:eastAsia="zh-CN"/>
        </w:rPr>
        <w:t>应参照《信托合同》“9回收款的转付、核算与分配9.3信托账户内资金的核算与分配”的内容。</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240" w:lineRule="atLeast"/>
        <w:jc w:val="both"/>
        <w:textAlignment w:val="auto"/>
        <w:outlineLvl w:val="9"/>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391" w:name="_Toc9336"/>
      <w:bookmarkStart w:id="4392" w:name="_Toc9025"/>
      <w:bookmarkStart w:id="4393" w:name="_Toc24596"/>
      <w:bookmarkStart w:id="4394" w:name="_Toc7929"/>
      <w:r>
        <w:rPr>
          <w:rFonts w:hint="eastAsia" w:ascii="楷体_GB2312" w:hAnsi="楷体_GB2312" w:eastAsia="楷体_GB2312" w:cs="楷体_GB2312"/>
          <w:b/>
          <w:bCs/>
          <w:kern w:val="0"/>
          <w:sz w:val="30"/>
          <w:szCs w:val="30"/>
        </w:rPr>
        <w:t>风险自留的相关情况</w:t>
      </w:r>
      <w:bookmarkEnd w:id="4391"/>
      <w:bookmarkEnd w:id="4392"/>
      <w:bookmarkEnd w:id="4393"/>
      <w:bookmarkEnd w:id="4394"/>
    </w:p>
    <w:p>
      <w:pPr>
        <w:pStyle w:val="2"/>
        <w:keepNext w:val="0"/>
        <w:keepLines w:val="0"/>
        <w:pageBreakBefore w:val="0"/>
        <w:widowControl w:val="0"/>
        <w:kinsoku/>
        <w:wordWrap/>
        <w:topLinePunct w:val="0"/>
        <w:bidi w:val="0"/>
        <w:spacing w:before="144" w:beforeLines="50" w:after="144" w:afterLines="50" w:line="240" w:lineRule="atLeast"/>
        <w:textAlignment w:val="auto"/>
        <w:rPr>
          <w:rFonts w:hint="eastAsia" w:ascii="Times New Roman" w:hAnsi="Times New Roman" w:eastAsia="楷体_GB2312" w:cs="Times New Roman"/>
          <w:b w:val="0"/>
          <w:bCs/>
          <w:i w:val="0"/>
          <w:iCs/>
          <w:color w:val="auto"/>
          <w:sz w:val="24"/>
          <w:szCs w:val="28"/>
          <w:u w:val="none"/>
          <w:lang w:val="en-US" w:eastAsia="zh-CN"/>
        </w:rPr>
      </w:pPr>
      <w:r>
        <w:rPr>
          <w:rFonts w:hint="eastAsia" w:ascii="Times New Roman" w:hAnsi="Times New Roman" w:eastAsia="楷体_GB2312" w:cs="Times New Roman"/>
          <w:b/>
          <w:bCs w:val="0"/>
          <w:i w:val="0"/>
          <w:iCs/>
          <w:color w:val="FF0000"/>
          <w:sz w:val="24"/>
          <w:szCs w:val="28"/>
          <w:u w:val="none"/>
          <w:lang w:val="en-US" w:eastAsia="zh-CN"/>
        </w:rPr>
        <w:t>【发起机构拟不自持次级或发起机构未自持次级的情形】</w:t>
      </w:r>
      <w:r>
        <w:rPr>
          <w:rFonts w:hint="eastAsia" w:ascii="Times New Roman" w:hAnsi="Times New Roman" w:eastAsia="楷体_GB2312" w:cs="Times New Roman"/>
          <w:b w:val="0"/>
          <w:bCs/>
          <w:i w:val="0"/>
          <w:iCs/>
          <w:color w:val="auto"/>
          <w:sz w:val="24"/>
          <w:szCs w:val="28"/>
          <w:u w:val="none"/>
          <w:lang w:val="en-US" w:eastAsia="zh-CN"/>
        </w:rPr>
        <w:t>发起机构无风险自留。</w:t>
      </w:r>
    </w:p>
    <w:p>
      <w:pPr>
        <w:pStyle w:val="2"/>
        <w:keepNext w:val="0"/>
        <w:keepLines w:val="0"/>
        <w:pageBreakBefore w:val="0"/>
        <w:widowControl w:val="0"/>
        <w:kinsoku/>
        <w:wordWrap/>
        <w:topLinePunct w:val="0"/>
        <w:bidi w:val="0"/>
        <w:spacing w:before="144" w:beforeLines="50" w:after="144" w:afterLines="50" w:line="240" w:lineRule="atLeast"/>
        <w:textAlignment w:val="auto"/>
        <w:rPr>
          <w:rFonts w:hint="eastAsia" w:ascii="Times New Roman" w:hAnsi="Times New Roman" w:eastAsia="楷体_GB2312" w:cs="Times New Roman"/>
          <w:b w:val="0"/>
          <w:bCs/>
          <w:i w:val="0"/>
          <w:iCs/>
          <w:color w:val="auto"/>
          <w:sz w:val="24"/>
          <w:szCs w:val="28"/>
          <w:u w:val="none"/>
          <w:lang w:val="zh-CN" w:eastAsia="zh-CN"/>
        </w:rPr>
      </w:pPr>
      <w:r>
        <w:rPr>
          <w:rFonts w:hint="eastAsia" w:ascii="Times New Roman" w:hAnsi="Times New Roman" w:eastAsia="楷体_GB2312" w:cs="Times New Roman"/>
          <w:b/>
          <w:bCs w:val="0"/>
          <w:i w:val="0"/>
          <w:iCs/>
          <w:color w:val="FF0000"/>
          <w:sz w:val="24"/>
          <w:szCs w:val="28"/>
          <w:u w:val="none"/>
          <w:lang w:val="en-US" w:eastAsia="zh-CN"/>
        </w:rPr>
        <w:t>【本期发行涉及次级资产支持商业票据，发起机构拟自持全部次级的情形】</w:t>
      </w:r>
      <w:r>
        <w:rPr>
          <w:rFonts w:hint="eastAsia" w:ascii="Times New Roman" w:hAnsi="Times New Roman" w:eastAsia="楷体_GB2312" w:cs="Times New Roman"/>
          <w:b w:val="0"/>
          <w:bCs/>
          <w:i w:val="0"/>
          <w:iCs/>
          <w:color w:val="auto"/>
          <w:sz w:val="24"/>
          <w:szCs w:val="28"/>
          <w:u w:val="none"/>
          <w:lang w:val="en-US" w:eastAsia="zh-CN"/>
        </w:rPr>
        <w:t>次级资产支持商业票据计划由发起机构持有，发起机构最终实际持有的次级资产支持商业票据占本次发行总金额的比例是其风险自留的比例。</w:t>
      </w:r>
    </w:p>
    <w:p>
      <w:pPr>
        <w:pStyle w:val="2"/>
        <w:keepNext w:val="0"/>
        <w:keepLines w:val="0"/>
        <w:pageBreakBefore w:val="0"/>
        <w:widowControl w:val="0"/>
        <w:kinsoku/>
        <w:wordWrap/>
        <w:topLinePunct w:val="0"/>
        <w:bidi w:val="0"/>
        <w:spacing w:before="144" w:beforeLines="50" w:after="144" w:afterLines="50" w:line="240" w:lineRule="atLeast"/>
        <w:textAlignment w:val="auto"/>
        <w:rPr>
          <w:rFonts w:hint="eastAsia" w:ascii="Times New Roman" w:hAnsi="Times New Roman" w:eastAsia="楷体_GB2312" w:cs="Times New Roman"/>
          <w:b w:val="0"/>
          <w:bCs/>
          <w:i w:val="0"/>
          <w:iCs/>
          <w:color w:val="auto"/>
          <w:sz w:val="24"/>
          <w:szCs w:val="28"/>
          <w:u w:val="none"/>
          <w:lang w:val="zh-CN" w:eastAsia="zh-CN"/>
        </w:rPr>
      </w:pPr>
      <w:r>
        <w:rPr>
          <w:rFonts w:hint="eastAsia" w:ascii="Times New Roman" w:hAnsi="Times New Roman" w:eastAsia="楷体_GB2312" w:cs="Times New Roman"/>
          <w:b/>
          <w:bCs w:val="0"/>
          <w:i w:val="0"/>
          <w:iCs/>
          <w:color w:val="FF0000"/>
          <w:sz w:val="24"/>
          <w:szCs w:val="28"/>
          <w:u w:val="none"/>
          <w:lang w:val="en-US" w:eastAsia="zh-CN"/>
        </w:rPr>
        <w:t>【本期发行不涉及次级资产支持商业票据，发起机构已自持全部次级的情形】</w:t>
      </w:r>
      <w:r>
        <w:rPr>
          <w:rFonts w:hint="eastAsia" w:ascii="Times New Roman" w:hAnsi="Times New Roman" w:eastAsia="楷体_GB2312" w:cs="Times New Roman"/>
          <w:b w:val="0"/>
          <w:bCs/>
          <w:i w:val="0"/>
          <w:iCs/>
          <w:color w:val="auto"/>
          <w:sz w:val="24"/>
          <w:szCs w:val="28"/>
          <w:u w:val="none"/>
          <w:lang w:val="en-US" w:eastAsia="zh-CN"/>
        </w:rPr>
        <w:t>次级资产支持商业票据已由发起机构持有，发起机构实际持有的次级资产支持商业票据占信托项下所有定向资产支持商业票据未偿本金余额的比例是其风险自留的比例。</w:t>
      </w:r>
    </w:p>
    <w:p>
      <w:pPr>
        <w:pStyle w:val="2"/>
        <w:keepNext w:val="0"/>
        <w:keepLines w:val="0"/>
        <w:pageBreakBefore w:val="0"/>
        <w:widowControl w:val="0"/>
        <w:kinsoku/>
        <w:wordWrap/>
        <w:topLinePunct w:val="0"/>
        <w:bidi w:val="0"/>
        <w:spacing w:before="144" w:beforeLines="50" w:after="144" w:afterLines="50" w:line="240" w:lineRule="atLeast"/>
        <w:textAlignment w:val="auto"/>
        <w:rPr>
          <w:rFonts w:hint="eastAsia" w:ascii="Times New Roman" w:hAnsi="Times New Roman" w:eastAsia="楷体_GB2312" w:cs="Times New Roman"/>
          <w:b/>
          <w:bCs w:val="0"/>
          <w:i/>
          <w:color w:val="FF0000"/>
          <w:sz w:val="24"/>
          <w:szCs w:val="28"/>
          <w:u w:val="single"/>
          <w:lang w:val="en-US" w:eastAsia="zh-CN"/>
        </w:rPr>
      </w:pPr>
      <w:r>
        <w:rPr>
          <w:rFonts w:hint="eastAsia" w:ascii="Times New Roman" w:hAnsi="Times New Roman" w:eastAsia="楷体_GB2312" w:cs="Times New Roman"/>
          <w:b/>
          <w:bCs w:val="0"/>
          <w:i/>
          <w:color w:val="FF0000"/>
          <w:sz w:val="24"/>
          <w:szCs w:val="28"/>
          <w:u w:val="single"/>
          <w:lang w:val="en-US" w:eastAsia="zh-CN"/>
        </w:rPr>
        <w:t>风险自留情况的相关表述应根据项目实际情况进行调整。</w:t>
      </w:r>
    </w:p>
    <w:p>
      <w:pPr>
        <w:pStyle w:val="2"/>
        <w:keepNext w:val="0"/>
        <w:keepLines w:val="0"/>
        <w:pageBreakBefore w:val="0"/>
        <w:widowControl w:val="0"/>
        <w:kinsoku/>
        <w:wordWrap/>
        <w:topLinePunct w:val="0"/>
        <w:bidi w:val="0"/>
        <w:spacing w:before="144" w:beforeLines="50" w:after="144" w:afterLines="50" w:line="240" w:lineRule="atLeast"/>
        <w:ind w:left="0" w:leftChars="0" w:firstLine="0" w:firstLineChars="0"/>
        <w:textAlignment w:val="auto"/>
        <w:rPr>
          <w:rFonts w:hint="eastAsia" w:ascii="楷体_GB2312" w:hAnsi="楷体_GB2312" w:eastAsia="楷体_GB2312" w:cs="楷体_GB2312"/>
          <w:color w:val="000000"/>
          <w:kern w:val="0"/>
          <w:szCs w:val="24"/>
        </w:rPr>
      </w:pPr>
      <w:r>
        <w:rPr>
          <w:rFonts w:hint="eastAsia" w:ascii="楷体_GB2312" w:hAnsi="楷体_GB2312" w:eastAsia="楷体_GB2312" w:cs="楷体_GB2312"/>
        </w:rPr>
        <w:br w:type="page"/>
      </w:r>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395" w:name="_Toc8778"/>
      <w:bookmarkStart w:id="4396" w:name="_Toc11470"/>
      <w:bookmarkStart w:id="4397" w:name="_Toc15913"/>
      <w:bookmarkStart w:id="4398" w:name="_Toc19650"/>
      <w:bookmarkStart w:id="4399" w:name="_Toc5977"/>
      <w:r>
        <w:rPr>
          <w:rFonts w:hint="eastAsia" w:ascii="楷体_GB2312" w:hAnsi="楷体_GB2312" w:eastAsia="楷体_GB2312" w:cs="楷体_GB2312"/>
          <w:b/>
          <w:bCs/>
          <w:kern w:val="0"/>
          <w:sz w:val="30"/>
          <w:szCs w:val="30"/>
        </w:rPr>
        <w:t>募集资金用途及合法合规性声明</w:t>
      </w:r>
      <w:bookmarkEnd w:id="4395"/>
      <w:bookmarkEnd w:id="4396"/>
      <w:bookmarkEnd w:id="4397"/>
      <w:bookmarkEnd w:id="4398"/>
    </w:p>
    <w:p>
      <w:pPr>
        <w:keepNext w:val="0"/>
        <w:keepLines w:val="0"/>
        <w:pageBreakBefore w:val="0"/>
        <w:widowControl w:val="0"/>
        <w:kinsoku/>
        <w:wordWrap/>
        <w:topLinePunct w:val="0"/>
        <w:bidi w:val="0"/>
        <w:spacing w:before="144" w:beforeLines="50" w:after="144" w:afterLines="50" w:line="240" w:lineRule="atLeast"/>
        <w:ind w:firstLine="482"/>
        <w:jc w:val="both"/>
        <w:textAlignment w:val="auto"/>
        <w:outlineLvl w:val="2"/>
        <w:rPr>
          <w:rFonts w:hint="eastAsia" w:ascii="楷体_GB2312" w:hAnsi="楷体_GB2312" w:eastAsia="楷体_GB2312" w:cs="楷体_GB2312"/>
          <w:b/>
          <w:bCs/>
          <w:snapToGrid/>
          <w:sz w:val="24"/>
          <w:szCs w:val="24"/>
          <w:lang w:eastAsia="zh-CN"/>
        </w:rPr>
      </w:pPr>
      <w:bookmarkStart w:id="4400" w:name="_Toc4104"/>
      <w:bookmarkStart w:id="4401" w:name="_Toc582"/>
      <w:r>
        <w:rPr>
          <w:rFonts w:hint="eastAsia" w:ascii="楷体_GB2312" w:hAnsi="楷体_GB2312" w:eastAsia="楷体_GB2312" w:cs="楷体_GB2312"/>
          <w:b/>
          <w:bCs/>
          <w:snapToGrid/>
          <w:sz w:val="24"/>
          <w:szCs w:val="24"/>
          <w:lang w:eastAsia="zh-CN"/>
        </w:rPr>
        <w:t>一、募集资金用途</w:t>
      </w:r>
      <w:bookmarkEnd w:id="4399"/>
      <w:bookmarkEnd w:id="4400"/>
      <w:bookmarkEnd w:id="4401"/>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0"/>
        <w:jc w:val="both"/>
        <w:textAlignment w:val="auto"/>
        <w:rPr>
          <w:rFonts w:hint="eastAsia" w:ascii="楷体_GB2312" w:hAnsi="楷体_GB2312" w:eastAsia="楷体_GB2312" w:cs="楷体_GB2312"/>
          <w:snapToGrid w:val="0"/>
          <w:sz w:val="24"/>
          <w:szCs w:val="24"/>
          <w:lang w:val="en-US" w:eastAsia="zh-CN"/>
        </w:rPr>
      </w:pPr>
      <w:r>
        <w:rPr>
          <w:rFonts w:hint="eastAsia" w:ascii="楷体_GB2312" w:hAnsi="楷体_GB2312" w:eastAsia="楷体_GB2312" w:cs="楷体_GB2312"/>
          <w:b/>
          <w:bCs/>
          <w:snapToGrid w:val="0"/>
          <w:color w:val="FF0000"/>
          <w:kern w:val="0"/>
          <w:sz w:val="24"/>
          <w:szCs w:val="24"/>
          <w:lang w:eastAsia="zh-CN"/>
        </w:rPr>
        <w:t>【</w:t>
      </w:r>
      <w:r>
        <w:rPr>
          <w:rFonts w:hint="eastAsia" w:ascii="楷体_GB2312" w:hAnsi="楷体_GB2312" w:eastAsia="楷体_GB2312" w:cs="楷体_GB2312"/>
          <w:b/>
          <w:bCs/>
          <w:snapToGrid w:val="0"/>
          <w:color w:val="FF0000"/>
          <w:kern w:val="0"/>
          <w:sz w:val="24"/>
          <w:szCs w:val="24"/>
          <w:lang w:val="en-US" w:eastAsia="zh-CN"/>
        </w:rPr>
        <w:t>信托项下首次发行或受让信托受益权后再次发行的情形</w:t>
      </w:r>
      <w:r>
        <w:rPr>
          <w:rFonts w:hint="eastAsia" w:ascii="楷体_GB2312" w:hAnsi="楷体_GB2312" w:eastAsia="楷体_GB2312" w:cs="楷体_GB2312"/>
          <w:b/>
          <w:bCs/>
          <w:snapToGrid w:val="0"/>
          <w:color w:val="FF0000"/>
          <w:kern w:val="0"/>
          <w:sz w:val="24"/>
          <w:szCs w:val="24"/>
          <w:lang w:eastAsia="zh-CN"/>
        </w:rPr>
        <w:t>】</w:t>
      </w:r>
      <w:r>
        <w:rPr>
          <w:rFonts w:hint="eastAsia" w:ascii="楷体_GB2312" w:hAnsi="楷体_GB2312" w:eastAsia="楷体_GB2312" w:cs="楷体_GB2312"/>
          <w:b w:val="0"/>
          <w:bCs w:val="0"/>
          <w:snapToGrid w:val="0"/>
          <w:color w:val="auto"/>
          <w:kern w:val="0"/>
          <w:sz w:val="24"/>
          <w:szCs w:val="24"/>
          <w:lang w:val="en-US" w:eastAsia="zh-CN"/>
        </w:rPr>
        <w:t>本期</w:t>
      </w:r>
      <w:r>
        <w:rPr>
          <w:rFonts w:hint="eastAsia" w:ascii="楷体_GB2312" w:hAnsi="楷体_GB2312" w:eastAsia="楷体_GB2312" w:cs="楷体_GB2312"/>
          <w:snapToGrid w:val="0"/>
          <w:sz w:val="24"/>
          <w:szCs w:val="24"/>
        </w:rPr>
        <w:t>资产支持</w:t>
      </w:r>
      <w:r>
        <w:rPr>
          <w:rFonts w:hint="eastAsia" w:ascii="楷体_GB2312" w:hAnsi="楷体_GB2312" w:eastAsia="楷体_GB2312" w:cs="楷体_GB2312"/>
          <w:snapToGrid w:val="0"/>
          <w:sz w:val="24"/>
          <w:szCs w:val="24"/>
          <w:lang w:val="en-US" w:eastAsia="zh-CN"/>
        </w:rPr>
        <w:t>商业</w:t>
      </w:r>
      <w:r>
        <w:rPr>
          <w:rFonts w:hint="eastAsia" w:ascii="楷体_GB2312" w:hAnsi="楷体_GB2312" w:eastAsia="楷体_GB2312" w:cs="楷体_GB2312"/>
          <w:snapToGrid w:val="0"/>
          <w:sz w:val="24"/>
          <w:szCs w:val="24"/>
        </w:rPr>
        <w:t>票据</w:t>
      </w:r>
      <w:r>
        <w:rPr>
          <w:rFonts w:hint="eastAsia" w:ascii="楷体_GB2312" w:hAnsi="楷体_GB2312" w:eastAsia="楷体_GB2312" w:cs="楷体_GB2312"/>
          <w:snapToGrid w:val="0"/>
          <w:sz w:val="24"/>
          <w:szCs w:val="24"/>
          <w:lang w:val="en-US" w:eastAsia="zh-CN"/>
        </w:rPr>
        <w:t>拟发行</w:t>
      </w:r>
      <w:r>
        <w:rPr>
          <w:rFonts w:hint="eastAsia" w:ascii="楷体_GB2312" w:hAnsi="楷体_GB2312" w:eastAsia="楷体_GB2312" w:cs="楷体_GB2312"/>
          <w:snapToGrid w:val="0"/>
          <w:color w:val="auto"/>
          <w:kern w:val="0"/>
          <w:sz w:val="24"/>
          <w:szCs w:val="24"/>
          <w:u w:val="none"/>
          <w:lang w:val="en-US" w:eastAsia="zh-CN"/>
        </w:rPr>
        <w:t>【  】</w:t>
      </w:r>
      <w:r>
        <w:rPr>
          <w:rFonts w:hint="eastAsia" w:ascii="楷体_GB2312" w:hAnsi="楷体_GB2312" w:eastAsia="楷体_GB2312" w:cs="楷体_GB2312"/>
          <w:snapToGrid w:val="0"/>
          <w:sz w:val="24"/>
          <w:szCs w:val="24"/>
          <w:lang w:val="en-US" w:eastAsia="zh-CN"/>
        </w:rPr>
        <w:t>亿元，</w:t>
      </w:r>
      <w:r>
        <w:rPr>
          <w:rFonts w:hint="eastAsia" w:ascii="楷体_GB2312" w:hAnsi="楷体_GB2312" w:eastAsia="楷体_GB2312" w:cs="楷体_GB2312"/>
          <w:snapToGrid w:val="0"/>
          <w:sz w:val="24"/>
          <w:szCs w:val="24"/>
        </w:rPr>
        <w:t>募集</w:t>
      </w:r>
      <w:r>
        <w:rPr>
          <w:rFonts w:hint="eastAsia" w:ascii="楷体_GB2312" w:hAnsi="楷体_GB2312" w:eastAsia="楷体_GB2312" w:cs="楷体_GB2312"/>
          <w:snapToGrid w:val="0"/>
          <w:sz w:val="24"/>
          <w:szCs w:val="24"/>
          <w:lang w:val="en-US" w:eastAsia="zh-CN"/>
        </w:rPr>
        <w:t>资金</w:t>
      </w:r>
      <w:r>
        <w:rPr>
          <w:rFonts w:hint="eastAsia" w:ascii="楷体_GB2312" w:hAnsi="楷体_GB2312" w:eastAsia="楷体_GB2312" w:cs="楷体_GB2312"/>
          <w:snapToGrid w:val="0"/>
          <w:sz w:val="24"/>
          <w:szCs w:val="24"/>
        </w:rPr>
        <w:t>用于</w:t>
      </w:r>
      <w:r>
        <w:rPr>
          <w:rFonts w:hint="eastAsia" w:ascii="楷体_GB2312" w:hAnsi="楷体_GB2312" w:eastAsia="楷体_GB2312" w:cs="楷体_GB2312"/>
          <w:snapToGrid w:val="0"/>
          <w:sz w:val="24"/>
          <w:szCs w:val="24"/>
          <w:lang w:eastAsia="zh-CN"/>
        </w:rPr>
        <w:t>【</w:t>
      </w:r>
      <w:r>
        <w:rPr>
          <w:rFonts w:hint="eastAsia" w:ascii="楷体_GB2312" w:hAnsi="楷体_GB2312" w:eastAsia="楷体_GB2312" w:cs="楷体_GB2312"/>
          <w:i w:val="0"/>
          <w:iCs w:val="0"/>
          <w:snapToGrid w:val="0"/>
          <w:sz w:val="24"/>
          <w:szCs w:val="24"/>
          <w:u w:val="single"/>
        </w:rPr>
        <w:t>补充</w:t>
      </w:r>
      <w:r>
        <w:rPr>
          <w:rFonts w:hint="eastAsia" w:ascii="楷体_GB2312" w:hAnsi="楷体_GB2312" w:eastAsia="楷体_GB2312" w:cs="楷体_GB2312"/>
          <w:i w:val="0"/>
          <w:iCs w:val="0"/>
          <w:snapToGrid w:val="0"/>
          <w:sz w:val="24"/>
          <w:szCs w:val="24"/>
          <w:u w:val="single"/>
          <w:lang w:val="en-US" w:eastAsia="zh-CN"/>
        </w:rPr>
        <w:t>发起机构流动</w:t>
      </w:r>
      <w:r>
        <w:rPr>
          <w:rFonts w:hint="eastAsia" w:ascii="楷体_GB2312" w:hAnsi="楷体_GB2312" w:eastAsia="楷体_GB2312" w:cs="楷体_GB2312"/>
          <w:i w:val="0"/>
          <w:iCs w:val="0"/>
          <w:snapToGrid w:val="0"/>
          <w:sz w:val="24"/>
          <w:szCs w:val="24"/>
          <w:u w:val="single"/>
        </w:rPr>
        <w:t>资金</w:t>
      </w:r>
      <w:r>
        <w:rPr>
          <w:rFonts w:hint="eastAsia" w:ascii="楷体_GB2312" w:hAnsi="楷体_GB2312" w:eastAsia="楷体_GB2312" w:cs="楷体_GB2312"/>
          <w:i w:val="0"/>
          <w:iCs w:val="0"/>
          <w:snapToGrid w:val="0"/>
          <w:sz w:val="24"/>
          <w:szCs w:val="24"/>
          <w:u w:val="single"/>
          <w:lang w:val="en-US" w:eastAsia="zh-CN"/>
        </w:rPr>
        <w:t>/偿还发起机构有息负债/项目投资/（其他）</w:t>
      </w:r>
      <w:r>
        <w:rPr>
          <w:rFonts w:hint="eastAsia" w:ascii="楷体_GB2312" w:hAnsi="楷体_GB2312" w:eastAsia="楷体_GB2312" w:cs="楷体_GB2312"/>
          <w:snapToGrid w:val="0"/>
          <w:sz w:val="24"/>
          <w:szCs w:val="24"/>
          <w:lang w:eastAsia="zh-CN"/>
        </w:rPr>
        <w:t>】</w:t>
      </w:r>
      <w:r>
        <w:rPr>
          <w:rFonts w:hint="eastAsia" w:ascii="楷体_GB2312" w:hAnsi="楷体_GB2312" w:eastAsia="楷体_GB2312" w:cs="楷体_GB2312"/>
          <w:snapToGrid w:val="0"/>
          <w:sz w:val="24"/>
          <w:szCs w:val="24"/>
        </w:rPr>
        <w:t>，符合国家宏观调控和产业政策要求。</w:t>
      </w:r>
      <w:r>
        <w:rPr>
          <w:rFonts w:hint="eastAsia" w:ascii="楷体_GB2312" w:hAnsi="楷体_GB2312" w:eastAsia="楷体_GB2312" w:cs="楷体_GB2312"/>
          <w:snapToGrid w:val="0"/>
          <w:sz w:val="24"/>
          <w:szCs w:val="24"/>
          <w:lang w:val="en-US" w:eastAsia="zh-CN"/>
        </w:rPr>
        <w:t xml:space="preserve"> </w:t>
      </w:r>
    </w:p>
    <w:p>
      <w:pPr>
        <w:pStyle w:val="110"/>
        <w:keepNext w:val="0"/>
        <w:keepLines w:val="0"/>
        <w:pageBreakBefore w:val="0"/>
        <w:widowControl w:val="0"/>
        <w:kinsoku/>
        <w:wordWrap/>
        <w:topLinePunct w:val="0"/>
        <w:bidi w:val="0"/>
        <w:spacing w:before="144" w:beforeLines="50" w:after="144" w:afterLines="50" w:line="240" w:lineRule="atLeast"/>
        <w:ind w:firstLine="482" w:firstLineChars="200"/>
        <w:textAlignment w:val="auto"/>
        <w:rPr>
          <w:rFonts w:hint="eastAsia" w:ascii="楷体_GB2312" w:hAnsi="楷体_GB2312" w:eastAsia="楷体_GB2312" w:cs="楷体_GB2312"/>
          <w:snapToGrid w:val="0"/>
          <w:sz w:val="24"/>
          <w:szCs w:val="24"/>
        </w:rPr>
      </w:pPr>
      <w:r>
        <w:rPr>
          <w:rFonts w:hint="eastAsia" w:ascii="楷体_GB2312" w:hAnsi="楷体_GB2312" w:eastAsia="楷体_GB2312" w:cs="楷体_GB2312"/>
          <w:b/>
          <w:bCs/>
          <w:snapToGrid w:val="0"/>
          <w:color w:val="FF0000"/>
          <w:kern w:val="0"/>
          <w:sz w:val="24"/>
          <w:szCs w:val="24"/>
          <w:lang w:eastAsia="zh-CN"/>
        </w:rPr>
        <w:t>【</w:t>
      </w:r>
      <w:r>
        <w:rPr>
          <w:rFonts w:hint="eastAsia" w:hAnsi="楷体_GB2312" w:cs="楷体_GB2312"/>
          <w:b/>
          <w:bCs/>
          <w:snapToGrid w:val="0"/>
          <w:color w:val="FF0000"/>
          <w:kern w:val="0"/>
          <w:sz w:val="24"/>
          <w:szCs w:val="24"/>
          <w:lang w:val="en-US" w:eastAsia="zh-CN"/>
        </w:rPr>
        <w:t>滚动发行不涉及追加交付资产的情形</w:t>
      </w:r>
      <w:r>
        <w:rPr>
          <w:rFonts w:hint="eastAsia" w:ascii="楷体_GB2312" w:hAnsi="楷体_GB2312" w:eastAsia="楷体_GB2312" w:cs="楷体_GB2312"/>
          <w:b/>
          <w:bCs/>
          <w:snapToGrid w:val="0"/>
          <w:color w:val="FF0000"/>
          <w:kern w:val="0"/>
          <w:sz w:val="24"/>
          <w:szCs w:val="24"/>
          <w:lang w:eastAsia="zh-CN"/>
        </w:rPr>
        <w:t>】</w:t>
      </w:r>
      <w:r>
        <w:rPr>
          <w:rFonts w:hint="eastAsia" w:ascii="楷体_GB2312" w:hAnsi="楷体_GB2312" w:eastAsia="楷体_GB2312" w:cs="楷体_GB2312"/>
          <w:b w:val="0"/>
          <w:bCs w:val="0"/>
          <w:snapToGrid w:val="0"/>
          <w:color w:val="auto"/>
          <w:kern w:val="0"/>
          <w:sz w:val="24"/>
          <w:szCs w:val="24"/>
          <w:lang w:val="en-US" w:eastAsia="zh-CN"/>
        </w:rPr>
        <w:t>本期</w:t>
      </w:r>
      <w:r>
        <w:rPr>
          <w:rFonts w:hint="eastAsia" w:ascii="楷体_GB2312" w:hAnsi="楷体_GB2312" w:eastAsia="楷体_GB2312" w:cs="楷体_GB2312"/>
          <w:snapToGrid w:val="0"/>
          <w:sz w:val="24"/>
          <w:szCs w:val="24"/>
        </w:rPr>
        <w:t>资产支持</w:t>
      </w:r>
      <w:r>
        <w:rPr>
          <w:rFonts w:hint="eastAsia" w:ascii="楷体_GB2312" w:hAnsi="楷体_GB2312" w:eastAsia="楷体_GB2312" w:cs="楷体_GB2312"/>
          <w:snapToGrid w:val="0"/>
          <w:sz w:val="24"/>
          <w:szCs w:val="24"/>
          <w:lang w:val="en-US" w:eastAsia="zh-CN"/>
        </w:rPr>
        <w:t>商业</w:t>
      </w:r>
      <w:r>
        <w:rPr>
          <w:rFonts w:hint="eastAsia" w:ascii="楷体_GB2312" w:hAnsi="楷体_GB2312" w:eastAsia="楷体_GB2312" w:cs="楷体_GB2312"/>
          <w:snapToGrid w:val="0"/>
          <w:sz w:val="24"/>
          <w:szCs w:val="24"/>
        </w:rPr>
        <w:t>票据</w:t>
      </w:r>
      <w:r>
        <w:rPr>
          <w:rFonts w:hint="eastAsia" w:hAnsi="楷体_GB2312" w:cs="楷体_GB2312"/>
          <w:snapToGrid w:val="0"/>
          <w:sz w:val="24"/>
          <w:szCs w:val="24"/>
          <w:lang w:val="en-US" w:eastAsia="zh-CN"/>
        </w:rPr>
        <w:t>拟发行</w:t>
      </w:r>
      <w:r>
        <w:rPr>
          <w:rFonts w:hint="eastAsia" w:ascii="楷体_GB2312" w:hAnsi="楷体_GB2312" w:eastAsia="楷体_GB2312" w:cs="楷体_GB2312"/>
          <w:snapToGrid w:val="0"/>
          <w:color w:val="auto"/>
          <w:kern w:val="0"/>
          <w:sz w:val="24"/>
          <w:szCs w:val="24"/>
          <w:u w:val="none"/>
          <w:lang w:val="en-US" w:eastAsia="zh-CN"/>
        </w:rPr>
        <w:t>【  】</w:t>
      </w:r>
      <w:r>
        <w:rPr>
          <w:rFonts w:hint="eastAsia" w:ascii="楷体_GB2312" w:hAnsi="楷体_GB2312" w:eastAsia="楷体_GB2312" w:cs="楷体_GB2312"/>
          <w:snapToGrid w:val="0"/>
          <w:sz w:val="24"/>
          <w:szCs w:val="24"/>
          <w:lang w:val="en-US" w:eastAsia="zh-CN"/>
        </w:rPr>
        <w:t>亿元，</w:t>
      </w:r>
      <w:r>
        <w:rPr>
          <w:rFonts w:hint="eastAsia" w:ascii="楷体_GB2312" w:hAnsi="楷体_GB2312" w:eastAsia="楷体_GB2312" w:cs="楷体_GB2312"/>
          <w:snapToGrid w:val="0"/>
          <w:sz w:val="24"/>
          <w:szCs w:val="24"/>
        </w:rPr>
        <w:t>募集</w:t>
      </w:r>
      <w:r>
        <w:rPr>
          <w:rFonts w:hint="eastAsia" w:ascii="楷体_GB2312" w:hAnsi="楷体_GB2312" w:eastAsia="楷体_GB2312" w:cs="楷体_GB2312"/>
          <w:snapToGrid w:val="0"/>
          <w:sz w:val="24"/>
          <w:szCs w:val="24"/>
          <w:lang w:val="en-US" w:eastAsia="zh-CN"/>
        </w:rPr>
        <w:t>资金</w:t>
      </w:r>
      <w:r>
        <w:rPr>
          <w:rFonts w:hint="eastAsia" w:hAnsi="楷体_GB2312" w:cs="楷体_GB2312"/>
          <w:snapToGrid w:val="0"/>
          <w:sz w:val="24"/>
          <w:szCs w:val="24"/>
          <w:lang w:val="en-US" w:eastAsia="zh-CN"/>
        </w:rPr>
        <w:t>拟</w:t>
      </w:r>
      <w:r>
        <w:rPr>
          <w:rFonts w:hint="eastAsia" w:ascii="楷体_GB2312" w:hAnsi="楷体_GB2312" w:eastAsia="楷体_GB2312" w:cs="楷体_GB2312"/>
          <w:snapToGrid w:val="0"/>
          <w:sz w:val="24"/>
          <w:szCs w:val="24"/>
        </w:rPr>
        <w:t>用于</w:t>
      </w:r>
      <w:r>
        <w:rPr>
          <w:rFonts w:hint="eastAsia" w:ascii="楷体_GB2312" w:hAnsi="楷体_GB2312" w:eastAsia="楷体_GB2312" w:cs="楷体_GB2312"/>
          <w:snapToGrid w:val="0"/>
          <w:sz w:val="24"/>
          <w:szCs w:val="24"/>
          <w:lang w:eastAsia="zh-CN"/>
        </w:rPr>
        <w:t>【</w:t>
      </w:r>
      <w:r>
        <w:rPr>
          <w:rFonts w:hint="eastAsia" w:hAnsi="楷体_GB2312" w:cs="楷体_GB2312"/>
          <w:i w:val="0"/>
          <w:iCs w:val="0"/>
          <w:snapToGrid w:val="0"/>
          <w:sz w:val="24"/>
          <w:szCs w:val="24"/>
          <w:u w:val="single"/>
          <w:lang w:val="en-US" w:eastAsia="zh-CN"/>
        </w:rPr>
        <w:t>支付</w:t>
      </w:r>
      <w:r>
        <w:rPr>
          <w:rFonts w:hint="eastAsia" w:ascii="楷体_GB2312" w:hAnsi="楷体_GB2312" w:eastAsia="楷体_GB2312" w:cs="楷体_GB2312"/>
          <w:i w:val="0"/>
          <w:iCs w:val="0"/>
          <w:snapToGrid w:val="0"/>
          <w:sz w:val="24"/>
          <w:szCs w:val="24"/>
          <w:u w:val="single"/>
        </w:rPr>
        <w:t>信托受益权</w:t>
      </w:r>
      <w:r>
        <w:rPr>
          <w:rFonts w:hint="eastAsia" w:hAnsi="楷体_GB2312" w:cs="楷体_GB2312"/>
          <w:i w:val="0"/>
          <w:iCs w:val="0"/>
          <w:snapToGrid w:val="0"/>
          <w:sz w:val="24"/>
          <w:szCs w:val="24"/>
          <w:u w:val="single"/>
          <w:lang w:val="en-US" w:eastAsia="zh-CN"/>
        </w:rPr>
        <w:t>转让对价</w:t>
      </w:r>
      <w:r>
        <w:rPr>
          <w:rFonts w:hint="eastAsia" w:ascii="楷体_GB2312" w:hAnsi="楷体_GB2312" w:eastAsia="楷体_GB2312" w:cs="楷体_GB2312"/>
          <w:i w:val="0"/>
          <w:iCs w:val="0"/>
          <w:snapToGrid w:val="0"/>
          <w:sz w:val="24"/>
          <w:szCs w:val="24"/>
          <w:u w:val="single"/>
          <w:lang w:val="en-US" w:eastAsia="zh-CN"/>
        </w:rPr>
        <w:t>/（其他）</w:t>
      </w:r>
      <w:r>
        <w:rPr>
          <w:rFonts w:hint="eastAsia" w:ascii="楷体_GB2312" w:hAnsi="楷体_GB2312" w:eastAsia="楷体_GB2312" w:cs="楷体_GB2312"/>
          <w:snapToGrid w:val="0"/>
          <w:sz w:val="24"/>
          <w:szCs w:val="24"/>
          <w:lang w:eastAsia="zh-CN"/>
        </w:rPr>
        <w:t>】</w:t>
      </w:r>
      <w:r>
        <w:rPr>
          <w:rFonts w:hint="eastAsia" w:hAnsi="楷体_GB2312" w:cs="楷体_GB2312"/>
          <w:snapToGrid w:val="0"/>
          <w:sz w:val="24"/>
          <w:szCs w:val="24"/>
          <w:lang w:eastAsia="zh-CN"/>
        </w:rPr>
        <w:t>，</w:t>
      </w:r>
      <w:r>
        <w:rPr>
          <w:rFonts w:hint="eastAsia" w:ascii="楷体_GB2312" w:hAnsi="楷体_GB2312" w:eastAsia="楷体_GB2312" w:cs="楷体_GB2312"/>
          <w:snapToGrid w:val="0"/>
          <w:sz w:val="24"/>
          <w:szCs w:val="24"/>
        </w:rPr>
        <w:t>符合国家宏观调控和产业政策要求。</w:t>
      </w:r>
    </w:p>
    <w:p>
      <w:pPr>
        <w:pStyle w:val="110"/>
        <w:keepNext w:val="0"/>
        <w:keepLines w:val="0"/>
        <w:pageBreakBefore w:val="0"/>
        <w:widowControl w:val="0"/>
        <w:kinsoku/>
        <w:wordWrap/>
        <w:topLinePunct w:val="0"/>
        <w:bidi w:val="0"/>
        <w:spacing w:before="144" w:beforeLines="50" w:after="144" w:afterLines="50" w:line="240" w:lineRule="atLeast"/>
        <w:ind w:firstLine="482" w:firstLineChars="200"/>
        <w:textAlignment w:val="auto"/>
      </w:pPr>
      <w:r>
        <w:rPr>
          <w:rFonts w:hint="eastAsia" w:ascii="楷体_GB2312" w:hAnsi="楷体_GB2312" w:eastAsia="楷体_GB2312" w:cs="楷体_GB2312"/>
          <w:b/>
          <w:bCs/>
          <w:snapToGrid w:val="0"/>
          <w:color w:val="FF0000"/>
          <w:kern w:val="0"/>
          <w:sz w:val="24"/>
          <w:szCs w:val="24"/>
          <w:lang w:eastAsia="zh-CN"/>
        </w:rPr>
        <w:t>【</w:t>
      </w:r>
      <w:r>
        <w:rPr>
          <w:rFonts w:hint="eastAsia" w:hAnsi="楷体_GB2312" w:cs="楷体_GB2312"/>
          <w:b/>
          <w:bCs/>
          <w:snapToGrid w:val="0"/>
          <w:color w:val="FF0000"/>
          <w:kern w:val="0"/>
          <w:sz w:val="24"/>
          <w:szCs w:val="24"/>
          <w:lang w:val="en-US" w:eastAsia="zh-CN"/>
        </w:rPr>
        <w:t>滚动发行涉及追加交付资产的情形</w:t>
      </w:r>
      <w:r>
        <w:rPr>
          <w:rFonts w:hint="eastAsia" w:ascii="楷体_GB2312" w:hAnsi="楷体_GB2312" w:eastAsia="楷体_GB2312" w:cs="楷体_GB2312"/>
          <w:b/>
          <w:bCs/>
          <w:snapToGrid w:val="0"/>
          <w:color w:val="FF0000"/>
          <w:kern w:val="0"/>
          <w:sz w:val="24"/>
          <w:szCs w:val="24"/>
          <w:lang w:eastAsia="zh-CN"/>
        </w:rPr>
        <w:t>】</w:t>
      </w:r>
      <w:r>
        <w:rPr>
          <w:rFonts w:hint="eastAsia" w:ascii="楷体_GB2312" w:hAnsi="楷体_GB2312" w:eastAsia="楷体_GB2312" w:cs="楷体_GB2312"/>
          <w:b w:val="0"/>
          <w:bCs w:val="0"/>
          <w:snapToGrid w:val="0"/>
          <w:color w:val="auto"/>
          <w:kern w:val="0"/>
          <w:sz w:val="24"/>
          <w:szCs w:val="24"/>
          <w:lang w:val="en-US" w:eastAsia="zh-CN"/>
        </w:rPr>
        <w:t>本期</w:t>
      </w:r>
      <w:r>
        <w:rPr>
          <w:rFonts w:hint="eastAsia" w:ascii="楷体_GB2312" w:hAnsi="楷体_GB2312" w:eastAsia="楷体_GB2312" w:cs="楷体_GB2312"/>
          <w:snapToGrid w:val="0"/>
          <w:sz w:val="24"/>
          <w:szCs w:val="24"/>
        </w:rPr>
        <w:t>资产支持</w:t>
      </w:r>
      <w:r>
        <w:rPr>
          <w:rFonts w:hint="eastAsia" w:ascii="楷体_GB2312" w:hAnsi="楷体_GB2312" w:eastAsia="楷体_GB2312" w:cs="楷体_GB2312"/>
          <w:snapToGrid w:val="0"/>
          <w:sz w:val="24"/>
          <w:szCs w:val="24"/>
          <w:lang w:val="en-US" w:eastAsia="zh-CN"/>
        </w:rPr>
        <w:t>商业</w:t>
      </w:r>
      <w:r>
        <w:rPr>
          <w:rFonts w:hint="eastAsia" w:ascii="楷体_GB2312" w:hAnsi="楷体_GB2312" w:eastAsia="楷体_GB2312" w:cs="楷体_GB2312"/>
          <w:snapToGrid w:val="0"/>
          <w:sz w:val="24"/>
          <w:szCs w:val="24"/>
        </w:rPr>
        <w:t>票据</w:t>
      </w:r>
      <w:r>
        <w:rPr>
          <w:rFonts w:hint="eastAsia" w:hAnsi="楷体_GB2312" w:cs="楷体_GB2312"/>
          <w:snapToGrid w:val="0"/>
          <w:sz w:val="24"/>
          <w:szCs w:val="24"/>
          <w:lang w:val="en-US" w:eastAsia="zh-CN"/>
        </w:rPr>
        <w:t>拟发行</w:t>
      </w:r>
      <w:r>
        <w:rPr>
          <w:rFonts w:hint="eastAsia" w:ascii="楷体_GB2312" w:hAnsi="楷体_GB2312" w:eastAsia="楷体_GB2312" w:cs="楷体_GB2312"/>
          <w:snapToGrid w:val="0"/>
          <w:color w:val="auto"/>
          <w:kern w:val="0"/>
          <w:sz w:val="24"/>
          <w:szCs w:val="24"/>
          <w:u w:val="none"/>
          <w:lang w:val="en-US" w:eastAsia="zh-CN"/>
        </w:rPr>
        <w:t>【  】</w:t>
      </w:r>
      <w:r>
        <w:rPr>
          <w:rFonts w:hint="eastAsia" w:ascii="楷体_GB2312" w:hAnsi="楷体_GB2312" w:eastAsia="楷体_GB2312" w:cs="楷体_GB2312"/>
          <w:snapToGrid w:val="0"/>
          <w:sz w:val="24"/>
          <w:szCs w:val="24"/>
          <w:lang w:val="en-US" w:eastAsia="zh-CN"/>
        </w:rPr>
        <w:t>亿元，</w:t>
      </w:r>
      <w:r>
        <w:rPr>
          <w:rFonts w:hint="eastAsia" w:hAnsi="楷体_GB2312" w:cs="楷体_GB2312"/>
          <w:snapToGrid w:val="0"/>
          <w:sz w:val="24"/>
          <w:szCs w:val="24"/>
          <w:lang w:val="en-US" w:eastAsia="zh-CN"/>
        </w:rPr>
        <w:t>其中</w:t>
      </w:r>
      <w:r>
        <w:rPr>
          <w:rFonts w:hint="eastAsia" w:ascii="楷体_GB2312" w:hAnsi="楷体_GB2312" w:eastAsia="楷体_GB2312" w:cs="楷体_GB2312"/>
          <w:snapToGrid w:val="0"/>
          <w:color w:val="auto"/>
          <w:kern w:val="0"/>
          <w:sz w:val="24"/>
          <w:szCs w:val="24"/>
          <w:u w:val="none"/>
          <w:lang w:val="en-US" w:eastAsia="zh-CN"/>
        </w:rPr>
        <w:t>【  】</w:t>
      </w:r>
      <w:r>
        <w:rPr>
          <w:rFonts w:hint="eastAsia" w:ascii="楷体_GB2312" w:hAnsi="楷体_GB2312" w:eastAsia="楷体_GB2312" w:cs="楷体_GB2312"/>
          <w:snapToGrid w:val="0"/>
          <w:sz w:val="24"/>
          <w:szCs w:val="24"/>
          <w:lang w:val="en-US" w:eastAsia="zh-CN"/>
        </w:rPr>
        <w:t>亿元</w:t>
      </w:r>
      <w:r>
        <w:rPr>
          <w:rFonts w:hint="eastAsia" w:hAnsi="楷体_GB2312" w:cs="楷体_GB2312"/>
          <w:snapToGrid w:val="0"/>
          <w:sz w:val="24"/>
          <w:szCs w:val="24"/>
          <w:lang w:val="en-US" w:eastAsia="zh-CN"/>
        </w:rPr>
        <w:t>拟</w:t>
      </w:r>
      <w:r>
        <w:rPr>
          <w:rFonts w:hint="eastAsia" w:ascii="楷体_GB2312" w:hAnsi="楷体_GB2312" w:eastAsia="楷体_GB2312" w:cs="楷体_GB2312"/>
          <w:snapToGrid w:val="0"/>
          <w:sz w:val="24"/>
          <w:szCs w:val="24"/>
        </w:rPr>
        <w:t>用于</w:t>
      </w:r>
      <w:r>
        <w:rPr>
          <w:rFonts w:hint="eastAsia" w:ascii="楷体_GB2312" w:hAnsi="楷体_GB2312" w:eastAsia="楷体_GB2312" w:cs="楷体_GB2312"/>
          <w:snapToGrid w:val="0"/>
          <w:sz w:val="24"/>
          <w:szCs w:val="24"/>
          <w:lang w:eastAsia="zh-CN"/>
        </w:rPr>
        <w:t>【</w:t>
      </w:r>
      <w:r>
        <w:rPr>
          <w:rFonts w:hint="eastAsia" w:hAnsi="楷体_GB2312" w:cs="楷体_GB2312"/>
          <w:i w:val="0"/>
          <w:iCs w:val="0"/>
          <w:snapToGrid w:val="0"/>
          <w:sz w:val="24"/>
          <w:szCs w:val="24"/>
          <w:u w:val="single"/>
          <w:lang w:val="en-US" w:eastAsia="zh-CN"/>
        </w:rPr>
        <w:t>支付</w:t>
      </w:r>
      <w:r>
        <w:rPr>
          <w:rFonts w:hint="eastAsia" w:ascii="楷体_GB2312" w:hAnsi="楷体_GB2312" w:eastAsia="楷体_GB2312" w:cs="楷体_GB2312"/>
          <w:i w:val="0"/>
          <w:iCs w:val="0"/>
          <w:snapToGrid w:val="0"/>
          <w:sz w:val="24"/>
          <w:szCs w:val="24"/>
          <w:u w:val="single"/>
        </w:rPr>
        <w:t>信托受益权</w:t>
      </w:r>
      <w:r>
        <w:rPr>
          <w:rFonts w:hint="eastAsia" w:hAnsi="楷体_GB2312" w:cs="楷体_GB2312"/>
          <w:i w:val="0"/>
          <w:iCs w:val="0"/>
          <w:snapToGrid w:val="0"/>
          <w:sz w:val="24"/>
          <w:szCs w:val="24"/>
          <w:u w:val="single"/>
          <w:lang w:val="en-US" w:eastAsia="zh-CN"/>
        </w:rPr>
        <w:t>转让对价</w:t>
      </w:r>
      <w:r>
        <w:rPr>
          <w:rFonts w:hint="eastAsia" w:ascii="楷体_GB2312" w:hAnsi="楷体_GB2312" w:eastAsia="楷体_GB2312" w:cs="楷体_GB2312"/>
          <w:i w:val="0"/>
          <w:iCs w:val="0"/>
          <w:snapToGrid w:val="0"/>
          <w:sz w:val="24"/>
          <w:szCs w:val="24"/>
          <w:u w:val="single"/>
          <w:lang w:val="en-US" w:eastAsia="zh-CN"/>
        </w:rPr>
        <w:t>/（其他）</w:t>
      </w:r>
      <w:r>
        <w:rPr>
          <w:rFonts w:hint="eastAsia" w:ascii="楷体_GB2312" w:hAnsi="楷体_GB2312" w:eastAsia="楷体_GB2312" w:cs="楷体_GB2312"/>
          <w:snapToGrid w:val="0"/>
          <w:sz w:val="24"/>
          <w:szCs w:val="24"/>
          <w:lang w:eastAsia="zh-CN"/>
        </w:rPr>
        <w:t>】</w:t>
      </w:r>
      <w:r>
        <w:rPr>
          <w:rFonts w:hint="eastAsia" w:ascii="楷体_GB2312" w:hAnsi="楷体_GB2312" w:eastAsia="楷体_GB2312" w:cs="楷体_GB2312"/>
          <w:snapToGrid w:val="0"/>
          <w:sz w:val="24"/>
          <w:szCs w:val="24"/>
        </w:rPr>
        <w:t>，</w:t>
      </w:r>
      <w:r>
        <w:rPr>
          <w:rFonts w:hint="eastAsia" w:ascii="楷体_GB2312" w:hAnsi="楷体_GB2312" w:eastAsia="楷体_GB2312" w:cs="楷体_GB2312"/>
          <w:snapToGrid w:val="0"/>
          <w:color w:val="auto"/>
          <w:kern w:val="0"/>
          <w:sz w:val="24"/>
          <w:szCs w:val="24"/>
          <w:u w:val="none"/>
          <w:lang w:val="en-US" w:eastAsia="zh-CN"/>
        </w:rPr>
        <w:t>【  】</w:t>
      </w:r>
      <w:r>
        <w:rPr>
          <w:rFonts w:hint="eastAsia" w:ascii="楷体_GB2312" w:hAnsi="楷体_GB2312" w:eastAsia="楷体_GB2312" w:cs="楷体_GB2312"/>
          <w:snapToGrid w:val="0"/>
          <w:sz w:val="24"/>
          <w:szCs w:val="24"/>
          <w:lang w:val="en-US" w:eastAsia="zh-CN"/>
        </w:rPr>
        <w:t>亿元</w:t>
      </w:r>
      <w:r>
        <w:rPr>
          <w:rFonts w:hint="eastAsia" w:hAnsi="楷体_GB2312" w:cs="楷体_GB2312"/>
          <w:snapToGrid w:val="0"/>
          <w:sz w:val="24"/>
          <w:szCs w:val="24"/>
          <w:lang w:val="en-US" w:eastAsia="zh-CN"/>
        </w:rPr>
        <w:t>涉及</w:t>
      </w:r>
      <w:r>
        <w:rPr>
          <w:rFonts w:hint="eastAsia" w:ascii="楷体_GB2312" w:hAnsi="楷体_GB2312" w:eastAsia="楷体_GB2312" w:cs="楷体_GB2312"/>
          <w:snapToGrid w:val="0"/>
          <w:sz w:val="24"/>
          <w:szCs w:val="24"/>
        </w:rPr>
        <w:t>追加交付</w:t>
      </w:r>
      <w:r>
        <w:rPr>
          <w:rFonts w:hint="eastAsia" w:hAnsi="楷体_GB2312" w:cs="楷体_GB2312"/>
          <w:snapToGrid w:val="0"/>
          <w:sz w:val="24"/>
          <w:szCs w:val="24"/>
          <w:lang w:val="en-US" w:eastAsia="zh-CN"/>
        </w:rPr>
        <w:t>资产</w:t>
      </w:r>
      <w:r>
        <w:rPr>
          <w:rFonts w:hint="eastAsia" w:hAnsi="楷体_GB2312" w:cs="楷体_GB2312"/>
          <w:snapToGrid w:val="0"/>
          <w:sz w:val="24"/>
          <w:szCs w:val="24"/>
          <w:lang w:eastAsia="zh-CN"/>
        </w:rPr>
        <w:t>，</w:t>
      </w:r>
      <w:r>
        <w:rPr>
          <w:rFonts w:hint="eastAsia" w:hAnsi="楷体_GB2312" w:cs="楷体_GB2312"/>
          <w:snapToGrid w:val="0"/>
          <w:sz w:val="24"/>
          <w:szCs w:val="24"/>
          <w:lang w:val="en-US" w:eastAsia="zh-CN"/>
        </w:rPr>
        <w:t>拟</w:t>
      </w:r>
      <w:r>
        <w:rPr>
          <w:rFonts w:hint="eastAsia" w:ascii="楷体_GB2312" w:hAnsi="楷体_GB2312" w:eastAsia="楷体_GB2312" w:cs="楷体_GB2312"/>
          <w:snapToGrid w:val="0"/>
          <w:sz w:val="24"/>
          <w:szCs w:val="24"/>
        </w:rPr>
        <w:t>用于</w:t>
      </w:r>
      <w:r>
        <w:rPr>
          <w:rFonts w:hint="eastAsia" w:ascii="楷体_GB2312" w:hAnsi="楷体_GB2312" w:eastAsia="楷体_GB2312" w:cs="楷体_GB2312"/>
          <w:snapToGrid w:val="0"/>
          <w:sz w:val="24"/>
          <w:szCs w:val="24"/>
          <w:lang w:eastAsia="zh-CN"/>
        </w:rPr>
        <w:t>【</w:t>
      </w:r>
      <w:r>
        <w:rPr>
          <w:rFonts w:hint="eastAsia" w:ascii="楷体_GB2312" w:hAnsi="楷体_GB2312" w:eastAsia="楷体_GB2312" w:cs="楷体_GB2312"/>
          <w:i w:val="0"/>
          <w:iCs w:val="0"/>
          <w:snapToGrid w:val="0"/>
          <w:sz w:val="24"/>
          <w:szCs w:val="24"/>
          <w:u w:val="single"/>
        </w:rPr>
        <w:t>补充</w:t>
      </w:r>
      <w:r>
        <w:rPr>
          <w:rFonts w:hint="eastAsia" w:hAnsi="楷体_GB2312" w:cs="楷体_GB2312"/>
          <w:i w:val="0"/>
          <w:iCs w:val="0"/>
          <w:snapToGrid w:val="0"/>
          <w:sz w:val="24"/>
          <w:szCs w:val="24"/>
          <w:u w:val="single"/>
          <w:lang w:val="en-US" w:eastAsia="zh-CN"/>
        </w:rPr>
        <w:t>发起机构</w:t>
      </w:r>
      <w:r>
        <w:rPr>
          <w:rFonts w:hint="eastAsia" w:ascii="楷体_GB2312" w:hAnsi="楷体_GB2312" w:eastAsia="楷体_GB2312" w:cs="楷体_GB2312"/>
          <w:i w:val="0"/>
          <w:iCs w:val="0"/>
          <w:snapToGrid w:val="0"/>
          <w:sz w:val="24"/>
          <w:szCs w:val="24"/>
          <w:u w:val="single"/>
          <w:lang w:val="en-US" w:eastAsia="zh-CN"/>
        </w:rPr>
        <w:t>流动</w:t>
      </w:r>
      <w:r>
        <w:rPr>
          <w:rFonts w:hint="eastAsia" w:ascii="楷体_GB2312" w:hAnsi="楷体_GB2312" w:eastAsia="楷体_GB2312" w:cs="楷体_GB2312"/>
          <w:i w:val="0"/>
          <w:iCs w:val="0"/>
          <w:snapToGrid w:val="0"/>
          <w:sz w:val="24"/>
          <w:szCs w:val="24"/>
          <w:u w:val="single"/>
        </w:rPr>
        <w:t>资金</w:t>
      </w:r>
      <w:r>
        <w:rPr>
          <w:rFonts w:hint="eastAsia" w:ascii="楷体_GB2312" w:hAnsi="楷体_GB2312" w:eastAsia="楷体_GB2312" w:cs="楷体_GB2312"/>
          <w:i w:val="0"/>
          <w:iCs w:val="0"/>
          <w:snapToGrid w:val="0"/>
          <w:sz w:val="24"/>
          <w:szCs w:val="24"/>
          <w:u w:val="single"/>
          <w:lang w:val="en-US" w:eastAsia="zh-CN"/>
        </w:rPr>
        <w:t>/偿还</w:t>
      </w:r>
      <w:r>
        <w:rPr>
          <w:rFonts w:hint="eastAsia" w:hAnsi="楷体_GB2312" w:cs="楷体_GB2312"/>
          <w:i w:val="0"/>
          <w:iCs w:val="0"/>
          <w:snapToGrid w:val="0"/>
          <w:sz w:val="24"/>
          <w:szCs w:val="24"/>
          <w:u w:val="single"/>
          <w:lang w:val="en-US" w:eastAsia="zh-CN"/>
        </w:rPr>
        <w:t>发起机构</w:t>
      </w:r>
      <w:r>
        <w:rPr>
          <w:rFonts w:hint="eastAsia" w:ascii="楷体_GB2312" w:hAnsi="楷体_GB2312" w:eastAsia="楷体_GB2312" w:cs="楷体_GB2312"/>
          <w:i w:val="0"/>
          <w:iCs w:val="0"/>
          <w:snapToGrid w:val="0"/>
          <w:sz w:val="24"/>
          <w:szCs w:val="24"/>
          <w:u w:val="single"/>
          <w:lang w:val="en-US" w:eastAsia="zh-CN"/>
        </w:rPr>
        <w:t>有息负债/项目投资/（其他）</w:t>
      </w:r>
      <w:r>
        <w:rPr>
          <w:rFonts w:hint="eastAsia" w:ascii="楷体_GB2312" w:hAnsi="楷体_GB2312" w:eastAsia="楷体_GB2312" w:cs="楷体_GB2312"/>
          <w:snapToGrid w:val="0"/>
          <w:sz w:val="24"/>
          <w:szCs w:val="24"/>
          <w:lang w:eastAsia="zh-CN"/>
        </w:rPr>
        <w:t>】</w:t>
      </w:r>
      <w:r>
        <w:rPr>
          <w:rFonts w:hint="eastAsia" w:hAnsi="楷体_GB2312" w:cs="楷体_GB2312"/>
          <w:snapToGrid w:val="0"/>
          <w:sz w:val="24"/>
          <w:szCs w:val="24"/>
          <w:lang w:eastAsia="zh-CN"/>
        </w:rPr>
        <w:t>，</w:t>
      </w:r>
      <w:r>
        <w:rPr>
          <w:rFonts w:hint="eastAsia" w:ascii="楷体_GB2312" w:hAnsi="楷体_GB2312" w:eastAsia="楷体_GB2312" w:cs="楷体_GB2312"/>
          <w:snapToGrid w:val="0"/>
          <w:sz w:val="24"/>
          <w:szCs w:val="24"/>
        </w:rPr>
        <w:t>符合国家宏观调控和产业政策要求。</w:t>
      </w:r>
    </w:p>
    <w:p>
      <w:pPr>
        <w:keepNext w:val="0"/>
        <w:keepLines w:val="0"/>
        <w:pageBreakBefore w:val="0"/>
        <w:widowControl w:val="0"/>
        <w:kinsoku/>
        <w:wordWrap/>
        <w:topLinePunct w:val="0"/>
        <w:bidi w:val="0"/>
        <w:spacing w:before="144" w:beforeLines="50" w:after="144" w:afterLines="50" w:line="240" w:lineRule="atLeast"/>
        <w:ind w:firstLine="482"/>
        <w:jc w:val="both"/>
        <w:textAlignment w:val="auto"/>
        <w:outlineLvl w:val="2"/>
        <w:rPr>
          <w:rFonts w:hint="eastAsia" w:ascii="楷体_GB2312" w:hAnsi="楷体_GB2312" w:eastAsia="楷体_GB2312" w:cs="楷体_GB2312"/>
          <w:b/>
          <w:bCs/>
          <w:snapToGrid/>
          <w:sz w:val="24"/>
          <w:szCs w:val="24"/>
          <w:lang w:eastAsia="zh-CN"/>
        </w:rPr>
      </w:pPr>
      <w:bookmarkStart w:id="4402" w:name="_Toc27886"/>
      <w:bookmarkStart w:id="4403" w:name="_Toc2727"/>
      <w:bookmarkStart w:id="4404" w:name="_Toc25988"/>
      <w:r>
        <w:rPr>
          <w:rFonts w:hint="eastAsia" w:ascii="楷体_GB2312" w:hAnsi="楷体_GB2312" w:eastAsia="楷体_GB2312" w:cs="楷体_GB2312"/>
          <w:b/>
          <w:bCs/>
          <w:snapToGrid/>
          <w:sz w:val="24"/>
          <w:szCs w:val="24"/>
          <w:lang w:eastAsia="zh-CN"/>
        </w:rPr>
        <w:t>二、承诺</w:t>
      </w:r>
      <w:bookmarkEnd w:id="4402"/>
      <w:bookmarkEnd w:id="4403"/>
      <w:bookmarkEnd w:id="4404"/>
    </w:p>
    <w:p>
      <w:pPr>
        <w:pStyle w:val="176"/>
        <w:keepNext w:val="0"/>
        <w:keepLines w:val="0"/>
        <w:pageBreakBefore w:val="0"/>
        <w:widowControl w:val="0"/>
        <w:kinsoku/>
        <w:wordWrap/>
        <w:topLinePunct w:val="0"/>
        <w:bidi w:val="0"/>
        <w:snapToGrid w:val="0"/>
        <w:spacing w:before="144" w:beforeLines="50" w:after="144" w:afterLines="50" w:line="240" w:lineRule="atLeast"/>
        <w:ind w:firstLine="48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spacing w:val="0"/>
        </w:rPr>
        <w:t>在本期资产支持</w:t>
      </w:r>
      <w:r>
        <w:rPr>
          <w:rFonts w:hint="eastAsia" w:ascii="楷体_GB2312" w:hAnsi="楷体_GB2312" w:eastAsia="楷体_GB2312" w:cs="楷体_GB2312"/>
          <w:snapToGrid w:val="0"/>
          <w:spacing w:val="0"/>
          <w:lang w:val="en-US" w:eastAsia="zh-CN"/>
        </w:rPr>
        <w:t>商业</w:t>
      </w:r>
      <w:r>
        <w:rPr>
          <w:rFonts w:hint="eastAsia" w:ascii="楷体_GB2312" w:hAnsi="楷体_GB2312" w:eastAsia="楷体_GB2312" w:cs="楷体_GB2312"/>
          <w:snapToGrid w:val="0"/>
          <w:spacing w:val="0"/>
        </w:rPr>
        <w:t>票据存续期</w:t>
      </w:r>
      <w:r>
        <w:rPr>
          <w:rFonts w:hint="eastAsia" w:ascii="楷体_GB2312" w:hAnsi="楷体_GB2312" w:eastAsia="楷体_GB2312" w:cs="楷体_GB2312"/>
          <w:snapToGrid w:val="0"/>
          <w:spacing w:val="0"/>
          <w:lang w:val="en-US" w:eastAsia="zh-CN"/>
        </w:rPr>
        <w:t>间</w:t>
      </w:r>
      <w:r>
        <w:rPr>
          <w:rFonts w:hint="eastAsia" w:ascii="楷体_GB2312" w:hAnsi="楷体_GB2312" w:eastAsia="楷体_GB2312" w:cs="楷体_GB2312"/>
          <w:snapToGrid w:val="0"/>
          <w:spacing w:val="0"/>
        </w:rPr>
        <w:t>变更资金用途前及时在中国银行间市场交易商协会综合业务和信息服务平台（简称综合服务平台）向投资人定向披露有关信息。</w:t>
      </w:r>
    </w:p>
    <w:p>
      <w:pPr>
        <w:pStyle w:val="110"/>
        <w:keepNext w:val="0"/>
        <w:keepLines w:val="0"/>
        <w:pageBreakBefore w:val="0"/>
        <w:widowControl w:val="0"/>
        <w:kinsoku/>
        <w:wordWrap/>
        <w:topLinePunct w:val="0"/>
        <w:bidi w:val="0"/>
        <w:spacing w:before="144" w:beforeLines="50" w:after="144" w:afterLines="50" w:line="240" w:lineRule="atLeast"/>
        <w:ind w:firstLine="480" w:firstLineChars="200"/>
        <w:textAlignment w:val="auto"/>
        <w:rPr>
          <w:rFonts w:hint="eastAsia" w:ascii="楷体_GB2312" w:hAnsi="楷体_GB2312" w:eastAsia="楷体_GB2312" w:cs="楷体_GB2312"/>
        </w:rPr>
      </w:pPr>
      <w:r>
        <w:rPr>
          <w:rFonts w:hint="eastAsia" w:ascii="楷体_GB2312" w:hAnsi="楷体_GB2312" w:eastAsia="楷体_GB2312" w:cs="楷体_GB2312"/>
          <w:snapToGrid w:val="0"/>
          <w:spacing w:val="0"/>
        </w:rPr>
        <w:t>本期募集资金</w:t>
      </w:r>
      <w:r>
        <w:rPr>
          <w:rFonts w:hint="eastAsia" w:hAnsi="楷体_GB2312" w:cs="楷体_GB2312"/>
          <w:snapToGrid w:val="0"/>
          <w:spacing w:val="0"/>
          <w:lang w:val="en-US" w:eastAsia="zh-CN"/>
        </w:rPr>
        <w:t>用途</w:t>
      </w:r>
      <w:r>
        <w:rPr>
          <w:rFonts w:hint="eastAsia" w:ascii="楷体_GB2312" w:hAnsi="楷体_GB2312" w:eastAsia="楷体_GB2312" w:cs="楷体_GB2312"/>
          <w:snapToGrid w:val="0"/>
          <w:spacing w:val="0"/>
        </w:rPr>
        <w:t>符合国家</w:t>
      </w:r>
      <w:r>
        <w:rPr>
          <w:rFonts w:hint="eastAsia" w:hAnsi="楷体_GB2312" w:cs="楷体_GB2312"/>
          <w:snapToGrid w:val="0"/>
          <w:spacing w:val="0"/>
          <w:lang w:val="en-US" w:eastAsia="zh-CN"/>
        </w:rPr>
        <w:t>法律法规及相关政策要求</w:t>
      </w:r>
      <w:r>
        <w:rPr>
          <w:rFonts w:hint="eastAsia" w:ascii="楷体_GB2312" w:hAnsi="楷体_GB2312" w:eastAsia="楷体_GB2312" w:cs="楷体_GB2312"/>
          <w:snapToGrid w:val="0"/>
          <w:spacing w:val="0"/>
        </w:rPr>
        <w:t>，</w:t>
      </w:r>
      <w:r>
        <w:rPr>
          <w:rFonts w:hint="eastAsia" w:ascii="楷体_GB2312" w:hAnsi="楷体_GB2312" w:eastAsia="楷体_GB2312" w:cs="楷体_GB2312"/>
        </w:rPr>
        <w:t>按照实需原则用于生产经营活动，</w:t>
      </w:r>
      <w:r>
        <w:rPr>
          <w:rFonts w:hint="eastAsia" w:hAnsi="楷体_GB2312" w:cs="楷体_GB2312"/>
          <w:lang w:val="en-US" w:eastAsia="zh-CN"/>
        </w:rPr>
        <w:t>不</w:t>
      </w:r>
      <w:r>
        <w:rPr>
          <w:rFonts w:hint="eastAsia" w:ascii="楷体_GB2312" w:hAnsi="楷体_GB2312" w:eastAsia="楷体_GB2312" w:cs="楷体_GB2312"/>
        </w:rPr>
        <w:t>用于套利、脱实向虚。</w:t>
      </w:r>
      <w:r>
        <w:rPr>
          <w:rFonts w:hint="eastAsia" w:hAnsi="楷体_GB2312" w:cs="楷体_GB2312"/>
          <w:snapToGrid w:val="0"/>
          <w:spacing w:val="0"/>
          <w:lang w:val="en-US" w:eastAsia="zh-CN"/>
        </w:rPr>
        <w:t>不</w:t>
      </w:r>
      <w:r>
        <w:rPr>
          <w:rFonts w:hint="eastAsia"/>
        </w:rPr>
        <w:t>用于归还金融子公司的有息负债、对金融子公司出资</w:t>
      </w:r>
      <w:r>
        <w:rPr>
          <w:rFonts w:hint="eastAsia"/>
          <w:lang w:eastAsia="zh-CN"/>
        </w:rPr>
        <w:t>，</w:t>
      </w:r>
      <w:r>
        <w:rPr>
          <w:rFonts w:hint="eastAsia"/>
          <w:lang w:val="en-US" w:eastAsia="zh-CN"/>
        </w:rPr>
        <w:t>不</w:t>
      </w:r>
      <w:r>
        <w:rPr>
          <w:rFonts w:hint="eastAsia"/>
        </w:rPr>
        <w:t>直接用于参股公司、上市公司二级市场股票投资等</w:t>
      </w:r>
      <w:r>
        <w:rPr>
          <w:rFonts w:hint="eastAsia"/>
          <w:lang w:eastAsia="zh-CN"/>
        </w:rPr>
        <w:t>。</w:t>
      </w:r>
    </w:p>
    <w:p>
      <w:pPr>
        <w:pStyle w:val="110"/>
        <w:keepNext w:val="0"/>
        <w:keepLines w:val="0"/>
        <w:pageBreakBefore w:val="0"/>
        <w:widowControl w:val="0"/>
        <w:kinsoku/>
        <w:wordWrap/>
        <w:topLinePunct w:val="0"/>
        <w:bidi w:val="0"/>
        <w:spacing w:before="144" w:beforeLines="50" w:after="144" w:afterLines="50" w:line="240" w:lineRule="atLeast"/>
        <w:ind w:firstLine="482" w:firstLineChars="200"/>
        <w:textAlignment w:val="auto"/>
        <w:rPr>
          <w:rFonts w:hint="eastAsia" w:ascii="楷体_GB2312" w:hAnsi="楷体_GB2312" w:eastAsia="楷体_GB2312" w:cs="楷体_GB2312"/>
          <w:b/>
          <w:bCs/>
          <w:i/>
          <w:iCs/>
          <w:snapToGrid w:val="0"/>
          <w:color w:val="FF0000"/>
          <w:kern w:val="0"/>
          <w:sz w:val="24"/>
          <w:szCs w:val="24"/>
          <w:u w:val="single"/>
          <w:lang w:val="en-US" w:eastAsia="zh-CN" w:bidi="ar-SA"/>
        </w:rPr>
      </w:pPr>
      <w:r>
        <w:rPr>
          <w:rFonts w:hint="eastAsia" w:hAnsi="楷体_GB2312"/>
          <w:b/>
          <w:bCs/>
          <w:i/>
          <w:iCs/>
          <w:snapToGrid w:val="0"/>
          <w:color w:val="FF0000"/>
          <w:u w:val="single"/>
        </w:rPr>
        <w:t>涉及特定</w:t>
      </w:r>
      <w:r>
        <w:rPr>
          <w:rFonts w:hint="eastAsia" w:hAnsi="楷体_GB2312"/>
          <w:b/>
          <w:bCs/>
          <w:i/>
          <w:iCs/>
          <w:snapToGrid w:val="0"/>
          <w:color w:val="FF0000"/>
          <w:u w:val="single"/>
          <w:lang w:val="en-US" w:eastAsia="zh-CN"/>
        </w:rPr>
        <w:t>产品</w:t>
      </w:r>
      <w:r>
        <w:rPr>
          <w:rFonts w:hint="eastAsia" w:hAnsi="楷体_GB2312"/>
          <w:b/>
          <w:bCs/>
          <w:i/>
          <w:iCs/>
          <w:snapToGrid w:val="0"/>
          <w:color w:val="FF0000"/>
          <w:u w:val="single"/>
        </w:rPr>
        <w:t>或行业的，</w:t>
      </w:r>
      <w:r>
        <w:rPr>
          <w:rFonts w:hint="eastAsia" w:hAnsi="楷体_GB2312"/>
          <w:b/>
          <w:bCs/>
          <w:i/>
          <w:iCs/>
          <w:snapToGrid w:val="0"/>
          <w:color w:val="FF0000"/>
          <w:u w:val="single"/>
          <w:lang w:val="en-US" w:eastAsia="zh-CN"/>
        </w:rPr>
        <w:t>应</w:t>
      </w:r>
      <w:r>
        <w:rPr>
          <w:rFonts w:hint="eastAsia" w:hAnsi="楷体_GB2312"/>
          <w:b/>
          <w:bCs/>
          <w:i/>
          <w:iCs/>
          <w:snapToGrid w:val="0"/>
          <w:color w:val="FF0000"/>
          <w:u w:val="single"/>
        </w:rPr>
        <w:t>按照《非金融企业债务融资工具</w:t>
      </w:r>
      <w:r>
        <w:rPr>
          <w:rFonts w:hint="eastAsia" w:hAnsi="楷体_GB2312"/>
          <w:b/>
          <w:bCs/>
          <w:i/>
          <w:iCs/>
          <w:snapToGrid w:val="0"/>
          <w:color w:val="FF0000"/>
          <w:u w:val="single"/>
          <w:lang w:val="en-US" w:eastAsia="zh-CN"/>
        </w:rPr>
        <w:t>定向</w:t>
      </w:r>
      <w:r>
        <w:rPr>
          <w:rFonts w:hint="eastAsia" w:hAnsi="楷体_GB2312"/>
          <w:b/>
          <w:bCs/>
          <w:i/>
          <w:iCs/>
          <w:snapToGrid w:val="0"/>
          <w:color w:val="FF0000"/>
          <w:u w:val="single"/>
        </w:rPr>
        <w:t>发行注册文件表格体系》</w:t>
      </w:r>
      <w:r>
        <w:rPr>
          <w:rFonts w:hint="eastAsia" w:hAnsi="楷体_GB2312"/>
          <w:b/>
          <w:bCs/>
          <w:i/>
          <w:iCs/>
          <w:snapToGrid w:val="0"/>
          <w:color w:val="FF0000"/>
          <w:u w:val="single"/>
          <w:lang w:val="en-US" w:eastAsia="zh-CN"/>
        </w:rPr>
        <w:t>对应子</w:t>
      </w:r>
      <w:r>
        <w:rPr>
          <w:rFonts w:hint="eastAsia" w:hAnsi="楷体_GB2312"/>
          <w:b/>
          <w:bCs/>
          <w:i/>
          <w:iCs/>
          <w:snapToGrid w:val="0"/>
          <w:color w:val="FF0000"/>
          <w:u w:val="single"/>
        </w:rPr>
        <w:t>表格</w:t>
      </w:r>
      <w:r>
        <w:rPr>
          <w:rFonts w:hint="eastAsia" w:hAnsi="楷体_GB2312"/>
          <w:b/>
          <w:bCs/>
          <w:i/>
          <w:iCs/>
          <w:snapToGrid w:val="0"/>
          <w:color w:val="FF0000"/>
          <w:u w:val="single"/>
          <w:lang w:val="en-US" w:eastAsia="zh-CN"/>
        </w:rPr>
        <w:t>的</w:t>
      </w:r>
      <w:r>
        <w:rPr>
          <w:rFonts w:hint="eastAsia" w:hAnsi="楷体_GB2312"/>
          <w:b/>
          <w:bCs/>
          <w:i/>
          <w:iCs/>
          <w:snapToGrid w:val="0"/>
          <w:color w:val="FF0000"/>
          <w:u w:val="single"/>
        </w:rPr>
        <w:t>要求进行披露、承诺</w:t>
      </w:r>
      <w:r>
        <w:rPr>
          <w:rFonts w:hint="eastAsia" w:hAnsi="楷体_GB2312" w:cs="楷体_GB2312"/>
          <w:b/>
          <w:bCs/>
          <w:i/>
          <w:iCs/>
          <w:snapToGrid w:val="0"/>
          <w:color w:val="FF0000"/>
          <w:kern w:val="0"/>
          <w:sz w:val="24"/>
          <w:szCs w:val="24"/>
          <w:u w:val="single"/>
          <w:lang w:val="en-US" w:eastAsia="zh-CN" w:bidi="ar-SA"/>
        </w:rPr>
        <w:t>。</w:t>
      </w:r>
    </w:p>
    <w:p>
      <w:pPr>
        <w:keepNext w:val="0"/>
        <w:keepLines w:val="0"/>
        <w:pageBreakBefore w:val="0"/>
        <w:widowControl w:val="0"/>
        <w:kinsoku/>
        <w:wordWrap/>
        <w:topLinePunct w:val="0"/>
        <w:bidi w:val="0"/>
        <w:spacing w:before="144" w:beforeLines="50" w:after="144" w:afterLines="50" w:line="240" w:lineRule="atLeast"/>
        <w:ind w:firstLine="482"/>
        <w:jc w:val="both"/>
        <w:outlineLvl w:val="2"/>
        <w:rPr>
          <w:rFonts w:hint="default"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三</w:t>
      </w:r>
      <w:r>
        <w:rPr>
          <w:rFonts w:hint="eastAsia" w:ascii="楷体_GB2312" w:hAnsi="楷体_GB2312" w:eastAsia="楷体_GB2312" w:cs="楷体_GB2312"/>
          <w:b/>
          <w:bCs/>
          <w:sz w:val="24"/>
          <w:szCs w:val="24"/>
        </w:rPr>
        <w:t>、</w:t>
      </w:r>
      <w:r>
        <w:rPr>
          <w:rFonts w:hint="eastAsia" w:ascii="楷体_GB2312" w:hAnsi="楷体_GB2312" w:eastAsia="楷体_GB2312" w:cs="楷体_GB2312"/>
          <w:b/>
          <w:bCs/>
          <w:sz w:val="24"/>
          <w:szCs w:val="24"/>
          <w:lang w:val="en-US" w:eastAsia="zh-CN"/>
        </w:rPr>
        <w:t>偿付来源</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rPr>
          <w:rFonts w:hint="eastAsia" w:ascii="楷体_GB2312" w:hAnsi="楷体_GB2312" w:eastAsia="楷体_GB2312" w:cs="楷体_GB2312"/>
          <w:kern w:val="0"/>
          <w:sz w:val="24"/>
          <w:szCs w:val="24"/>
        </w:rPr>
      </w:pPr>
      <w:r>
        <w:rPr>
          <w:rFonts w:hint="eastAsia" w:ascii="楷体_GB2312" w:hAnsi="楷体_GB2312" w:eastAsia="楷体_GB2312" w:cs="楷体_GB2312"/>
          <w:b/>
          <w:bCs/>
          <w:color w:val="FF0000"/>
          <w:kern w:val="0"/>
          <w:sz w:val="24"/>
          <w:szCs w:val="24"/>
        </w:rPr>
        <w:t>【预计下一期进行滚动发行的情形】</w:t>
      </w:r>
      <w:r>
        <w:rPr>
          <w:rFonts w:hint="eastAsia" w:ascii="楷体_GB2312" w:hAnsi="楷体_GB2312" w:eastAsia="楷体_GB2312" w:cs="楷体_GB2312"/>
          <w:kern w:val="0"/>
          <w:sz w:val="24"/>
          <w:szCs w:val="24"/>
        </w:rPr>
        <w:t>本信托项下的优先级资产支持商业票据预计分【</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kern w:val="0"/>
          <w:sz w:val="24"/>
          <w:szCs w:val="24"/>
        </w:rPr>
        <w:t>】期发行。除最后一期优先级资产支持商业票据外，预计各期优先级资产支持商业票据本息的偿付来源为【基础资产的回收款和其后一期优先级资产支持商业票据滚动发行的募集资金/（其他）】。如后一期优先级资产支持商业票据滚动发行失败</w:t>
      </w:r>
      <w:r>
        <w:rPr>
          <w:rStyle w:val="48"/>
          <w:rFonts w:hint="eastAsia" w:ascii="楷体_GB2312" w:hAnsi="楷体_GB2312" w:eastAsia="楷体_GB2312" w:cs="楷体_GB2312"/>
          <w:kern w:val="0"/>
          <w:sz w:val="24"/>
          <w:szCs w:val="24"/>
        </w:rPr>
        <w:footnoteReference w:id="85"/>
      </w:r>
      <w:r>
        <w:rPr>
          <w:rFonts w:hint="eastAsia" w:ascii="楷体_GB2312" w:hAnsi="楷体_GB2312" w:eastAsia="楷体_GB2312" w:cs="楷体_GB2312"/>
          <w:kern w:val="0"/>
          <w:sz w:val="24"/>
          <w:szCs w:val="24"/>
        </w:rPr>
        <w:t>，将通过【委托人回购资产池/委托人受让信托受益权/差额支付承诺人支付差额补足款项/（其他）】</w:t>
      </w:r>
      <w:r>
        <w:rPr>
          <w:rStyle w:val="48"/>
          <w:rFonts w:hint="eastAsia" w:ascii="楷体_GB2312" w:hAnsi="楷体_GB2312" w:eastAsia="楷体_GB2312" w:cs="楷体_GB2312"/>
          <w:kern w:val="0"/>
          <w:sz w:val="24"/>
          <w:szCs w:val="24"/>
        </w:rPr>
        <w:footnoteReference w:id="86"/>
      </w:r>
      <w:r>
        <w:rPr>
          <w:rFonts w:hint="eastAsia" w:ascii="楷体_GB2312" w:hAnsi="楷体_GB2312" w:eastAsia="楷体_GB2312" w:cs="楷体_GB2312"/>
          <w:kern w:val="0"/>
          <w:sz w:val="24"/>
          <w:szCs w:val="24"/>
        </w:rPr>
        <w:t>的方式，兑付本期优先级资产支持商业票据。</w:t>
      </w:r>
    </w:p>
    <w:p>
      <w:pPr>
        <w:pStyle w:val="2"/>
        <w:keepNext w:val="0"/>
        <w:keepLines w:val="0"/>
        <w:pageBreakBefore w:val="0"/>
        <w:widowControl w:val="0"/>
        <w:kinsoku/>
        <w:wordWrap/>
        <w:topLinePunct w:val="0"/>
        <w:bidi w:val="0"/>
        <w:spacing w:before="144" w:beforeLines="50" w:after="144" w:afterLines="50" w:line="240" w:lineRule="atLeast"/>
        <w:ind w:firstLine="480"/>
        <w:rPr>
          <w:rFonts w:hint="eastAsia"/>
          <w:sz w:val="24"/>
          <w:szCs w:val="24"/>
        </w:rPr>
      </w:pPr>
      <w:r>
        <w:rPr>
          <w:rFonts w:hint="eastAsia" w:ascii="楷体_GB2312" w:hAnsi="楷体_GB2312" w:eastAsia="楷体_GB2312" w:cs="楷体_GB2312"/>
          <w:b/>
          <w:bCs/>
          <w:color w:val="FF0000"/>
          <w:sz w:val="24"/>
          <w:szCs w:val="24"/>
        </w:rPr>
        <w:t>【预计下一期不再滚动发行，由委托人回购资产或受让信托受益权的情形】</w:t>
      </w:r>
      <w:r>
        <w:rPr>
          <w:rFonts w:hint="eastAsia" w:ascii="楷体_GB2312" w:hAnsi="楷体_GB2312" w:eastAsia="楷体_GB2312" w:cs="楷体_GB2312"/>
          <w:sz w:val="24"/>
          <w:szCs w:val="24"/>
        </w:rPr>
        <w:t>预计本期优先级资产支持商业票据发行后不再滚动发行后一期，计划通过</w:t>
      </w:r>
      <w:r>
        <w:rPr>
          <w:rFonts w:hint="eastAsia" w:ascii="楷体_GB2312" w:hAnsi="楷体_GB2312" w:eastAsia="楷体_GB2312" w:cs="楷体_GB2312"/>
          <w:kern w:val="0"/>
          <w:sz w:val="24"/>
          <w:szCs w:val="24"/>
          <w:lang w:val="en-US" w:eastAsia="zh-CN"/>
        </w:rPr>
        <w:t>【委托人回购资产/委托人回购资产池/委托人受让信托受益权/（其他）】</w:t>
      </w:r>
      <w:r>
        <w:rPr>
          <w:rStyle w:val="48"/>
          <w:rFonts w:hint="eastAsia" w:ascii="楷体_GB2312" w:hAnsi="楷体_GB2312" w:eastAsia="楷体_GB2312" w:cs="楷体_GB2312"/>
          <w:kern w:val="0"/>
          <w:sz w:val="24"/>
          <w:szCs w:val="24"/>
          <w:lang w:val="en-US" w:eastAsia="zh-CN"/>
        </w:rPr>
        <w:footnoteReference w:id="87"/>
      </w:r>
      <w:r>
        <w:rPr>
          <w:rFonts w:hint="eastAsia" w:ascii="楷体_GB2312" w:hAnsi="楷体_GB2312" w:eastAsia="楷体_GB2312" w:cs="楷体_GB2312"/>
          <w:sz w:val="24"/>
          <w:szCs w:val="24"/>
        </w:rPr>
        <w:t>的方式，兑付本期优先级资产支持商业票据</w:t>
      </w:r>
      <w:r>
        <w:rPr>
          <w:rFonts w:hint="eastAsia"/>
          <w:sz w:val="24"/>
          <w:szCs w:val="24"/>
        </w:rPr>
        <w:t>。</w:t>
      </w:r>
      <w:r>
        <w:rPr>
          <w:rFonts w:hint="eastAsia" w:ascii="楷体_GB2312" w:hAnsi="楷体_GB2312" w:eastAsia="楷体_GB2312" w:cs="楷体_GB2312"/>
          <w:sz w:val="24"/>
          <w:szCs w:val="24"/>
        </w:rPr>
        <w:t>如届时可供分配的资金不足，将通过【差额支付承诺人支付回收款差额补足款项/差额支付承诺人支付滚动发行差额补足款项/（其他）】的方式补足</w:t>
      </w:r>
      <w:r>
        <w:rPr>
          <w:rFonts w:hint="eastAsia"/>
          <w:sz w:val="24"/>
          <w:szCs w:val="24"/>
        </w:rPr>
        <w:t>。</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2" w:firstLineChars="200"/>
        <w:jc w:val="both"/>
        <w:textAlignment w:val="auto"/>
        <w:outlineLvl w:val="9"/>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color w:val="FF0000"/>
          <w:sz w:val="24"/>
          <w:szCs w:val="24"/>
        </w:rPr>
        <w:t>【信托项下最后一期发行且还款来源为基础资产现金流的情形】</w:t>
      </w:r>
      <w:r>
        <w:rPr>
          <w:rFonts w:hint="eastAsia" w:ascii="楷体_GB2312" w:hAnsi="楷体_GB2312" w:eastAsia="楷体_GB2312" w:cs="楷体_GB2312"/>
          <w:sz w:val="24"/>
          <w:szCs w:val="24"/>
        </w:rPr>
        <w:t>本期为信托项下最后一期优先级资产支持商业票据，本息的偿付来源为【基础资产的回收款/（其他）】。</w:t>
      </w:r>
      <w:r>
        <w:rPr>
          <w:rFonts w:hint="eastAsia" w:ascii="楷体_GB2312" w:hAnsi="楷体_GB2312" w:eastAsia="楷体_GB2312" w:cs="楷体_GB2312"/>
        </w:rPr>
        <w:br w:type="page"/>
      </w:r>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405" w:name="_Toc15962"/>
      <w:bookmarkStart w:id="4406" w:name="_Toc19691"/>
      <w:bookmarkStart w:id="4407" w:name="_Toc5493"/>
      <w:bookmarkStart w:id="4408" w:name="_Toc13024"/>
      <w:bookmarkStart w:id="4409" w:name="_Toc21398"/>
      <w:r>
        <w:rPr>
          <w:rFonts w:hint="eastAsia" w:ascii="楷体_GB2312" w:hAnsi="楷体_GB2312" w:eastAsia="楷体_GB2312" w:cs="楷体_GB2312"/>
          <w:b/>
          <w:bCs/>
          <w:kern w:val="0"/>
          <w:sz w:val="30"/>
          <w:szCs w:val="30"/>
        </w:rPr>
        <w:t>主要交易文件摘要</w:t>
      </w:r>
      <w:bookmarkEnd w:id="4405"/>
      <w:bookmarkEnd w:id="4406"/>
      <w:bookmarkEnd w:id="4407"/>
      <w:bookmarkEnd w:id="4408"/>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snapToGrid w:val="0"/>
          <w:kern w:val="0"/>
          <w:sz w:val="24"/>
          <w:szCs w:val="24"/>
        </w:rPr>
      </w:pPr>
      <w:bookmarkStart w:id="4410" w:name="_Toc32610"/>
      <w:bookmarkStart w:id="4411" w:name="_Toc12623"/>
      <w:bookmarkStart w:id="4412" w:name="_Toc11603"/>
      <w:r>
        <w:rPr>
          <w:rFonts w:hint="eastAsia" w:ascii="楷体_GB2312" w:hAnsi="楷体_GB2312" w:eastAsia="楷体_GB2312" w:cs="楷体_GB2312"/>
          <w:b/>
          <w:bCs/>
          <w:sz w:val="24"/>
          <w:szCs w:val="24"/>
        </w:rPr>
        <w:t>一、《信托合同》摘要</w:t>
      </w:r>
      <w:bookmarkEnd w:id="4409"/>
      <w:bookmarkEnd w:id="4410"/>
      <w:bookmarkEnd w:id="4411"/>
      <w:bookmarkEnd w:id="4412"/>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lang w:eastAsia="zh-CN"/>
        </w:rPr>
      </w:pPr>
      <w:bookmarkStart w:id="4413" w:name="_Toc23351"/>
      <w:bookmarkStart w:id="4414" w:name="_Toc27070"/>
      <w:bookmarkStart w:id="4415" w:name="_Toc29585"/>
      <w:r>
        <w:rPr>
          <w:rFonts w:hint="eastAsia" w:ascii="楷体_GB2312" w:hAnsi="楷体_GB2312" w:eastAsia="楷体_GB2312" w:cs="楷体_GB2312"/>
          <w:b/>
          <w:bCs/>
          <w:sz w:val="24"/>
          <w:szCs w:val="24"/>
        </w:rPr>
        <w:t>二、《服务合同》摘要</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如有</w:t>
      </w:r>
      <w:r>
        <w:rPr>
          <w:rFonts w:hint="eastAsia" w:ascii="楷体_GB2312" w:hAnsi="楷体_GB2312" w:eastAsia="楷体_GB2312" w:cs="楷体_GB2312"/>
          <w:b/>
          <w:bCs/>
          <w:sz w:val="24"/>
          <w:szCs w:val="24"/>
          <w:lang w:eastAsia="zh-CN"/>
        </w:rPr>
        <w:t>）</w:t>
      </w:r>
      <w:bookmarkEnd w:id="4413"/>
      <w:bookmarkEnd w:id="4414"/>
      <w:bookmarkEnd w:id="4415"/>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rPr>
      </w:pPr>
      <w:bookmarkStart w:id="4416" w:name="_Toc3576"/>
      <w:bookmarkStart w:id="4417" w:name="_Toc3072"/>
      <w:r>
        <w:rPr>
          <w:rFonts w:hint="eastAsia" w:ascii="楷体_GB2312" w:hAnsi="楷体_GB2312" w:eastAsia="楷体_GB2312" w:cs="楷体_GB2312"/>
          <w:b/>
          <w:bCs/>
          <w:sz w:val="24"/>
          <w:szCs w:val="24"/>
        </w:rPr>
        <w:t>三、《资金保管合同》摘要</w:t>
      </w:r>
      <w:bookmarkEnd w:id="4416"/>
      <w:bookmarkEnd w:id="4417"/>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lang w:eastAsia="zh-CN"/>
        </w:rPr>
      </w:pPr>
      <w:bookmarkStart w:id="4418" w:name="_Toc20008"/>
      <w:bookmarkStart w:id="4419" w:name="_Toc21433"/>
      <w:bookmarkStart w:id="4420" w:name="_Toc18067"/>
      <w:r>
        <w:rPr>
          <w:rFonts w:hint="eastAsia" w:ascii="楷体_GB2312" w:hAnsi="楷体_GB2312" w:eastAsia="楷体_GB2312" w:cs="楷体_GB2312"/>
          <w:b/>
          <w:bCs/>
          <w:sz w:val="24"/>
          <w:szCs w:val="24"/>
          <w:lang w:val="en-US" w:eastAsia="zh-CN"/>
        </w:rPr>
        <w:t>四、《资金监管合同》</w:t>
      </w:r>
      <w:r>
        <w:rPr>
          <w:rFonts w:hint="eastAsia" w:ascii="楷体_GB2312" w:hAnsi="楷体_GB2312" w:eastAsia="楷体_GB2312" w:cs="楷体_GB2312"/>
          <w:b/>
          <w:bCs/>
          <w:sz w:val="24"/>
          <w:szCs w:val="24"/>
        </w:rPr>
        <w:t>摘要</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如有</w:t>
      </w:r>
      <w:r>
        <w:rPr>
          <w:rFonts w:hint="eastAsia" w:ascii="楷体_GB2312" w:hAnsi="楷体_GB2312" w:eastAsia="楷体_GB2312" w:cs="楷体_GB2312"/>
          <w:b/>
          <w:bCs/>
          <w:sz w:val="24"/>
          <w:szCs w:val="24"/>
          <w:lang w:eastAsia="zh-CN"/>
        </w:rPr>
        <w:t>）</w:t>
      </w:r>
      <w:bookmarkEnd w:id="4418"/>
      <w:bookmarkEnd w:id="4419"/>
      <w:bookmarkEnd w:id="4420"/>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jc w:val="both"/>
        <w:textAlignment w:val="auto"/>
        <w:outlineLvl w:val="9"/>
        <w:rPr>
          <w:rFonts w:hint="eastAsia" w:ascii="楷体_GB2312" w:hAnsi="楷体_GB2312" w:eastAsia="楷体_GB2312" w:cs="楷体_GB2312"/>
          <w:b w:val="0"/>
          <w:bCs w:val="0"/>
          <w:kern w:val="0"/>
          <w:sz w:val="24"/>
          <w:szCs w:val="24"/>
          <w:lang w:val="zh-CN"/>
        </w:rPr>
      </w:pPr>
      <w:r>
        <w:rPr>
          <w:rFonts w:hint="eastAsia" w:ascii="楷体_GB2312" w:hAnsi="楷体_GB2312" w:eastAsia="楷体_GB2312" w:cs="楷体_GB2312"/>
          <w:b w:val="0"/>
          <w:bCs w:val="0"/>
          <w:kern w:val="0"/>
          <w:sz w:val="24"/>
          <w:szCs w:val="24"/>
          <w:lang w:val="zh-CN"/>
        </w:rPr>
        <w:br w:type="page"/>
      </w:r>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421" w:name="_Toc31345"/>
      <w:bookmarkStart w:id="4422" w:name="_Toc4037"/>
      <w:bookmarkStart w:id="4423" w:name="_Toc1715"/>
      <w:bookmarkStart w:id="4424" w:name="_Toc15326"/>
      <w:r>
        <w:rPr>
          <w:rFonts w:hint="eastAsia" w:ascii="楷体_GB2312" w:hAnsi="楷体_GB2312" w:eastAsia="楷体_GB2312" w:cs="楷体_GB2312"/>
          <w:b/>
          <w:bCs/>
          <w:kern w:val="0"/>
          <w:sz w:val="30"/>
          <w:szCs w:val="30"/>
        </w:rPr>
        <w:t>评级状况</w:t>
      </w:r>
      <w:r>
        <w:rPr>
          <w:rFonts w:hint="eastAsia" w:ascii="楷体_GB2312" w:hAnsi="楷体_GB2312" w:eastAsia="楷体_GB2312" w:cs="楷体_GB2312"/>
          <w:b/>
          <w:bCs/>
          <w:kern w:val="0"/>
          <w:sz w:val="30"/>
          <w:szCs w:val="30"/>
          <w:lang w:eastAsia="zh-CN"/>
        </w:rPr>
        <w:t>（</w:t>
      </w:r>
      <w:r>
        <w:rPr>
          <w:rFonts w:hint="eastAsia" w:ascii="楷体_GB2312" w:hAnsi="楷体_GB2312" w:eastAsia="楷体_GB2312" w:cs="楷体_GB2312"/>
          <w:b/>
          <w:bCs/>
          <w:kern w:val="0"/>
          <w:sz w:val="30"/>
          <w:szCs w:val="30"/>
          <w:lang w:val="en-US" w:eastAsia="zh-CN"/>
        </w:rPr>
        <w:t>如有</w:t>
      </w:r>
      <w:r>
        <w:rPr>
          <w:rFonts w:hint="eastAsia" w:ascii="楷体_GB2312" w:hAnsi="楷体_GB2312" w:eastAsia="楷体_GB2312" w:cs="楷体_GB2312"/>
          <w:b/>
          <w:bCs/>
          <w:kern w:val="0"/>
          <w:sz w:val="30"/>
          <w:szCs w:val="30"/>
          <w:lang w:eastAsia="zh-CN"/>
        </w:rPr>
        <w:t>）</w:t>
      </w:r>
      <w:bookmarkEnd w:id="4421"/>
      <w:bookmarkEnd w:id="4422"/>
      <w:bookmarkEnd w:id="4423"/>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lang w:eastAsia="zh-CN"/>
        </w:rPr>
      </w:pPr>
      <w:bookmarkStart w:id="4425" w:name="_Toc9826"/>
      <w:bookmarkStart w:id="4426" w:name="_Toc27599"/>
      <w:bookmarkStart w:id="4427" w:name="_Toc12976"/>
      <w:r>
        <w:rPr>
          <w:rFonts w:hint="eastAsia" w:ascii="楷体_GB2312" w:hAnsi="楷体_GB2312" w:eastAsia="楷体_GB2312" w:cs="楷体_GB2312"/>
          <w:b/>
          <w:bCs/>
          <w:sz w:val="24"/>
          <w:szCs w:val="24"/>
        </w:rPr>
        <w:t>一、</w:t>
      </w:r>
      <w:r>
        <w:rPr>
          <w:rFonts w:hint="eastAsia" w:ascii="楷体_GB2312" w:hAnsi="楷体_GB2312" w:eastAsia="楷体_GB2312" w:cs="楷体_GB2312"/>
          <w:b/>
          <w:bCs/>
          <w:sz w:val="24"/>
          <w:szCs w:val="24"/>
          <w:lang w:val="en-US" w:eastAsia="zh-CN"/>
        </w:rPr>
        <w:t>定向资产支持商业票据评级</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如有</w:t>
      </w:r>
      <w:r>
        <w:rPr>
          <w:rFonts w:hint="eastAsia" w:ascii="楷体_GB2312" w:hAnsi="楷体_GB2312" w:eastAsia="楷体_GB2312" w:cs="楷体_GB2312"/>
          <w:b/>
          <w:bCs/>
          <w:sz w:val="24"/>
          <w:szCs w:val="24"/>
          <w:lang w:eastAsia="zh-CN"/>
        </w:rPr>
        <w:t>）</w:t>
      </w:r>
      <w:bookmarkEnd w:id="4424"/>
      <w:bookmarkEnd w:id="4425"/>
      <w:bookmarkEnd w:id="4426"/>
      <w:bookmarkEnd w:id="4427"/>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lang w:eastAsia="zh-CN"/>
        </w:rPr>
      </w:pPr>
      <w:bookmarkStart w:id="4428" w:name="_Toc29309"/>
      <w:bookmarkStart w:id="4429" w:name="_Toc11024"/>
      <w:bookmarkStart w:id="4430" w:name="_Toc3231"/>
      <w:bookmarkStart w:id="4431" w:name="_Toc29023"/>
      <w:r>
        <w:rPr>
          <w:rFonts w:hint="eastAsia" w:ascii="楷体_GB2312" w:hAnsi="楷体_GB2312" w:eastAsia="楷体_GB2312" w:cs="楷体_GB2312"/>
          <w:b/>
          <w:bCs/>
          <w:sz w:val="24"/>
          <w:szCs w:val="24"/>
        </w:rPr>
        <w:t>二、发起机构主体评级</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如有</w:t>
      </w:r>
      <w:r>
        <w:rPr>
          <w:rFonts w:hint="eastAsia" w:ascii="楷体_GB2312" w:hAnsi="楷体_GB2312" w:eastAsia="楷体_GB2312" w:cs="楷体_GB2312"/>
          <w:b/>
          <w:bCs/>
          <w:sz w:val="24"/>
          <w:szCs w:val="24"/>
          <w:lang w:eastAsia="zh-CN"/>
        </w:rPr>
        <w:t>）</w:t>
      </w:r>
      <w:bookmarkEnd w:id="4428"/>
      <w:bookmarkEnd w:id="4429"/>
      <w:bookmarkEnd w:id="4430"/>
      <w:bookmarkEnd w:id="4431"/>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lang w:eastAsia="zh-CN"/>
        </w:rPr>
      </w:pPr>
      <w:bookmarkStart w:id="4432" w:name="_Toc5466"/>
      <w:bookmarkStart w:id="4433" w:name="_Toc5116"/>
      <w:bookmarkStart w:id="4434" w:name="_Toc13168"/>
      <w:bookmarkStart w:id="4435" w:name="_Toc28895"/>
      <w:r>
        <w:rPr>
          <w:rFonts w:hint="eastAsia" w:ascii="楷体_GB2312" w:hAnsi="楷体_GB2312" w:eastAsia="楷体_GB2312" w:cs="楷体_GB2312"/>
          <w:b/>
          <w:bCs/>
          <w:sz w:val="24"/>
          <w:szCs w:val="24"/>
        </w:rPr>
        <w:t>三、信用增级机构主体评级</w:t>
      </w:r>
      <w:r>
        <w:rPr>
          <w:rFonts w:hint="eastAsia" w:ascii="楷体_GB2312" w:hAnsi="楷体_GB2312" w:eastAsia="楷体_GB2312" w:cs="楷体_GB2312"/>
          <w:b/>
          <w:bCs/>
          <w:sz w:val="24"/>
          <w:szCs w:val="24"/>
          <w:lang w:eastAsia="zh-CN"/>
        </w:rPr>
        <w:t>（</w:t>
      </w:r>
      <w:r>
        <w:rPr>
          <w:rFonts w:hint="eastAsia" w:ascii="楷体_GB2312" w:hAnsi="楷体_GB2312" w:eastAsia="楷体_GB2312" w:cs="楷体_GB2312"/>
          <w:b/>
          <w:bCs/>
          <w:sz w:val="24"/>
          <w:szCs w:val="24"/>
          <w:lang w:val="en-US" w:eastAsia="zh-CN"/>
        </w:rPr>
        <w:t>如有</w:t>
      </w:r>
      <w:r>
        <w:rPr>
          <w:rFonts w:hint="eastAsia" w:ascii="楷体_GB2312" w:hAnsi="楷体_GB2312" w:eastAsia="楷体_GB2312" w:cs="楷体_GB2312"/>
          <w:b/>
          <w:bCs/>
          <w:sz w:val="24"/>
          <w:szCs w:val="24"/>
          <w:lang w:eastAsia="zh-CN"/>
        </w:rPr>
        <w:t>）</w:t>
      </w:r>
      <w:bookmarkEnd w:id="4432"/>
      <w:bookmarkEnd w:id="4433"/>
      <w:bookmarkEnd w:id="4434"/>
      <w:bookmarkEnd w:id="4435"/>
    </w:p>
    <w:p>
      <w:pPr>
        <w:pStyle w:val="2"/>
        <w:keepNext w:val="0"/>
        <w:keepLines w:val="0"/>
        <w:pageBreakBefore w:val="0"/>
        <w:widowControl w:val="0"/>
        <w:kinsoku/>
        <w:wordWrap/>
        <w:topLinePunct w:val="0"/>
        <w:bidi w:val="0"/>
        <w:spacing w:before="144" w:beforeLines="50" w:after="144" w:afterLines="50" w:line="240" w:lineRule="atLeast"/>
        <w:textAlignment w:val="auto"/>
        <w:rPr>
          <w:rFonts w:hint="eastAsia" w:ascii="Times New Roman" w:hAnsi="Times New Roman" w:eastAsia="楷体_GB2312" w:cs="Times New Roman"/>
          <w:b/>
          <w:bCs w:val="0"/>
          <w:i/>
          <w:color w:val="FF0000"/>
          <w:sz w:val="24"/>
          <w:szCs w:val="28"/>
          <w:u w:val="single"/>
          <w:lang w:val="en-US" w:eastAsia="zh-CN"/>
        </w:rPr>
      </w:pPr>
      <w:r>
        <w:rPr>
          <w:rFonts w:hint="eastAsia" w:ascii="Times New Roman" w:hAnsi="Times New Roman" w:eastAsia="楷体_GB2312" w:cs="Times New Roman"/>
          <w:b/>
          <w:bCs w:val="0"/>
          <w:i/>
          <w:color w:val="FF0000"/>
          <w:sz w:val="24"/>
          <w:szCs w:val="28"/>
          <w:u w:val="single"/>
          <w:lang w:val="en-US" w:eastAsia="zh-CN"/>
        </w:rPr>
        <w:t>应披露评级机构、评级结论及标识所代表的涵义。</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jc w:val="both"/>
        <w:textAlignment w:val="auto"/>
        <w:outlineLvl w:val="9"/>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30"/>
          <w:szCs w:val="30"/>
        </w:rPr>
        <w:br w:type="page"/>
      </w:r>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436" w:name="_Toc30337"/>
      <w:bookmarkStart w:id="4437" w:name="_Toc17135"/>
      <w:bookmarkStart w:id="4438" w:name="_Toc2718"/>
      <w:bookmarkStart w:id="4439" w:name="_Toc8276"/>
      <w:bookmarkStart w:id="4440" w:name="_Toc23594"/>
      <w:r>
        <w:rPr>
          <w:rFonts w:hint="eastAsia" w:ascii="楷体_GB2312" w:hAnsi="楷体_GB2312" w:eastAsia="楷体_GB2312" w:cs="楷体_GB2312"/>
          <w:b/>
          <w:bCs/>
          <w:kern w:val="0"/>
          <w:sz w:val="30"/>
          <w:szCs w:val="30"/>
          <w:lang w:val="en-US" w:eastAsia="zh-CN"/>
        </w:rPr>
        <w:t>备查文件</w:t>
      </w:r>
      <w:bookmarkEnd w:id="4436"/>
      <w:bookmarkEnd w:id="4437"/>
      <w:bookmarkEnd w:id="4438"/>
      <w:bookmarkEnd w:id="4439"/>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2"/>
        <w:rPr>
          <w:rFonts w:hint="eastAsia" w:ascii="楷体_GB2312" w:hAnsi="楷体_GB2312" w:eastAsia="楷体_GB2312" w:cs="楷体_GB2312"/>
          <w:b/>
          <w:bCs/>
          <w:sz w:val="24"/>
          <w:szCs w:val="24"/>
          <w:lang w:val="en-US" w:eastAsia="zh-CN"/>
        </w:rPr>
      </w:pPr>
      <w:r>
        <w:rPr>
          <w:rFonts w:hint="eastAsia" w:ascii="楷体_GB2312" w:hAnsi="楷体_GB2312" w:eastAsia="楷体_GB2312" w:cs="楷体_GB2312"/>
          <w:b/>
          <w:bCs/>
          <w:sz w:val="24"/>
          <w:szCs w:val="24"/>
          <w:lang w:val="en-US" w:eastAsia="zh-CN"/>
        </w:rPr>
        <w:t>一、备查文件</w:t>
      </w:r>
      <w:bookmarkEnd w:id="4440"/>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本</w:t>
      </w:r>
      <w:r>
        <w:rPr>
          <w:rFonts w:hint="eastAsia" w:ascii="楷体_GB2312" w:hAnsi="楷体_GB2312" w:eastAsia="楷体_GB2312" w:cs="楷体_GB2312"/>
          <w:kern w:val="0"/>
          <w:sz w:val="24"/>
          <w:szCs w:val="24"/>
          <w:lang w:val="en-US" w:eastAsia="zh-CN"/>
        </w:rPr>
        <w:t>定向发行协议</w:t>
      </w:r>
      <w:r>
        <w:rPr>
          <w:rFonts w:hint="eastAsia" w:ascii="楷体_GB2312" w:hAnsi="楷体_GB2312" w:eastAsia="楷体_GB2312" w:cs="楷体_GB2312"/>
          <w:kern w:val="0"/>
          <w:sz w:val="24"/>
          <w:szCs w:val="24"/>
        </w:rPr>
        <w:t>的附录和备查文件包括以下文件，该等文件是</w:t>
      </w:r>
      <w:r>
        <w:rPr>
          <w:rFonts w:hint="eastAsia" w:ascii="楷体_GB2312" w:hAnsi="楷体_GB2312" w:eastAsia="楷体_GB2312" w:cs="楷体_GB2312"/>
          <w:kern w:val="0"/>
          <w:sz w:val="24"/>
          <w:szCs w:val="24"/>
          <w:lang w:val="en-US" w:eastAsia="zh-CN"/>
        </w:rPr>
        <w:t>定向发行协议</w:t>
      </w:r>
      <w:r>
        <w:rPr>
          <w:rFonts w:hint="eastAsia" w:ascii="楷体_GB2312" w:hAnsi="楷体_GB2312" w:eastAsia="楷体_GB2312" w:cs="楷体_GB2312"/>
          <w:kern w:val="0"/>
          <w:sz w:val="24"/>
          <w:szCs w:val="24"/>
        </w:rPr>
        <w:t>不可分割的有机组成部分：</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snapToGrid w:val="0"/>
          <w:sz w:val="24"/>
          <w:szCs w:val="24"/>
          <w:lang w:eastAsia="zh-CN"/>
        </w:rPr>
      </w:pPr>
      <w:r>
        <w:rPr>
          <w:rFonts w:hint="eastAsia" w:ascii="楷体_GB2312" w:hAnsi="楷体_GB2312" w:eastAsia="楷体_GB2312" w:cs="楷体_GB2312"/>
          <w:snapToGrid w:val="0"/>
          <w:sz w:val="24"/>
          <w:szCs w:val="24"/>
          <w:lang w:val="en-US" w:eastAsia="zh-CN"/>
        </w:rPr>
        <w:t>1.《【</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】公司【  】—【  】年度【</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】资产支持商业票据定向发行协议</w:t>
      </w:r>
      <w:r>
        <w:rPr>
          <w:rFonts w:hint="eastAsia" w:ascii="楷体_GB2312" w:hAnsi="楷体_GB2312" w:eastAsia="楷体_GB2312" w:cs="楷体_GB2312"/>
          <w:snapToGrid w:val="0"/>
          <w:sz w:val="24"/>
          <w:szCs w:val="24"/>
          <w:lang w:eastAsia="zh-CN"/>
        </w:rPr>
        <w:t>》</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val="en-US" w:eastAsia="zh-CN"/>
        </w:rPr>
        <w:t>2.</w:t>
      </w:r>
      <w:r>
        <w:rPr>
          <w:rFonts w:hint="eastAsia" w:ascii="楷体_GB2312" w:hAnsi="楷体_GB2312" w:eastAsia="楷体_GB2312" w:cs="楷体_GB2312"/>
          <w:kern w:val="0"/>
          <w:sz w:val="24"/>
          <w:szCs w:val="24"/>
        </w:rPr>
        <w:t>《</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】公司【  】年度【</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】第【</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】期定向资产支持商业票据</w:t>
      </w:r>
      <w:r>
        <w:rPr>
          <w:rFonts w:hint="eastAsia" w:ascii="楷体_GB2312" w:hAnsi="楷体_GB2312" w:eastAsia="楷体_GB2312" w:cs="楷体_GB2312"/>
          <w:kern w:val="0"/>
          <w:sz w:val="24"/>
          <w:szCs w:val="24"/>
        </w:rPr>
        <w:t>法律意见书》</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val="en-US" w:eastAsia="zh-CN"/>
        </w:rPr>
        <w:t>3.</w:t>
      </w:r>
      <w:r>
        <w:rPr>
          <w:rFonts w:hint="eastAsia" w:ascii="楷体_GB2312" w:hAnsi="楷体_GB2312" w:eastAsia="楷体_GB2312" w:cs="楷体_GB2312"/>
          <w:kern w:val="0"/>
          <w:sz w:val="24"/>
          <w:szCs w:val="24"/>
        </w:rPr>
        <w:t>《</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】公司【  】年度【</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】第【</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】期定向资产支持商业票据</w:t>
      </w:r>
      <w:r>
        <w:rPr>
          <w:rFonts w:hint="eastAsia" w:ascii="楷体_GB2312" w:hAnsi="楷体_GB2312" w:eastAsia="楷体_GB2312" w:cs="楷体_GB2312"/>
          <w:kern w:val="0"/>
          <w:sz w:val="24"/>
          <w:szCs w:val="24"/>
        </w:rPr>
        <w:t>信用评级报告》</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如有</w:t>
      </w:r>
      <w:r>
        <w:rPr>
          <w:rFonts w:hint="eastAsia" w:ascii="楷体_GB2312" w:hAnsi="楷体_GB2312" w:eastAsia="楷体_GB2312" w:cs="楷体_GB2312"/>
          <w:kern w:val="0"/>
          <w:sz w:val="24"/>
          <w:szCs w:val="24"/>
          <w:lang w:eastAsia="zh-CN"/>
        </w:rPr>
        <w:t>）</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val="en-US" w:eastAsia="zh-CN"/>
        </w:rPr>
        <w:t>4.</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】公司【  】年度【</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】第【</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】期定向资产支持商业票据</w:t>
      </w:r>
      <w:r>
        <w:rPr>
          <w:rFonts w:hint="eastAsia" w:ascii="楷体_GB2312" w:hAnsi="楷体_GB2312" w:eastAsia="楷体_GB2312" w:cs="楷体_GB2312"/>
          <w:kern w:val="0"/>
          <w:sz w:val="24"/>
          <w:szCs w:val="24"/>
        </w:rPr>
        <w:t>现金流预测分析咨询报告</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如有</w:t>
      </w:r>
      <w:r>
        <w:rPr>
          <w:rFonts w:hint="eastAsia" w:ascii="楷体_GB2312" w:hAnsi="楷体_GB2312" w:eastAsia="楷体_GB2312" w:cs="楷体_GB2312"/>
          <w:kern w:val="0"/>
          <w:sz w:val="24"/>
          <w:szCs w:val="24"/>
          <w:lang w:eastAsia="zh-CN"/>
        </w:rPr>
        <w:t>）</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val="en-US" w:eastAsia="zh-CN"/>
        </w:rPr>
        <w:t>5.</w:t>
      </w:r>
      <w:r>
        <w:rPr>
          <w:rFonts w:hint="eastAsia" w:ascii="楷体_GB2312" w:hAnsi="楷体_GB2312" w:eastAsia="楷体_GB2312" w:cs="楷体_GB2312"/>
          <w:kern w:val="0"/>
          <w:sz w:val="24"/>
          <w:szCs w:val="24"/>
        </w:rPr>
        <w:t>《</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】公司【</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】定向资产支持商业票据信托</w:t>
      </w:r>
      <w:r>
        <w:rPr>
          <w:rFonts w:hint="eastAsia" w:ascii="楷体_GB2312" w:hAnsi="楷体_GB2312" w:eastAsia="楷体_GB2312" w:cs="楷体_GB2312"/>
          <w:kern w:val="0"/>
          <w:sz w:val="24"/>
          <w:szCs w:val="24"/>
        </w:rPr>
        <w:t>信托合同》</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val="en-US" w:eastAsia="zh-CN"/>
        </w:rPr>
        <w:t>6.</w:t>
      </w:r>
      <w:r>
        <w:rPr>
          <w:rFonts w:hint="eastAsia" w:ascii="楷体_GB2312" w:hAnsi="楷体_GB2312" w:eastAsia="楷体_GB2312" w:cs="楷体_GB2312"/>
          <w:kern w:val="0"/>
          <w:sz w:val="24"/>
          <w:szCs w:val="24"/>
        </w:rPr>
        <w:t>《</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】公司【</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】定向资产支持商业票据信托</w:t>
      </w:r>
      <w:r>
        <w:rPr>
          <w:rFonts w:hint="eastAsia" w:ascii="楷体_GB2312" w:hAnsi="楷体_GB2312" w:eastAsia="楷体_GB2312" w:cs="楷体_GB2312"/>
          <w:kern w:val="0"/>
          <w:sz w:val="24"/>
          <w:szCs w:val="24"/>
        </w:rPr>
        <w:t>主定义表》</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val="en-US" w:eastAsia="zh-CN"/>
        </w:rPr>
        <w:t>7.</w:t>
      </w:r>
      <w:r>
        <w:rPr>
          <w:rFonts w:hint="eastAsia" w:ascii="楷体_GB2312" w:hAnsi="楷体_GB2312" w:eastAsia="楷体_GB2312" w:cs="楷体_GB2312"/>
          <w:kern w:val="0"/>
          <w:sz w:val="24"/>
          <w:szCs w:val="24"/>
        </w:rPr>
        <w:t>《</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】公司【</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】定向资产支持商业票据信托</w:t>
      </w:r>
      <w:r>
        <w:rPr>
          <w:rFonts w:hint="eastAsia" w:ascii="楷体_GB2312" w:hAnsi="楷体_GB2312" w:eastAsia="楷体_GB2312" w:cs="楷体_GB2312"/>
          <w:kern w:val="0"/>
          <w:sz w:val="24"/>
          <w:szCs w:val="24"/>
        </w:rPr>
        <w:t>资金保管合同》</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val="en-US" w:eastAsia="zh-CN"/>
        </w:rPr>
        <w:t>8.</w:t>
      </w:r>
      <w:r>
        <w:rPr>
          <w:rFonts w:hint="eastAsia" w:ascii="楷体_GB2312" w:hAnsi="楷体_GB2312" w:eastAsia="楷体_GB2312" w:cs="楷体_GB2312"/>
          <w:kern w:val="0"/>
          <w:sz w:val="24"/>
          <w:szCs w:val="24"/>
        </w:rPr>
        <w:t>《</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】公司【</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】定向资产支持商业票据信托</w:t>
      </w:r>
      <w:r>
        <w:rPr>
          <w:rFonts w:hint="eastAsia" w:ascii="楷体_GB2312" w:hAnsi="楷体_GB2312" w:eastAsia="楷体_GB2312" w:cs="楷体_GB2312"/>
          <w:kern w:val="0"/>
          <w:sz w:val="24"/>
          <w:szCs w:val="24"/>
        </w:rPr>
        <w:t>资产服务</w:t>
      </w:r>
      <w:r>
        <w:rPr>
          <w:rFonts w:hint="eastAsia" w:ascii="楷体_GB2312" w:hAnsi="楷体_GB2312" w:eastAsia="楷体_GB2312" w:cs="楷体_GB2312"/>
          <w:kern w:val="0"/>
          <w:sz w:val="24"/>
          <w:szCs w:val="24"/>
          <w:lang w:val="en-US" w:eastAsia="zh-CN"/>
        </w:rPr>
        <w:t>合同</w:t>
      </w:r>
      <w:r>
        <w:rPr>
          <w:rFonts w:hint="eastAsia" w:ascii="楷体_GB2312" w:hAnsi="楷体_GB2312" w:eastAsia="楷体_GB2312" w:cs="楷体_GB2312"/>
          <w:kern w:val="0"/>
          <w:sz w:val="24"/>
          <w:szCs w:val="24"/>
        </w:rPr>
        <w:t>》</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如有</w:t>
      </w:r>
      <w:r>
        <w:rPr>
          <w:rFonts w:hint="eastAsia" w:ascii="楷体_GB2312" w:hAnsi="楷体_GB2312" w:eastAsia="楷体_GB2312" w:cs="楷体_GB2312"/>
          <w:kern w:val="0"/>
          <w:sz w:val="24"/>
          <w:szCs w:val="24"/>
          <w:lang w:eastAsia="zh-CN"/>
        </w:rPr>
        <w:t>）</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lang w:val="en-US" w:eastAsia="zh-CN"/>
        </w:rPr>
        <w:t>9.</w:t>
      </w:r>
      <w:r>
        <w:rPr>
          <w:rFonts w:hint="eastAsia" w:ascii="楷体_GB2312" w:hAnsi="楷体_GB2312" w:eastAsia="楷体_GB2312" w:cs="楷体_GB2312"/>
          <w:kern w:val="0"/>
          <w:sz w:val="24"/>
          <w:szCs w:val="24"/>
        </w:rPr>
        <w:t>《</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】公司【</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】定向资产支持商业票据信托</w:t>
      </w:r>
      <w:r>
        <w:rPr>
          <w:rFonts w:hint="eastAsia" w:ascii="楷体_GB2312" w:hAnsi="楷体_GB2312" w:eastAsia="楷体_GB2312" w:cs="楷体_GB2312"/>
          <w:kern w:val="0"/>
          <w:sz w:val="24"/>
          <w:szCs w:val="24"/>
        </w:rPr>
        <w:t>差额支付承诺函》</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如有</w:t>
      </w:r>
      <w:r>
        <w:rPr>
          <w:rFonts w:hint="eastAsia" w:ascii="楷体_GB2312" w:hAnsi="楷体_GB2312" w:eastAsia="楷体_GB2312" w:cs="楷体_GB2312"/>
          <w:kern w:val="0"/>
          <w:sz w:val="24"/>
          <w:szCs w:val="24"/>
          <w:lang w:eastAsia="zh-CN"/>
        </w:rPr>
        <w:t>）</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val="en-US" w:eastAsia="zh-CN"/>
        </w:rPr>
        <w:t>10.</w:t>
      </w:r>
      <w:r>
        <w:rPr>
          <w:rFonts w:hint="eastAsia" w:ascii="楷体_GB2312" w:hAnsi="楷体_GB2312" w:eastAsia="楷体_GB2312" w:cs="楷体_GB2312"/>
          <w:kern w:val="0"/>
          <w:sz w:val="24"/>
          <w:szCs w:val="24"/>
        </w:rPr>
        <w:t>发行载体管理机构的业务资格批件、营业执照和公司章程</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val="en-US" w:eastAsia="zh-CN"/>
        </w:rPr>
        <w:t>11.</w:t>
      </w:r>
      <w:r>
        <w:rPr>
          <w:rFonts w:hint="eastAsia" w:ascii="楷体_GB2312" w:hAnsi="楷体_GB2312" w:eastAsia="楷体_GB2312" w:cs="楷体_GB2312"/>
          <w:kern w:val="0"/>
          <w:sz w:val="24"/>
          <w:szCs w:val="24"/>
        </w:rPr>
        <w:t>发起机构的营业执照和公司章程</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val="en-US" w:eastAsia="zh-CN"/>
        </w:rPr>
        <w:t>12.</w:t>
      </w:r>
      <w:r>
        <w:rPr>
          <w:rFonts w:hint="eastAsia" w:ascii="楷体_GB2312" w:hAnsi="楷体_GB2312" w:eastAsia="楷体_GB2312" w:cs="楷体_GB2312"/>
          <w:kern w:val="0"/>
          <w:sz w:val="24"/>
          <w:szCs w:val="24"/>
        </w:rPr>
        <w:t>资金保管机构的业务资格批件和营业执照</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lang w:val="en-US" w:eastAsia="zh-CN"/>
        </w:rPr>
        <w:t>13.</w:t>
      </w:r>
      <w:r>
        <w:rPr>
          <w:rFonts w:hint="eastAsia" w:ascii="楷体_GB2312" w:hAnsi="楷体_GB2312" w:eastAsia="楷体_GB2312" w:cs="楷体_GB2312"/>
          <w:kern w:val="0"/>
          <w:sz w:val="24"/>
          <w:szCs w:val="24"/>
        </w:rPr>
        <w:t>中国银行间市场交易商协会《接受注册通知书》（中市协注[</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rPr>
        <w:t>]AB</w:t>
      </w:r>
      <w:r>
        <w:rPr>
          <w:rFonts w:hint="eastAsia" w:ascii="楷体_GB2312" w:hAnsi="楷体_GB2312" w:eastAsia="楷体_GB2312" w:cs="楷体_GB2312"/>
          <w:kern w:val="0"/>
          <w:sz w:val="24"/>
          <w:szCs w:val="24"/>
          <w:lang w:val="en-US" w:eastAsia="zh-CN"/>
        </w:rPr>
        <w:t>N【  】</w:t>
      </w:r>
      <w:r>
        <w:rPr>
          <w:rFonts w:hint="eastAsia" w:ascii="楷体_GB2312" w:hAnsi="楷体_GB2312" w:eastAsia="楷体_GB2312" w:cs="楷体_GB2312"/>
          <w:kern w:val="0"/>
          <w:sz w:val="24"/>
          <w:szCs w:val="24"/>
        </w:rPr>
        <w:t>号）</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u w:val="none"/>
          <w:lang w:val="en-US" w:eastAsia="zh-CN"/>
        </w:rPr>
        <w:t>14.</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kern w:val="0"/>
          <w:sz w:val="24"/>
          <w:szCs w:val="24"/>
          <w:lang w:eastAsia="zh-CN"/>
        </w:rPr>
        <w:t>公司</w:t>
      </w:r>
      <w:r>
        <w:rPr>
          <w:rFonts w:hint="eastAsia" w:ascii="楷体_GB2312" w:hAnsi="楷体_GB2312" w:eastAsia="楷体_GB2312" w:cs="楷体_GB2312"/>
          <w:kern w:val="0"/>
          <w:sz w:val="24"/>
          <w:szCs w:val="24"/>
        </w:rPr>
        <w:t>关于本次发行</w:t>
      </w:r>
      <w:r>
        <w:rPr>
          <w:rFonts w:hint="eastAsia" w:ascii="楷体_GB2312" w:hAnsi="楷体_GB2312" w:eastAsia="楷体_GB2312" w:cs="楷体_GB2312"/>
          <w:kern w:val="0"/>
          <w:sz w:val="24"/>
          <w:szCs w:val="24"/>
          <w:lang w:val="en-US" w:eastAsia="zh-CN"/>
        </w:rPr>
        <w:t>定向</w:t>
      </w:r>
      <w:r>
        <w:rPr>
          <w:rFonts w:hint="eastAsia" w:ascii="楷体_GB2312" w:hAnsi="楷体_GB2312" w:eastAsia="楷体_GB2312" w:cs="楷体_GB2312"/>
          <w:kern w:val="0"/>
          <w:sz w:val="24"/>
          <w:szCs w:val="24"/>
        </w:rPr>
        <w:t>资产支持</w:t>
      </w:r>
      <w:r>
        <w:rPr>
          <w:rFonts w:hint="eastAsia" w:ascii="楷体_GB2312" w:hAnsi="楷体_GB2312" w:eastAsia="楷体_GB2312" w:cs="楷体_GB2312"/>
          <w:kern w:val="0"/>
          <w:sz w:val="24"/>
          <w:szCs w:val="24"/>
          <w:lang w:eastAsia="zh-CN"/>
        </w:rPr>
        <w:t>商业</w:t>
      </w:r>
      <w:r>
        <w:rPr>
          <w:rFonts w:hint="eastAsia" w:ascii="楷体_GB2312" w:hAnsi="楷体_GB2312" w:eastAsia="楷体_GB2312" w:cs="楷体_GB2312"/>
          <w:kern w:val="0"/>
          <w:sz w:val="24"/>
          <w:szCs w:val="24"/>
        </w:rPr>
        <w:t>票据的</w:t>
      </w:r>
      <w:r>
        <w:rPr>
          <w:rFonts w:hint="eastAsia" w:ascii="楷体_GB2312" w:hAnsi="楷体_GB2312" w:eastAsia="楷体_GB2312" w:cs="楷体_GB2312"/>
          <w:kern w:val="0"/>
          <w:sz w:val="24"/>
          <w:szCs w:val="24"/>
          <w:lang w:eastAsia="zh-CN"/>
        </w:rPr>
        <w:t>股东决定（</w:t>
      </w:r>
      <w:r>
        <w:rPr>
          <w:rFonts w:hint="eastAsia" w:ascii="楷体_GB2312" w:hAnsi="楷体_GB2312" w:eastAsia="楷体_GB2312" w:cs="楷体_GB2312"/>
          <w:kern w:val="0"/>
          <w:sz w:val="24"/>
          <w:szCs w:val="24"/>
          <w:lang w:val="en-US" w:eastAsia="zh-CN"/>
        </w:rPr>
        <w:t>如有</w:t>
      </w:r>
      <w:r>
        <w:rPr>
          <w:rFonts w:hint="eastAsia" w:ascii="楷体_GB2312" w:hAnsi="楷体_GB2312" w:eastAsia="楷体_GB2312" w:cs="楷体_GB2312"/>
          <w:kern w:val="0"/>
          <w:sz w:val="24"/>
          <w:szCs w:val="24"/>
          <w:lang w:eastAsia="zh-CN"/>
        </w:rPr>
        <w:t>）</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u w:val="none"/>
          <w:lang w:val="en-US" w:eastAsia="zh-CN"/>
        </w:rPr>
        <w:t>15.</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kern w:val="0"/>
          <w:sz w:val="24"/>
          <w:szCs w:val="24"/>
        </w:rPr>
        <w:t>公司关于本次发行</w:t>
      </w:r>
      <w:r>
        <w:rPr>
          <w:rFonts w:hint="eastAsia" w:ascii="楷体_GB2312" w:hAnsi="楷体_GB2312" w:eastAsia="楷体_GB2312" w:cs="楷体_GB2312"/>
          <w:kern w:val="0"/>
          <w:sz w:val="24"/>
          <w:szCs w:val="24"/>
          <w:lang w:val="en-US" w:eastAsia="zh-CN"/>
        </w:rPr>
        <w:t>定向</w:t>
      </w:r>
      <w:r>
        <w:rPr>
          <w:rFonts w:hint="eastAsia" w:ascii="楷体_GB2312" w:hAnsi="楷体_GB2312" w:eastAsia="楷体_GB2312" w:cs="楷体_GB2312"/>
          <w:kern w:val="0"/>
          <w:sz w:val="24"/>
          <w:szCs w:val="24"/>
        </w:rPr>
        <w:t>资产支持</w:t>
      </w:r>
      <w:r>
        <w:rPr>
          <w:rFonts w:hint="eastAsia" w:ascii="楷体_GB2312" w:hAnsi="楷体_GB2312" w:eastAsia="楷体_GB2312" w:cs="楷体_GB2312"/>
          <w:kern w:val="0"/>
          <w:sz w:val="24"/>
          <w:szCs w:val="24"/>
          <w:lang w:eastAsia="zh-CN"/>
        </w:rPr>
        <w:t>商业</w:t>
      </w:r>
      <w:r>
        <w:rPr>
          <w:rFonts w:hint="eastAsia" w:ascii="楷体_GB2312" w:hAnsi="楷体_GB2312" w:eastAsia="楷体_GB2312" w:cs="楷体_GB2312"/>
          <w:kern w:val="0"/>
          <w:sz w:val="24"/>
          <w:szCs w:val="24"/>
        </w:rPr>
        <w:t>票据的董事会决议</w:t>
      </w:r>
    </w:p>
    <w:p>
      <w:pPr>
        <w:pStyle w:val="156"/>
        <w:keepNext w:val="0"/>
        <w:keepLines w:val="0"/>
        <w:pageBreakBefore w:val="0"/>
        <w:widowControl w:val="0"/>
        <w:numPr>
          <w:ilvl w:val="0"/>
          <w:numId w:val="0"/>
        </w:numPr>
        <w:kinsoku/>
        <w:wordWrap/>
        <w:topLinePunct w:val="0"/>
        <w:autoSpaceDE w:val="0"/>
        <w:autoSpaceDN w:val="0"/>
        <w:bidi w:val="0"/>
        <w:adjustRightInd w:val="0"/>
        <w:spacing w:before="144" w:beforeLines="50" w:after="144" w:afterLines="50" w:line="240" w:lineRule="atLeast"/>
        <w:ind w:leftChars="0"/>
        <w:jc w:val="both"/>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u w:val="none"/>
          <w:lang w:val="en-US" w:eastAsia="zh-CN"/>
        </w:rPr>
        <w:t>16.</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snapToGrid w:val="0"/>
          <w:sz w:val="24"/>
          <w:szCs w:val="24"/>
          <w:u w:val="single"/>
          <w:lang w:val="en-US" w:eastAsia="zh-CN"/>
        </w:rPr>
        <w:t xml:space="preserve">  </w:t>
      </w:r>
      <w:r>
        <w:rPr>
          <w:rFonts w:hint="eastAsia" w:ascii="楷体_GB2312" w:hAnsi="楷体_GB2312" w:eastAsia="楷体_GB2312" w:cs="楷体_GB2312"/>
          <w:snapToGrid w:val="0"/>
          <w:sz w:val="24"/>
          <w:szCs w:val="24"/>
          <w:lang w:val="en-US" w:eastAsia="zh-CN"/>
        </w:rPr>
        <w:t>】</w:t>
      </w:r>
      <w:r>
        <w:rPr>
          <w:rFonts w:hint="eastAsia" w:ascii="楷体_GB2312" w:hAnsi="楷体_GB2312" w:eastAsia="楷体_GB2312" w:cs="楷体_GB2312"/>
          <w:kern w:val="0"/>
          <w:sz w:val="24"/>
          <w:szCs w:val="24"/>
          <w:lang w:eastAsia="zh-CN"/>
        </w:rPr>
        <w:t>公司【</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年-</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lang w:val="en-US" w:eastAsia="zh-CN"/>
        </w:rPr>
        <w:t xml:space="preserve">  </w:t>
      </w:r>
      <w:r>
        <w:rPr>
          <w:rFonts w:hint="eastAsia" w:ascii="楷体_GB2312" w:hAnsi="楷体_GB2312" w:eastAsia="楷体_GB2312" w:cs="楷体_GB2312"/>
          <w:kern w:val="0"/>
          <w:sz w:val="24"/>
          <w:szCs w:val="24"/>
          <w:lang w:eastAsia="zh-CN"/>
        </w:rPr>
        <w:t>】</w:t>
      </w:r>
      <w:r>
        <w:rPr>
          <w:rFonts w:hint="eastAsia" w:ascii="楷体_GB2312" w:hAnsi="楷体_GB2312" w:eastAsia="楷体_GB2312" w:cs="楷体_GB2312"/>
          <w:kern w:val="0"/>
          <w:sz w:val="24"/>
          <w:szCs w:val="24"/>
        </w:rPr>
        <w:t>年经审计的财务报告</w:t>
      </w:r>
    </w:p>
    <w:p>
      <w:pPr>
        <w:pStyle w:val="2"/>
        <w:keepNext w:val="0"/>
        <w:keepLines w:val="0"/>
        <w:pageBreakBefore w:val="0"/>
        <w:widowControl w:val="0"/>
        <w:kinsoku/>
        <w:wordWrap/>
        <w:topLinePunct w:val="0"/>
        <w:bidi w:val="0"/>
        <w:spacing w:before="144" w:beforeLines="50" w:after="144" w:afterLines="50" w:line="240" w:lineRule="atLeast"/>
        <w:outlineLvl w:val="2"/>
        <w:rPr>
          <w:rFonts w:hint="eastAsia" w:ascii="楷体_GB2312" w:hAnsi="楷体_GB2312" w:eastAsia="楷体_GB2312" w:cs="楷体_GB2312"/>
          <w:b/>
          <w:bCs/>
          <w:snapToGrid w:val="0"/>
          <w:kern w:val="0"/>
          <w:sz w:val="24"/>
          <w:szCs w:val="24"/>
          <w:lang w:val="en-US" w:eastAsia="zh-CN" w:bidi="ar-SA"/>
        </w:rPr>
      </w:pPr>
      <w:bookmarkStart w:id="4441" w:name="_Toc27422"/>
      <w:bookmarkStart w:id="4442" w:name="_Toc8228"/>
      <w:r>
        <w:rPr>
          <w:rFonts w:hint="eastAsia" w:ascii="楷体_GB2312" w:hAnsi="楷体_GB2312" w:eastAsia="楷体_GB2312" w:cs="楷体_GB2312"/>
          <w:b/>
          <w:bCs/>
          <w:snapToGrid w:val="0"/>
          <w:kern w:val="0"/>
          <w:sz w:val="24"/>
          <w:szCs w:val="24"/>
          <w:lang w:val="en-US" w:eastAsia="zh-CN" w:bidi="ar-SA"/>
        </w:rPr>
        <w:t>二、查询地址</w:t>
      </w:r>
      <w:bookmarkEnd w:id="4441"/>
      <w:bookmarkEnd w:id="4442"/>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如对本</w:t>
      </w:r>
      <w:r>
        <w:rPr>
          <w:rFonts w:hint="eastAsia" w:ascii="楷体_GB2312" w:hAnsi="楷体_GB2312" w:eastAsia="楷体_GB2312" w:cs="楷体_GB2312"/>
          <w:kern w:val="0"/>
          <w:sz w:val="24"/>
          <w:szCs w:val="24"/>
          <w:lang w:val="en-US" w:eastAsia="zh-CN"/>
        </w:rPr>
        <w:t>定向发行协议</w:t>
      </w:r>
      <w:r>
        <w:rPr>
          <w:rFonts w:hint="eastAsia" w:ascii="楷体_GB2312" w:hAnsi="楷体_GB2312" w:eastAsia="楷体_GB2312" w:cs="楷体_GB2312"/>
          <w:kern w:val="0"/>
          <w:sz w:val="24"/>
          <w:szCs w:val="24"/>
        </w:rPr>
        <w:t>或上述备查文件有任何疑问，可以咨询发起机构和主承销商。</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（一）发起机构</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lang w:eastAsia="zh-CN"/>
        </w:rPr>
      </w:pPr>
      <w:r>
        <w:rPr>
          <w:rFonts w:hint="eastAsia" w:ascii="楷体_GB2312" w:hAnsi="楷体_GB2312" w:eastAsia="楷体_GB2312" w:cs="楷体_GB2312"/>
          <w:snapToGrid w:val="0"/>
        </w:rPr>
        <w:t>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lang w:val="en-US" w:eastAsia="zh-CN"/>
        </w:rPr>
      </w:pPr>
      <w:r>
        <w:rPr>
          <w:rFonts w:hint="eastAsia" w:ascii="楷体_GB2312" w:hAnsi="楷体_GB2312" w:eastAsia="楷体_GB2312" w:cs="楷体_GB2312"/>
          <w:snapToGrid w:val="0"/>
        </w:rPr>
        <w:t>法定代表人：</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联系人</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联系电话</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topLinePunct w:val="0"/>
        <w:bidi w:val="0"/>
        <w:spacing w:before="144" w:beforeLines="50" w:after="144" w:afterLines="50" w:line="240" w:lineRule="atLeast"/>
        <w:ind w:firstLine="480" w:firstLineChars="200"/>
        <w:jc w:val="both"/>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kern w:val="0"/>
          <w:sz w:val="24"/>
          <w:szCs w:val="24"/>
        </w:rPr>
        <w:t>传真：</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（二）牵头主承销商</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lang w:eastAsia="zh-CN"/>
        </w:rPr>
      </w:pPr>
      <w:r>
        <w:rPr>
          <w:rFonts w:hint="eastAsia" w:ascii="楷体_GB2312" w:hAnsi="楷体_GB2312" w:eastAsia="楷体_GB2312" w:cs="楷体_GB2312"/>
          <w:snapToGrid w:val="0"/>
        </w:rPr>
        <w:t>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lang w:val="en-US" w:eastAsia="zh-CN"/>
        </w:rPr>
      </w:pPr>
      <w:r>
        <w:rPr>
          <w:rFonts w:hint="eastAsia" w:ascii="楷体_GB2312" w:hAnsi="楷体_GB2312" w:eastAsia="楷体_GB2312" w:cs="楷体_GB2312"/>
          <w:snapToGrid w:val="0"/>
        </w:rPr>
        <w:t>法定代表人：</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联系人</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联系电话</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topLinePunct w:val="0"/>
        <w:bidi w:val="0"/>
        <w:spacing w:before="144" w:beforeLines="50" w:after="144" w:afterLines="50" w:line="240" w:lineRule="atLeast"/>
        <w:ind w:firstLine="480" w:firstLineChars="200"/>
        <w:jc w:val="both"/>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kern w:val="0"/>
          <w:sz w:val="24"/>
          <w:szCs w:val="24"/>
        </w:rPr>
        <w:t>传真：</w:t>
      </w: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（三）联席主承销商（如有）</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lang w:eastAsia="zh-CN"/>
        </w:rPr>
      </w:pPr>
      <w:r>
        <w:rPr>
          <w:rFonts w:hint="eastAsia" w:ascii="楷体_GB2312" w:hAnsi="楷体_GB2312" w:eastAsia="楷体_GB2312" w:cs="楷体_GB2312"/>
          <w:snapToGrid w:val="0"/>
        </w:rPr>
        <w:t>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lang w:val="en-US" w:eastAsia="zh-CN"/>
        </w:rPr>
      </w:pPr>
      <w:r>
        <w:rPr>
          <w:rFonts w:hint="eastAsia" w:ascii="楷体_GB2312" w:hAnsi="楷体_GB2312" w:eastAsia="楷体_GB2312" w:cs="楷体_GB2312"/>
          <w:snapToGrid w:val="0"/>
        </w:rPr>
        <w:t>法定代表人：</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lang w:eastAsia="zh-CN"/>
        </w:rPr>
      </w:pPr>
      <w:r>
        <w:rPr>
          <w:rFonts w:hint="eastAsia" w:ascii="楷体_GB2312" w:hAnsi="楷体_GB2312" w:eastAsia="楷体_GB2312" w:cs="楷体_GB2312"/>
          <w:kern w:val="0"/>
          <w:sz w:val="24"/>
          <w:szCs w:val="24"/>
        </w:rPr>
        <w:t>联系人</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联系电话</w:t>
      </w:r>
      <w:r>
        <w:rPr>
          <w:rFonts w:hint="eastAsia" w:ascii="楷体_GB2312" w:hAnsi="楷体_GB2312" w:eastAsia="楷体_GB2312" w:cs="楷体_GB2312"/>
          <w:kern w:val="0"/>
          <w:sz w:val="24"/>
          <w:szCs w:val="24"/>
          <w:lang w:eastAsia="zh-CN"/>
        </w:rPr>
        <w:t>：</w:t>
      </w:r>
    </w:p>
    <w:p>
      <w:pPr>
        <w:keepNext w:val="0"/>
        <w:keepLines w:val="0"/>
        <w:pageBreakBefore w:val="0"/>
        <w:widowControl w:val="0"/>
        <w:kinsoku/>
        <w:wordWrap/>
        <w:topLinePunct w:val="0"/>
        <w:bidi w:val="0"/>
        <w:spacing w:before="144" w:beforeLines="50" w:after="144" w:afterLines="50" w:line="240" w:lineRule="atLeast"/>
        <w:ind w:firstLine="480" w:firstLineChars="200"/>
        <w:jc w:val="both"/>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kern w:val="0"/>
          <w:sz w:val="24"/>
          <w:szCs w:val="24"/>
        </w:rPr>
        <w:t>传真：</w:t>
      </w:r>
    </w:p>
    <w:p>
      <w:pPr>
        <w:pStyle w:val="2"/>
        <w:keepNext w:val="0"/>
        <w:keepLines w:val="0"/>
        <w:pageBreakBefore w:val="0"/>
        <w:widowControl w:val="0"/>
        <w:kinsoku/>
        <w:wordWrap/>
        <w:topLinePunct w:val="0"/>
        <w:bidi w:val="0"/>
        <w:spacing w:before="144" w:beforeLines="50" w:after="144" w:afterLines="50" w:line="240" w:lineRule="atLeast"/>
        <w:outlineLvl w:val="2"/>
        <w:rPr>
          <w:rFonts w:hint="eastAsia" w:ascii="楷体_GB2312" w:hAnsi="楷体_GB2312" w:eastAsia="楷体_GB2312" w:cs="楷体_GB2312"/>
          <w:b/>
          <w:bCs/>
          <w:snapToGrid w:val="0"/>
          <w:kern w:val="0"/>
          <w:sz w:val="24"/>
          <w:szCs w:val="24"/>
          <w:lang w:val="en-US" w:eastAsia="zh-CN" w:bidi="ar-SA"/>
        </w:rPr>
      </w:pPr>
      <w:bookmarkStart w:id="4443" w:name="_Toc21419"/>
      <w:bookmarkStart w:id="4444" w:name="_Toc30798"/>
      <w:r>
        <w:rPr>
          <w:rFonts w:hint="eastAsia" w:ascii="楷体_GB2312" w:hAnsi="楷体_GB2312" w:eastAsia="楷体_GB2312" w:cs="楷体_GB2312"/>
          <w:b/>
          <w:bCs/>
          <w:snapToGrid w:val="0"/>
          <w:kern w:val="0"/>
          <w:sz w:val="24"/>
          <w:szCs w:val="24"/>
          <w:lang w:val="en-US" w:eastAsia="zh-CN" w:bidi="ar-SA"/>
        </w:rPr>
        <w:t>三、网站</w:t>
      </w:r>
      <w:bookmarkEnd w:id="4443"/>
      <w:bookmarkEnd w:id="4444"/>
    </w:p>
    <w:p>
      <w:pPr>
        <w:keepNext w:val="0"/>
        <w:keepLines w:val="0"/>
        <w:pageBreakBefore w:val="0"/>
        <w:widowControl w:val="0"/>
        <w:kinsoku/>
        <w:wordWrap/>
        <w:topLinePunct w:val="0"/>
        <w:autoSpaceDE w:val="0"/>
        <w:autoSpaceDN w:val="0"/>
        <w:bidi w:val="0"/>
        <w:adjustRightInd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投资</w:t>
      </w:r>
      <w:r>
        <w:rPr>
          <w:rFonts w:hint="eastAsia" w:ascii="楷体_GB2312" w:hAnsi="楷体_GB2312" w:eastAsia="楷体_GB2312" w:cs="楷体_GB2312"/>
          <w:kern w:val="0"/>
          <w:sz w:val="24"/>
          <w:szCs w:val="24"/>
          <w:lang w:val="en-US" w:eastAsia="zh-CN"/>
        </w:rPr>
        <w:t>人</w:t>
      </w:r>
      <w:r>
        <w:rPr>
          <w:rFonts w:hint="eastAsia" w:ascii="楷体_GB2312" w:hAnsi="楷体_GB2312" w:eastAsia="楷体_GB2312" w:cs="楷体_GB2312"/>
          <w:kern w:val="0"/>
          <w:sz w:val="24"/>
          <w:szCs w:val="24"/>
        </w:rPr>
        <w:t>可通过中国银行间市场交易商协会综合业务和信息服务平台下载本</w:t>
      </w:r>
      <w:r>
        <w:rPr>
          <w:rFonts w:hint="eastAsia" w:ascii="楷体_GB2312" w:hAnsi="楷体_GB2312" w:eastAsia="楷体_GB2312" w:cs="楷体_GB2312"/>
          <w:kern w:val="0"/>
          <w:sz w:val="24"/>
          <w:szCs w:val="24"/>
          <w:lang w:val="en-US" w:eastAsia="zh-CN"/>
        </w:rPr>
        <w:t>定向发行协议</w:t>
      </w:r>
      <w:r>
        <w:rPr>
          <w:rFonts w:hint="eastAsia" w:ascii="楷体_GB2312" w:hAnsi="楷体_GB2312" w:eastAsia="楷体_GB2312" w:cs="楷体_GB2312"/>
          <w:kern w:val="0"/>
          <w:sz w:val="24"/>
          <w:szCs w:val="24"/>
        </w:rPr>
        <w:t>，或者在本</w:t>
      </w:r>
      <w:r>
        <w:rPr>
          <w:rFonts w:hint="eastAsia" w:ascii="楷体_GB2312" w:hAnsi="楷体_GB2312" w:eastAsia="楷体_GB2312" w:cs="楷体_GB2312"/>
          <w:kern w:val="0"/>
          <w:sz w:val="24"/>
          <w:szCs w:val="24"/>
          <w:lang w:val="en-US" w:eastAsia="zh-CN"/>
        </w:rPr>
        <w:t>期</w:t>
      </w:r>
      <w:r>
        <w:rPr>
          <w:rFonts w:hint="eastAsia" w:ascii="楷体_GB2312" w:hAnsi="楷体_GB2312" w:eastAsia="楷体_GB2312" w:cs="楷体_GB2312"/>
          <w:kern w:val="0"/>
          <w:sz w:val="24"/>
          <w:szCs w:val="24"/>
          <w:lang w:eastAsia="zh-CN"/>
        </w:rPr>
        <w:t>资产支持商业票据</w:t>
      </w:r>
      <w:r>
        <w:rPr>
          <w:rFonts w:hint="eastAsia" w:ascii="楷体_GB2312" w:hAnsi="楷体_GB2312" w:eastAsia="楷体_GB2312" w:cs="楷体_GB2312"/>
          <w:kern w:val="0"/>
          <w:sz w:val="24"/>
          <w:szCs w:val="24"/>
        </w:rPr>
        <w:t>发行期内工作日的一般办公时间，到上述地点查阅本</w:t>
      </w:r>
      <w:r>
        <w:rPr>
          <w:rFonts w:hint="eastAsia" w:ascii="楷体_GB2312" w:hAnsi="楷体_GB2312" w:eastAsia="楷体_GB2312" w:cs="楷体_GB2312"/>
          <w:kern w:val="0"/>
          <w:sz w:val="24"/>
          <w:szCs w:val="24"/>
          <w:lang w:val="en-US" w:eastAsia="zh-CN"/>
        </w:rPr>
        <w:t>定向发行协议</w:t>
      </w:r>
      <w:r>
        <w:rPr>
          <w:rFonts w:hint="eastAsia" w:ascii="楷体_GB2312" w:hAnsi="楷体_GB2312" w:eastAsia="楷体_GB2312" w:cs="楷体_GB2312"/>
          <w:kern w:val="0"/>
          <w:sz w:val="24"/>
          <w:szCs w:val="24"/>
        </w:rPr>
        <w:t>全文及上述备查文件。</w:t>
      </w:r>
    </w:p>
    <w:p>
      <w:pPr>
        <w:pStyle w:val="2"/>
        <w:keepNext w:val="0"/>
        <w:keepLines w:val="0"/>
        <w:pageBreakBefore w:val="0"/>
        <w:widowControl w:val="0"/>
        <w:kinsoku/>
        <w:wordWrap/>
        <w:topLinePunct w:val="0"/>
        <w:bidi w:val="0"/>
        <w:spacing w:before="144" w:beforeLines="50" w:after="144" w:afterLines="50" w:line="240" w:lineRule="atLeast"/>
        <w:textAlignment w:val="auto"/>
        <w:rPr>
          <w:rFonts w:hint="eastAsia"/>
        </w:rPr>
      </w:pPr>
      <w:r>
        <w:rPr>
          <w:rFonts w:hint="eastAsia" w:ascii="Times New Roman" w:hAnsi="Times New Roman" w:eastAsia="楷体_GB2312" w:cs="Times New Roman"/>
          <w:b/>
          <w:bCs w:val="0"/>
          <w:i/>
          <w:color w:val="FF0000"/>
          <w:sz w:val="24"/>
          <w:szCs w:val="28"/>
          <w:u w:val="single"/>
          <w:lang w:val="en-US" w:eastAsia="zh-CN"/>
        </w:rPr>
        <w:t>应根据项目实际情况调整备查文件安排。</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jc w:val="both"/>
        <w:textAlignment w:val="auto"/>
        <w:outlineLvl w:val="9"/>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br w:type="page"/>
      </w:r>
    </w:p>
    <w:p>
      <w:pPr>
        <w:pStyle w:val="156"/>
        <w:keepNext w:val="0"/>
        <w:keepLines w:val="0"/>
        <w:pageBreakBefore w:val="0"/>
        <w:widowControl w:val="0"/>
        <w:numPr>
          <w:ilvl w:val="0"/>
          <w:numId w:val="4"/>
        </w:numPr>
        <w:kinsoku/>
        <w:wordWrap/>
        <w:topLinePunct w:val="0"/>
        <w:autoSpaceDE w:val="0"/>
        <w:autoSpaceDN w:val="0"/>
        <w:bidi w:val="0"/>
        <w:adjustRightInd w:val="0"/>
        <w:spacing w:before="144" w:beforeLines="50" w:after="144" w:afterLines="50" w:line="240" w:lineRule="atLeast"/>
        <w:ind w:left="0" w:firstLine="0" w:firstLineChars="0"/>
        <w:jc w:val="center"/>
        <w:textAlignment w:val="auto"/>
        <w:outlineLvl w:val="1"/>
        <w:rPr>
          <w:rFonts w:hint="eastAsia" w:ascii="楷体_GB2312" w:hAnsi="楷体_GB2312" w:eastAsia="楷体_GB2312" w:cs="楷体_GB2312"/>
          <w:b/>
          <w:bCs/>
          <w:kern w:val="0"/>
          <w:sz w:val="30"/>
          <w:szCs w:val="30"/>
        </w:rPr>
      </w:pPr>
      <w:bookmarkStart w:id="4445" w:name="_Toc12472"/>
      <w:bookmarkStart w:id="4446" w:name="_Toc200"/>
      <w:bookmarkStart w:id="4447" w:name="_Toc30806"/>
      <w:bookmarkStart w:id="4448" w:name="_Toc15025"/>
      <w:r>
        <w:rPr>
          <w:rFonts w:hint="eastAsia" w:ascii="楷体_GB2312" w:hAnsi="楷体_GB2312" w:eastAsia="楷体_GB2312" w:cs="楷体_GB2312"/>
          <w:b/>
          <w:bCs/>
          <w:kern w:val="0"/>
          <w:sz w:val="30"/>
          <w:szCs w:val="30"/>
        </w:rPr>
        <w:t>定向投资人及定向发行有关机构</w:t>
      </w:r>
      <w:bookmarkEnd w:id="4445"/>
      <w:bookmarkEnd w:id="4446"/>
      <w:bookmarkEnd w:id="4447"/>
      <w:bookmarkEnd w:id="4448"/>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bookmarkStart w:id="4449" w:name="_Toc4257"/>
      <w:r>
        <w:rPr>
          <w:rFonts w:hint="eastAsia" w:ascii="楷体_GB2312" w:hAnsi="楷体_GB2312" w:eastAsia="楷体_GB2312" w:cs="楷体_GB2312"/>
          <w:b/>
          <w:bCs/>
          <w:snapToGrid w:val="0"/>
          <w:kern w:val="0"/>
          <w:sz w:val="24"/>
          <w:szCs w:val="24"/>
          <w:lang w:val="en-US" w:eastAsia="zh-CN" w:bidi="ar-SA"/>
        </w:rPr>
        <w:t>一、发起机构</w:t>
      </w:r>
      <w:bookmarkEnd w:id="4449"/>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lang w:eastAsia="zh-CN"/>
        </w:rPr>
      </w:pPr>
      <w:r>
        <w:rPr>
          <w:rFonts w:hint="eastAsia" w:ascii="楷体_GB2312" w:hAnsi="楷体_GB2312" w:eastAsia="楷体_GB2312" w:cs="楷体_GB2312"/>
          <w:snapToGrid w:val="0"/>
        </w:rPr>
        <w:t>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法定代表人：</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r>
        <w:rPr>
          <w:rFonts w:hint="eastAsia" w:ascii="楷体_GB2312" w:hAnsi="楷体_GB2312" w:eastAsia="楷体_GB2312" w:cs="楷体_GB2312"/>
          <w:kern w:val="0"/>
          <w:sz w:val="24"/>
          <w:szCs w:val="24"/>
        </w:rPr>
        <w:t>联系人：</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lang w:val="en-US" w:eastAsia="zh-CN"/>
        </w:rPr>
      </w:pPr>
      <w:r>
        <w:rPr>
          <w:rFonts w:hint="eastAsia" w:ascii="楷体_GB2312" w:hAnsi="楷体_GB2312" w:eastAsia="楷体_GB2312" w:cs="楷体_GB2312"/>
          <w:kern w:val="0"/>
          <w:sz w:val="24"/>
          <w:szCs w:val="24"/>
        </w:rPr>
        <w:t>电话：</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lang w:val="en-US"/>
        </w:rPr>
      </w:pPr>
      <w:r>
        <w:rPr>
          <w:rFonts w:hint="eastAsia" w:ascii="楷体_GB2312" w:hAnsi="楷体_GB2312" w:eastAsia="楷体_GB2312" w:cs="楷体_GB2312"/>
          <w:kern w:val="0"/>
          <w:sz w:val="24"/>
          <w:szCs w:val="24"/>
        </w:rPr>
        <w:t>传真：</w:t>
      </w:r>
    </w:p>
    <w:p>
      <w:pPr>
        <w:pStyle w:val="110"/>
        <w:keepNext w:val="0"/>
        <w:keepLines w:val="0"/>
        <w:pageBreakBefore w:val="0"/>
        <w:widowControl w:val="0"/>
        <w:kinsoku/>
        <w:wordWrap/>
        <w:topLinePunct w:val="0"/>
        <w:bidi w:val="0"/>
        <w:spacing w:before="144" w:beforeLines="50" w:after="144" w:afterLines="50" w:line="240" w:lineRule="atLeast"/>
        <w:textAlignment w:val="auto"/>
        <w:rPr>
          <w:rFonts w:hint="eastAsia" w:hAnsi="楷体_GB2312"/>
        </w:rPr>
      </w:pP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bookmarkStart w:id="4450" w:name="_Toc6693"/>
      <w:r>
        <w:rPr>
          <w:rFonts w:hint="eastAsia" w:ascii="楷体_GB2312" w:hAnsi="楷体_GB2312" w:eastAsia="楷体_GB2312" w:cs="楷体_GB2312"/>
          <w:b/>
          <w:bCs/>
          <w:snapToGrid w:val="0"/>
          <w:kern w:val="0"/>
          <w:sz w:val="24"/>
          <w:szCs w:val="24"/>
          <w:lang w:val="en-US" w:eastAsia="zh-CN" w:bidi="ar-SA"/>
        </w:rPr>
        <w:t>二、发行载体管理机构</w:t>
      </w:r>
      <w:bookmarkEnd w:id="4450"/>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topLinePunct w:val="0"/>
        <w:bidi w:val="0"/>
        <w:spacing w:before="144" w:beforeLines="50" w:after="144" w:afterLines="50" w:line="240" w:lineRule="atLeast"/>
        <w:textAlignment w:val="auto"/>
        <w:rPr>
          <w:rFonts w:hint="eastAsia" w:hAnsi="楷体_GB2312"/>
        </w:rPr>
      </w:pPr>
    </w:p>
    <w:p>
      <w:pPr>
        <w:pStyle w:val="2"/>
        <w:keepNext w:val="0"/>
        <w:keepLines w:val="0"/>
        <w:pageBreakBefore w:val="0"/>
        <w:widowControl w:val="0"/>
        <w:kinsoku/>
        <w:wordWrap/>
        <w:topLinePunct w:val="0"/>
        <w:bidi w:val="0"/>
        <w:spacing w:before="144" w:beforeLines="50" w:after="144" w:afterLines="50" w:line="240" w:lineRule="atLeast"/>
        <w:rPr>
          <w:rFonts w:hint="default" w:ascii="楷体_GB2312" w:hAnsi="楷体_GB2312" w:eastAsia="楷体_GB2312" w:cs="楷体_GB2312"/>
          <w:b/>
          <w:bCs/>
          <w:snapToGrid w:val="0"/>
          <w:kern w:val="0"/>
          <w:sz w:val="24"/>
          <w:szCs w:val="24"/>
          <w:lang w:val="en-US" w:eastAsia="zh-CN" w:bidi="ar-SA"/>
        </w:rPr>
      </w:pPr>
      <w:bookmarkStart w:id="4451" w:name="_Toc5777"/>
      <w:r>
        <w:rPr>
          <w:rFonts w:hint="eastAsia" w:ascii="楷体_GB2312" w:hAnsi="楷体_GB2312" w:eastAsia="楷体_GB2312" w:cs="楷体_GB2312"/>
          <w:b/>
          <w:bCs/>
          <w:snapToGrid w:val="0"/>
          <w:kern w:val="0"/>
          <w:sz w:val="24"/>
          <w:szCs w:val="24"/>
          <w:lang w:val="en-US" w:eastAsia="zh-CN" w:bidi="ar-SA"/>
        </w:rPr>
        <w:t>三、牵头主承销商/簿记管理人</w:t>
      </w:r>
      <w:bookmarkEnd w:id="4451"/>
      <w:r>
        <w:rPr>
          <w:rFonts w:hint="eastAsia" w:ascii="楷体_GB2312" w:hAnsi="楷体_GB2312" w:eastAsia="楷体_GB2312" w:cs="楷体_GB2312"/>
          <w:b/>
          <w:bCs/>
          <w:snapToGrid w:val="0"/>
          <w:kern w:val="0"/>
          <w:sz w:val="24"/>
          <w:szCs w:val="24"/>
          <w:lang w:val="en-US" w:eastAsia="zh-CN" w:bidi="ar-SA"/>
        </w:rPr>
        <w:t>/存续期管理机构</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keepNext w:val="0"/>
        <w:keepLines w:val="0"/>
        <w:pageBreakBefore w:val="0"/>
        <w:widowControl w:val="0"/>
        <w:kinsoku/>
        <w:wordWrap/>
        <w:topLinePunct w:val="0"/>
        <w:autoSpaceDE w:val="0"/>
        <w:autoSpaceDN w:val="0"/>
        <w:bidi w:val="0"/>
        <w:adjustRightInd w:val="0"/>
        <w:spacing w:before="144" w:beforeLines="50" w:after="144" w:afterLines="50" w:line="240" w:lineRule="atLeast"/>
        <w:ind w:firstLine="480" w:firstLineChars="200"/>
        <w:jc w:val="both"/>
        <w:textAlignment w:val="auto"/>
        <w:rPr>
          <w:rFonts w:hint="eastAsia" w:ascii="楷体_GB2312" w:hAnsi="楷体_GB2312" w:eastAsia="楷体_GB2312" w:cs="楷体_GB2312"/>
          <w:kern w:val="0"/>
          <w:sz w:val="24"/>
          <w:szCs w:val="24"/>
        </w:rPr>
      </w:pP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bookmarkStart w:id="4452" w:name="_Toc22614"/>
      <w:r>
        <w:rPr>
          <w:rFonts w:hint="eastAsia" w:ascii="楷体_GB2312" w:hAnsi="楷体_GB2312" w:eastAsia="楷体_GB2312" w:cs="楷体_GB2312"/>
          <w:b/>
          <w:bCs/>
          <w:snapToGrid w:val="0"/>
          <w:kern w:val="0"/>
          <w:sz w:val="24"/>
          <w:szCs w:val="24"/>
          <w:lang w:val="en-US" w:eastAsia="zh-CN" w:bidi="ar-SA"/>
        </w:rPr>
        <w:t>四、联席主承销商（如有）</w:t>
      </w:r>
      <w:bookmarkEnd w:id="4452"/>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numPr>
          <w:ilvl w:val="0"/>
          <w:numId w:val="0"/>
        </w:numPr>
        <w:kinsoku/>
        <w:wordWrap/>
        <w:topLinePunct w:val="0"/>
        <w:bidi w:val="0"/>
        <w:spacing w:before="144" w:beforeLines="50" w:after="144" w:afterLines="50" w:line="240" w:lineRule="atLeast"/>
        <w:ind w:firstLine="0" w:firstLineChars="0"/>
        <w:textAlignment w:val="auto"/>
        <w:rPr>
          <w:rFonts w:hint="eastAsia" w:hAnsi="楷体_GB2312"/>
          <w:lang w:val="en-US" w:eastAsia="zh-CN"/>
        </w:rPr>
      </w:pPr>
    </w:p>
    <w:p>
      <w:pPr>
        <w:pStyle w:val="2"/>
        <w:keepNext w:val="0"/>
        <w:keepLines w:val="0"/>
        <w:pageBreakBefore w:val="0"/>
        <w:widowControl w:val="0"/>
        <w:kinsoku/>
        <w:wordWrap/>
        <w:topLinePunct w:val="0"/>
        <w:bidi w:val="0"/>
        <w:spacing w:before="144" w:beforeLines="50" w:after="144" w:afterLines="50" w:line="240" w:lineRule="atLeast"/>
        <w:rPr>
          <w:rFonts w:hint="default"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五、定向投资人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numPr>
          <w:ilvl w:val="0"/>
          <w:numId w:val="0"/>
        </w:numPr>
        <w:kinsoku/>
        <w:wordWrap/>
        <w:topLinePunct w:val="0"/>
        <w:bidi w:val="0"/>
        <w:spacing w:before="144" w:beforeLines="50" w:after="144" w:afterLines="50" w:line="240" w:lineRule="atLeast"/>
        <w:ind w:firstLine="0" w:firstLineChars="0"/>
        <w:textAlignment w:val="auto"/>
        <w:rPr>
          <w:rFonts w:hint="eastAsia" w:hAnsi="楷体_GB2312"/>
          <w:lang w:val="en-US" w:eastAsia="zh-CN"/>
        </w:rPr>
      </w:pP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r>
        <w:rPr>
          <w:rFonts w:hint="eastAsia" w:ascii="楷体_GB2312" w:hAnsi="楷体_GB2312" w:eastAsia="楷体_GB2312" w:cs="楷体_GB2312"/>
          <w:b/>
          <w:bCs/>
          <w:snapToGrid w:val="0"/>
          <w:kern w:val="0"/>
          <w:sz w:val="24"/>
          <w:szCs w:val="24"/>
          <w:lang w:val="en-US" w:eastAsia="zh-CN" w:bidi="ar-SA"/>
        </w:rPr>
        <w:t>六、资金保管机构</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topLinePunct w:val="0"/>
        <w:bidi w:val="0"/>
        <w:spacing w:before="144" w:beforeLines="50" w:after="144" w:afterLines="50" w:line="240" w:lineRule="atLeast"/>
        <w:textAlignment w:val="auto"/>
        <w:rPr>
          <w:rFonts w:hint="eastAsia" w:ascii="楷体_GB2312" w:hAnsi="楷体_GB2312" w:eastAsia="楷体_GB2312" w:cs="楷体_GB2312"/>
          <w:snapToGrid w:val="0"/>
        </w:rPr>
      </w:pPr>
    </w:p>
    <w:p>
      <w:pPr>
        <w:pStyle w:val="2"/>
        <w:keepNext w:val="0"/>
        <w:keepLines w:val="0"/>
        <w:pageBreakBefore w:val="0"/>
        <w:widowControl w:val="0"/>
        <w:kinsoku/>
        <w:wordWrap/>
        <w:topLinePunct w:val="0"/>
        <w:bidi w:val="0"/>
        <w:spacing w:before="144" w:beforeLines="50" w:after="144" w:afterLines="50" w:line="240" w:lineRule="atLeast"/>
        <w:rPr>
          <w:rFonts w:hint="default" w:ascii="楷体_GB2312" w:hAnsi="楷体_GB2312" w:eastAsia="楷体_GB2312" w:cs="楷体_GB2312"/>
          <w:b/>
          <w:bCs/>
          <w:snapToGrid w:val="0"/>
          <w:kern w:val="0"/>
          <w:sz w:val="24"/>
          <w:szCs w:val="24"/>
          <w:lang w:val="en-US" w:eastAsia="zh-CN" w:bidi="ar-SA"/>
        </w:rPr>
      </w:pPr>
      <w:bookmarkStart w:id="4453" w:name="_Toc2812"/>
      <w:r>
        <w:rPr>
          <w:rFonts w:hint="eastAsia" w:ascii="楷体_GB2312" w:hAnsi="楷体_GB2312" w:eastAsia="楷体_GB2312" w:cs="楷体_GB2312"/>
          <w:b/>
          <w:bCs/>
          <w:snapToGrid w:val="0"/>
          <w:kern w:val="0"/>
          <w:sz w:val="24"/>
          <w:szCs w:val="24"/>
          <w:lang w:val="en-US" w:eastAsia="zh-CN" w:bidi="ar-SA"/>
        </w:rPr>
        <w:t>七、资金监管机构（如有）</w:t>
      </w:r>
      <w:bookmarkEnd w:id="4453"/>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76"/>
        <w:keepNext w:val="0"/>
        <w:keepLines w:val="0"/>
        <w:pageBreakBefore w:val="0"/>
        <w:widowControl w:val="0"/>
        <w:kinsoku/>
        <w:wordWrap/>
        <w:topLinePunct w:val="0"/>
        <w:bidi w:val="0"/>
        <w:snapToGrid w:val="0"/>
        <w:spacing w:before="144" w:beforeLines="50" w:after="144" w:afterLines="50" w:line="240" w:lineRule="atLeast"/>
        <w:textAlignment w:val="auto"/>
        <w:rPr>
          <w:rFonts w:hint="eastAsia"/>
        </w:rPr>
      </w:pPr>
    </w:p>
    <w:p>
      <w:pPr>
        <w:pStyle w:val="2"/>
        <w:keepNext w:val="0"/>
        <w:keepLines w:val="0"/>
        <w:pageBreakBefore w:val="0"/>
        <w:widowControl w:val="0"/>
        <w:kinsoku/>
        <w:wordWrap/>
        <w:topLinePunct w:val="0"/>
        <w:bidi w:val="0"/>
        <w:spacing w:before="144" w:beforeLines="50" w:after="144" w:afterLines="50" w:line="240" w:lineRule="atLeast"/>
        <w:rPr>
          <w:rFonts w:hint="default" w:ascii="楷体_GB2312" w:hAnsi="楷体_GB2312" w:eastAsia="楷体_GB2312" w:cs="楷体_GB2312"/>
          <w:b/>
          <w:bCs/>
          <w:snapToGrid w:val="0"/>
          <w:kern w:val="0"/>
          <w:sz w:val="24"/>
          <w:szCs w:val="24"/>
          <w:lang w:val="en-US" w:eastAsia="zh-CN" w:bidi="ar-SA"/>
        </w:rPr>
      </w:pPr>
      <w:bookmarkStart w:id="4454" w:name="_Toc30586"/>
      <w:r>
        <w:rPr>
          <w:rFonts w:hint="eastAsia" w:ascii="楷体_GB2312" w:hAnsi="楷体_GB2312" w:eastAsia="楷体_GB2312" w:cs="楷体_GB2312"/>
          <w:b/>
          <w:bCs/>
          <w:snapToGrid w:val="0"/>
          <w:kern w:val="0"/>
          <w:sz w:val="24"/>
          <w:szCs w:val="24"/>
          <w:lang w:val="en-US" w:eastAsia="zh-CN" w:bidi="ar-SA"/>
        </w:rPr>
        <w:t>八、资产服务机构（如有）</w:t>
      </w:r>
      <w:bookmarkEnd w:id="4454"/>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keepNext w:val="0"/>
        <w:keepLines w:val="0"/>
        <w:pageBreakBefore w:val="0"/>
        <w:widowControl w:val="0"/>
        <w:kinsoku/>
        <w:wordWrap/>
        <w:topLinePunct w:val="0"/>
        <w:bidi w:val="0"/>
        <w:adjustRightInd w:val="0"/>
        <w:spacing w:before="144" w:beforeLines="50" w:after="144" w:afterLines="50" w:line="240" w:lineRule="atLeast"/>
        <w:ind w:firstLine="482" w:firstLineChars="200"/>
        <w:jc w:val="both"/>
        <w:textAlignment w:val="auto"/>
        <w:outlineLvl w:val="9"/>
        <w:rPr>
          <w:rFonts w:hint="eastAsia" w:ascii="楷体_GB2312" w:hAnsi="楷体_GB2312" w:eastAsia="楷体_GB2312" w:cs="楷体_GB2312"/>
          <w:b/>
          <w:bCs/>
          <w:sz w:val="24"/>
          <w:szCs w:val="24"/>
          <w:lang w:eastAsia="zh-CN"/>
        </w:rPr>
      </w:pP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bookmarkStart w:id="4455" w:name="_Toc3977"/>
      <w:r>
        <w:rPr>
          <w:rFonts w:hint="eastAsia" w:ascii="楷体_GB2312" w:hAnsi="楷体_GB2312" w:eastAsia="楷体_GB2312" w:cs="楷体_GB2312"/>
          <w:b/>
          <w:bCs/>
          <w:snapToGrid w:val="0"/>
          <w:kern w:val="0"/>
          <w:sz w:val="24"/>
          <w:szCs w:val="24"/>
          <w:lang w:val="en-US" w:eastAsia="zh-CN" w:bidi="ar-SA"/>
        </w:rPr>
        <w:t>九、律师事务所</w:t>
      </w:r>
      <w:bookmarkEnd w:id="4455"/>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topLinePunct w:val="0"/>
        <w:bidi w:val="0"/>
        <w:spacing w:before="144" w:beforeLines="50" w:after="144" w:afterLines="50" w:line="240" w:lineRule="atLeast"/>
        <w:textAlignment w:val="auto"/>
        <w:rPr>
          <w:rFonts w:hint="eastAsia" w:hAnsi="楷体_GB2312"/>
        </w:rPr>
      </w:pP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bookmarkStart w:id="4456" w:name="_Toc6130"/>
      <w:r>
        <w:rPr>
          <w:rFonts w:hint="eastAsia" w:ascii="楷体_GB2312" w:hAnsi="楷体_GB2312" w:eastAsia="楷体_GB2312" w:cs="楷体_GB2312"/>
          <w:b/>
          <w:bCs/>
          <w:snapToGrid w:val="0"/>
          <w:kern w:val="0"/>
          <w:sz w:val="24"/>
          <w:szCs w:val="24"/>
          <w:lang w:val="en-US" w:eastAsia="zh-CN" w:bidi="ar-SA"/>
        </w:rPr>
        <w:t>十、会计师事务所、现金流评估预测机构（如有）</w:t>
      </w:r>
      <w:bookmarkEnd w:id="4456"/>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topLinePunct w:val="0"/>
        <w:bidi w:val="0"/>
        <w:spacing w:before="144" w:beforeLines="50" w:after="144" w:afterLines="50" w:line="240" w:lineRule="atLeast"/>
        <w:textAlignment w:val="auto"/>
        <w:rPr>
          <w:rFonts w:hint="eastAsia" w:hAnsi="楷体_GB2312"/>
        </w:rPr>
      </w:pP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bookmarkStart w:id="4457" w:name="_Toc4452"/>
      <w:r>
        <w:rPr>
          <w:rFonts w:hint="eastAsia" w:ascii="楷体_GB2312" w:hAnsi="楷体_GB2312" w:eastAsia="楷体_GB2312" w:cs="楷体_GB2312"/>
          <w:b/>
          <w:bCs/>
          <w:snapToGrid w:val="0"/>
          <w:kern w:val="0"/>
          <w:sz w:val="24"/>
          <w:szCs w:val="24"/>
          <w:lang w:val="en-US" w:eastAsia="zh-CN" w:bidi="ar-SA"/>
        </w:rPr>
        <w:t>十一、信用评级机构（如有）</w:t>
      </w:r>
      <w:bookmarkEnd w:id="4457"/>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topLinePunct w:val="0"/>
        <w:bidi w:val="0"/>
        <w:spacing w:before="144" w:beforeLines="50" w:after="144" w:afterLines="50" w:line="240" w:lineRule="atLeast"/>
        <w:textAlignment w:val="auto"/>
        <w:rPr>
          <w:rFonts w:hint="eastAsia" w:hAnsi="楷体_GB2312"/>
        </w:rPr>
      </w:pPr>
    </w:p>
    <w:p>
      <w:pPr>
        <w:pStyle w:val="2"/>
        <w:keepNext w:val="0"/>
        <w:keepLines w:val="0"/>
        <w:pageBreakBefore w:val="0"/>
        <w:widowControl w:val="0"/>
        <w:kinsoku/>
        <w:wordWrap/>
        <w:topLinePunct w:val="0"/>
        <w:bidi w:val="0"/>
        <w:spacing w:before="144" w:beforeLines="50" w:after="144" w:afterLines="50" w:line="240" w:lineRule="atLeast"/>
        <w:rPr>
          <w:rFonts w:hint="default" w:ascii="楷体_GB2312" w:hAnsi="楷体_GB2312" w:eastAsia="楷体_GB2312" w:cs="楷体_GB2312"/>
          <w:b/>
          <w:bCs/>
          <w:snapToGrid w:val="0"/>
          <w:kern w:val="0"/>
          <w:sz w:val="24"/>
          <w:szCs w:val="24"/>
          <w:lang w:val="en-US" w:eastAsia="zh-CN" w:bidi="ar-SA"/>
        </w:rPr>
      </w:pPr>
      <w:bookmarkStart w:id="4458" w:name="_Toc8120"/>
      <w:r>
        <w:rPr>
          <w:rFonts w:hint="eastAsia" w:ascii="楷体_GB2312" w:hAnsi="楷体_GB2312" w:eastAsia="楷体_GB2312" w:cs="楷体_GB2312"/>
          <w:b/>
          <w:bCs/>
          <w:snapToGrid w:val="0"/>
          <w:kern w:val="0"/>
          <w:sz w:val="24"/>
          <w:szCs w:val="24"/>
          <w:lang w:val="en-US" w:eastAsia="zh-CN" w:bidi="ar-SA"/>
        </w:rPr>
        <w:t>十二、信用增级机构(如有）</w:t>
      </w:r>
      <w:bookmarkEnd w:id="4458"/>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topLinePunct w:val="0"/>
        <w:bidi w:val="0"/>
        <w:spacing w:before="144" w:beforeLines="50" w:after="144" w:afterLines="50" w:line="240" w:lineRule="atLeast"/>
        <w:rPr>
          <w:rFonts w:hint="eastAsia"/>
        </w:rPr>
      </w:pPr>
    </w:p>
    <w:p>
      <w:pPr>
        <w:pStyle w:val="2"/>
        <w:keepNext w:val="0"/>
        <w:keepLines w:val="0"/>
        <w:pageBreakBefore w:val="0"/>
        <w:widowControl w:val="0"/>
        <w:kinsoku/>
        <w:wordWrap/>
        <w:topLinePunct w:val="0"/>
        <w:bidi w:val="0"/>
        <w:spacing w:before="144" w:beforeLines="50" w:after="144" w:afterLines="50" w:line="240" w:lineRule="atLeast"/>
        <w:rPr>
          <w:rFonts w:hint="default" w:ascii="楷体_GB2312" w:hAnsi="楷体_GB2312" w:eastAsia="楷体_GB2312" w:cs="楷体_GB2312"/>
          <w:b/>
          <w:bCs/>
          <w:snapToGrid w:val="0"/>
          <w:kern w:val="0"/>
          <w:sz w:val="24"/>
          <w:szCs w:val="24"/>
          <w:lang w:val="en-US" w:eastAsia="zh-CN" w:bidi="ar-SA"/>
        </w:rPr>
      </w:pPr>
      <w:bookmarkStart w:id="4459" w:name="_Toc11441"/>
      <w:r>
        <w:rPr>
          <w:rFonts w:hint="eastAsia" w:ascii="楷体_GB2312" w:hAnsi="楷体_GB2312" w:eastAsia="楷体_GB2312" w:cs="楷体_GB2312"/>
          <w:b/>
          <w:bCs/>
          <w:snapToGrid w:val="0"/>
          <w:kern w:val="0"/>
          <w:sz w:val="24"/>
          <w:szCs w:val="24"/>
          <w:lang w:val="en-US" w:eastAsia="zh-CN" w:bidi="ar-SA"/>
        </w:rPr>
        <w:t>十三、资产评估机构(如有）</w:t>
      </w:r>
      <w:bookmarkEnd w:id="4459"/>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topLinePunct w:val="0"/>
        <w:bidi w:val="0"/>
        <w:spacing w:before="144" w:beforeLines="50" w:after="144" w:afterLines="50" w:line="240" w:lineRule="atLeast"/>
        <w:textAlignment w:val="auto"/>
        <w:rPr>
          <w:rFonts w:hint="eastAsia" w:hAnsi="楷体_GB2312"/>
        </w:rPr>
      </w:pP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bookmarkStart w:id="4460" w:name="_Toc9755"/>
      <w:r>
        <w:rPr>
          <w:rFonts w:hint="eastAsia" w:ascii="楷体_GB2312" w:hAnsi="楷体_GB2312" w:eastAsia="楷体_GB2312" w:cs="楷体_GB2312"/>
          <w:b/>
          <w:bCs/>
          <w:snapToGrid w:val="0"/>
          <w:kern w:val="0"/>
          <w:sz w:val="24"/>
          <w:szCs w:val="24"/>
          <w:lang w:val="en-US" w:eastAsia="zh-CN" w:bidi="ar-SA"/>
        </w:rPr>
        <w:t>十四、登记、托管、结算机构</w:t>
      </w:r>
      <w:bookmarkEnd w:id="4460"/>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110"/>
        <w:keepNext w:val="0"/>
        <w:keepLines w:val="0"/>
        <w:pageBreakBefore w:val="0"/>
        <w:widowControl w:val="0"/>
        <w:kinsoku/>
        <w:wordWrap/>
        <w:topLinePunct w:val="0"/>
        <w:bidi w:val="0"/>
        <w:spacing w:before="144" w:beforeLines="50" w:after="144" w:afterLines="50" w:line="240" w:lineRule="atLeast"/>
        <w:textAlignment w:val="auto"/>
        <w:rPr>
          <w:rFonts w:hint="eastAsia" w:hAnsi="楷体_GB2312"/>
        </w:rPr>
      </w:pPr>
    </w:p>
    <w:p>
      <w:pPr>
        <w:pStyle w:val="2"/>
        <w:keepNext w:val="0"/>
        <w:keepLines w:val="0"/>
        <w:pageBreakBefore w:val="0"/>
        <w:widowControl w:val="0"/>
        <w:kinsoku/>
        <w:wordWrap/>
        <w:topLinePunct w:val="0"/>
        <w:bidi w:val="0"/>
        <w:spacing w:before="144" w:beforeLines="50" w:after="144" w:afterLines="50" w:line="240" w:lineRule="atLeast"/>
        <w:rPr>
          <w:rFonts w:hint="eastAsia" w:ascii="楷体_GB2312" w:hAnsi="楷体_GB2312" w:eastAsia="楷体_GB2312" w:cs="楷体_GB2312"/>
          <w:b/>
          <w:bCs/>
          <w:snapToGrid w:val="0"/>
          <w:kern w:val="0"/>
          <w:sz w:val="24"/>
          <w:szCs w:val="24"/>
          <w:lang w:val="en-US" w:eastAsia="zh-CN" w:bidi="ar-SA"/>
        </w:rPr>
      </w:pPr>
      <w:bookmarkStart w:id="4461" w:name="_Toc16467"/>
      <w:r>
        <w:rPr>
          <w:rFonts w:hint="eastAsia" w:ascii="楷体_GB2312" w:hAnsi="楷体_GB2312" w:eastAsia="楷体_GB2312" w:cs="楷体_GB2312"/>
          <w:b/>
          <w:bCs/>
          <w:snapToGrid w:val="0"/>
          <w:kern w:val="0"/>
          <w:sz w:val="24"/>
          <w:szCs w:val="24"/>
          <w:lang w:val="en-US" w:eastAsia="zh-CN" w:bidi="ar-SA"/>
        </w:rPr>
        <w:t>十五、集中簿记建档系统技术支持机构</w:t>
      </w:r>
      <w:bookmarkEnd w:id="4461"/>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单位名称：</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地址：</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负责人：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联系人：</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联系电话：</w:t>
      </w:r>
    </w:p>
    <w:p>
      <w:pPr>
        <w:pStyle w:val="176"/>
        <w:keepNext w:val="0"/>
        <w:keepLines w:val="0"/>
        <w:pageBreakBefore w:val="0"/>
        <w:widowControl w:val="0"/>
        <w:kinsoku/>
        <w:wordWrap/>
        <w:topLinePunct w:val="0"/>
        <w:bidi w:val="0"/>
        <w:snapToGrid w:val="0"/>
        <w:spacing w:before="144" w:beforeLines="50" w:after="144" w:afterLines="50" w:line="240" w:lineRule="atLeast"/>
        <w:ind w:firstLine="480" w:firstLineChars="200"/>
        <w:jc w:val="both"/>
        <w:textAlignment w:val="auto"/>
        <w:rPr>
          <w:rFonts w:hint="eastAsia" w:ascii="楷体_GB2312" w:hAnsi="楷体_GB2312" w:eastAsia="楷体_GB2312" w:cs="楷体_GB2312"/>
          <w:snapToGrid w:val="0"/>
        </w:rPr>
      </w:pPr>
      <w:r>
        <w:rPr>
          <w:rFonts w:hint="eastAsia" w:ascii="楷体_GB2312" w:hAnsi="楷体_GB2312" w:eastAsia="楷体_GB2312" w:cs="楷体_GB2312"/>
          <w:snapToGrid w:val="0"/>
        </w:rPr>
        <w:t>传真：</w:t>
      </w:r>
    </w:p>
    <w:p>
      <w:pPr>
        <w:pStyle w:val="2"/>
        <w:keepNext w:val="0"/>
        <w:keepLines w:val="0"/>
        <w:pageBreakBefore w:val="0"/>
        <w:widowControl w:val="0"/>
        <w:kinsoku/>
        <w:wordWrap/>
        <w:topLinePunct w:val="0"/>
        <w:bidi w:val="0"/>
        <w:spacing w:before="144" w:beforeLines="50" w:after="144" w:afterLines="50" w:line="240" w:lineRule="atLeast"/>
        <w:textAlignment w:val="auto"/>
      </w:pPr>
      <w:r>
        <w:rPr>
          <w:rFonts w:hint="eastAsia" w:ascii="Times New Roman" w:hAnsi="Times New Roman" w:eastAsia="楷体_GB2312" w:cs="Times New Roman"/>
          <w:b/>
          <w:bCs w:val="0"/>
          <w:i/>
          <w:color w:val="FF0000"/>
          <w:sz w:val="24"/>
          <w:szCs w:val="28"/>
          <w:u w:val="single"/>
          <w:lang w:val="en-US" w:eastAsia="zh-CN"/>
        </w:rPr>
        <w:t>应根据项目实际情况调整发行有关机构的披露情况。</w:t>
      </w:r>
    </w:p>
    <w:p>
      <w:pPr>
        <w:keepNext w:val="0"/>
        <w:keepLines w:val="0"/>
        <w:pageBreakBefore w:val="0"/>
        <w:widowControl w:val="0"/>
        <w:kinsoku/>
        <w:wordWrap/>
        <w:topLinePunct w:val="0"/>
        <w:bidi w:val="0"/>
        <w:spacing w:before="144" w:beforeLines="50" w:after="144" w:afterLines="50" w:line="240" w:lineRule="atLeast"/>
      </w:pPr>
    </w:p>
    <w:sectPr>
      <w:footerReference r:id="rId20" w:type="default"/>
      <w:footnotePr>
        <w:numRestart w:val="eachPage"/>
      </w:footnotePr>
      <w:pgSz w:w="11900" w:h="16838"/>
      <w:pgMar w:top="1440" w:right="1800" w:bottom="1440" w:left="1800" w:header="850" w:footer="992" w:gutter="0"/>
      <w:pgBorders>
        <w:top w:val="none" w:sz="0" w:space="0"/>
        <w:left w:val="none" w:sz="0" w:space="0"/>
        <w:bottom w:val="none" w:sz="0" w:space="0"/>
        <w:right w:val="none" w:sz="0" w:space="0"/>
      </w:pgBorders>
      <w:pgNumType w:fmt="decimal"/>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3+BGM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Zv&#10;sj59gBrTHgImpuHODzl38gM6M+1BRZu/SIhgHNU9X9WVQyIiP1qv1usKQwJj8wVx2OPzECG9ld6S&#10;bDQ04viKqvz0HtKYOqfkas7fa2PQz2vj/nIgZvaw3PvYY7bSsB+mxve+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jf4EYyQEAAJoDAAAOAAAAAAAAAAEAIAAAAB4BAABkcnMvZTJvRG9j&#10;LnhtbFBLBQYAAAAABgAGAFkBAABZ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YwHYz3gEAAL8DAAAOAAAAAAAA&#10;AAEAIAAAAB4BAABkcnMvZTJvRG9jLnhtbFBLBQYAAAAABgAGAFkBAABuBQ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ZtVN8BAAC/AwAADgAAAGRycy9lMm9Eb2MueG1srVPBjtMwEL0j8Q+W&#10;7zTZCqES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PnnDlhaeDnH9/PP3+ff31j&#10;y5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XyZtVN8BAAC/AwAADgAAAAAA&#10;AAABACAAAAAeAQAAZHJzL2Uyb0RvYy54bWxQSwUGAAAAAAYABgBZAQAAbw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52</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QR/It8BAAC/AwAADgAAAAAA&#10;AAABACAAAAAeAQAAZHJzL2Uyb0RvYy54bWxQSwUGAAAAAAYABgBZAQAAbw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c7KiN8BAAC/AwAADgAAAAAA&#10;AAABACAAAAAeAQAAZHJzL2Uyb0RvYy54bWxQSwUGAAAAAAYABgBZAQAAbwU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1EB8sgBAACa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MY4h6kNftijXg/DmmLCJ0luuMMHOhXFkhd28XnknHt9L1sMvtf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dRAfLIAQAAmgMAAA4AAAAAAAAAAQAgAAAAHgEAAGRycy9lMm9Eb2Mu&#10;eG1sUEsFBgAAAAAGAAYAWQEAAFgFAAAAAA==&#10;">
              <v:fill on="f" focussize="0,0"/>
              <v:stroke on="f"/>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76">
    <w:p>
      <w:pPr>
        <w:spacing w:before="0" w:after="0" w:line="276" w:lineRule="auto"/>
      </w:pPr>
      <w:r>
        <w:separator/>
      </w:r>
    </w:p>
  </w:footnote>
  <w:footnote w:type="continuationSeparator" w:id="177">
    <w:p>
      <w:pPr>
        <w:spacing w:before="0" w:after="0" w:line="276" w:lineRule="auto"/>
      </w:pPr>
      <w:r>
        <w:continuationSeparator/>
      </w:r>
    </w:p>
  </w:footnote>
  <w:footnote w:id="0">
    <w:p>
      <w:pPr>
        <w:pStyle w:val="32"/>
        <w:rPr>
          <w:rFonts w:hint="eastAsia" w:ascii="楷体_GB2312" w:hAnsi="楷体_GB2312" w:eastAsia="楷体_GB2312" w:cs="楷体_GB2312"/>
          <w:color w:val="000000"/>
          <w:lang w:val="en-US"/>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rPr>
        <w:t xml:space="preserve"> ABCP流动性支持机制包括差额支付承诺、流动性支持承诺、资产池回购</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受让信托受益权</w:t>
      </w:r>
      <w:r>
        <w:rPr>
          <w:rFonts w:hint="eastAsia" w:ascii="楷体_GB2312" w:hAnsi="楷体_GB2312" w:eastAsia="楷体_GB2312" w:cs="楷体_GB2312"/>
          <w:color w:val="000000"/>
        </w:rPr>
        <w:t>等增信方式。本参考文本</w:t>
      </w:r>
      <w:r>
        <w:rPr>
          <w:rFonts w:hint="eastAsia" w:ascii="楷体_GB2312" w:hAnsi="楷体_GB2312" w:eastAsia="楷体_GB2312" w:cs="楷体_GB2312"/>
          <w:color w:val="000000"/>
          <w:lang w:val="en-US" w:eastAsia="zh-CN"/>
        </w:rPr>
        <w:t>主要</w:t>
      </w:r>
      <w:r>
        <w:rPr>
          <w:rFonts w:hint="eastAsia" w:ascii="楷体_GB2312" w:hAnsi="楷体_GB2312" w:eastAsia="楷体_GB2312" w:cs="楷体_GB2312"/>
          <w:color w:val="000000"/>
        </w:rPr>
        <w:t>以差额支付承诺为例，增信方式</w:t>
      </w:r>
      <w:r>
        <w:rPr>
          <w:rFonts w:hint="eastAsia" w:ascii="楷体_GB2312" w:hAnsi="楷体_GB2312" w:eastAsia="楷体_GB2312" w:cs="楷体_GB2312"/>
          <w:color w:val="000000"/>
          <w:lang w:eastAsia="zh-CN"/>
        </w:rPr>
        <w:t>应根据</w:t>
      </w:r>
      <w:r>
        <w:rPr>
          <w:rFonts w:hint="eastAsia" w:ascii="楷体_GB2312" w:hAnsi="楷体_GB2312" w:eastAsia="楷体_GB2312" w:cs="楷体_GB2312"/>
          <w:color w:val="000000"/>
        </w:rPr>
        <w:t>实际情况修改并在相关章节参照进行披露。</w:t>
      </w:r>
    </w:p>
  </w:footnote>
  <w:footnote w:id="1">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rPr>
        <w:t>募集说明书命名规则为“XX公司20XX年度</w:t>
      </w:r>
      <w:r>
        <w:rPr>
          <w:rFonts w:hint="eastAsia" w:ascii="楷体_GB2312" w:hAnsi="楷体_GB2312" w:eastAsia="楷体_GB2312" w:cs="楷体_GB2312"/>
          <w:color w:val="000000"/>
          <w:lang w:val="en-US" w:eastAsia="zh-CN"/>
        </w:rPr>
        <w:t>XX</w:t>
      </w:r>
      <w:r>
        <w:rPr>
          <w:rFonts w:hint="eastAsia" w:ascii="楷体_GB2312" w:hAnsi="楷体_GB2312" w:eastAsia="楷体_GB2312" w:cs="楷体_GB2312"/>
          <w:color w:val="000000"/>
        </w:rPr>
        <w:t>（项目标识）第XX期资产支持</w:t>
      </w:r>
      <w:r>
        <w:rPr>
          <w:rFonts w:hint="eastAsia" w:ascii="楷体_GB2312" w:hAnsi="楷体_GB2312" w:eastAsia="楷体_GB2312" w:cs="楷体_GB2312"/>
          <w:color w:val="000000"/>
          <w:lang w:val="en-US" w:eastAsia="zh-CN"/>
        </w:rPr>
        <w:t>商业</w:t>
      </w:r>
      <w:r>
        <w:rPr>
          <w:rFonts w:hint="eastAsia" w:ascii="楷体_GB2312" w:hAnsi="楷体_GB2312" w:eastAsia="楷体_GB2312" w:cs="楷体_GB2312"/>
          <w:color w:val="000000"/>
        </w:rPr>
        <w:t>票据募集说明书”</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针对多发起机构注册模式等特殊情形，</w:t>
      </w:r>
      <w:r>
        <w:rPr>
          <w:rFonts w:hint="eastAsia" w:ascii="楷体_GB2312" w:hAnsi="楷体_GB2312" w:eastAsia="楷体_GB2312" w:cs="楷体_GB2312"/>
          <w:color w:val="000000"/>
        </w:rPr>
        <w:t>命名规则为“</w:t>
      </w:r>
      <w:r>
        <w:rPr>
          <w:rFonts w:hint="eastAsia" w:ascii="楷体_GB2312" w:hAnsi="楷体_GB2312" w:eastAsia="楷体_GB2312" w:cs="楷体_GB2312"/>
          <w:color w:val="000000"/>
          <w:lang w:val="en-US" w:eastAsia="zh-CN"/>
        </w:rPr>
        <w:t>XX</w:t>
      </w:r>
      <w:r>
        <w:rPr>
          <w:rFonts w:hint="eastAsia" w:ascii="楷体_GB2312" w:hAnsi="楷体_GB2312" w:eastAsia="楷体_GB2312" w:cs="楷体_GB2312"/>
          <w:color w:val="000000"/>
        </w:rPr>
        <w:t>（发起机构标识）20XX年度XX（项目标识）第XX期资产</w:t>
      </w:r>
      <w:r>
        <w:rPr>
          <w:rFonts w:hint="eastAsia" w:ascii="楷体_GB2312" w:hAnsi="楷体_GB2312" w:eastAsia="楷体_GB2312" w:cs="楷体_GB2312"/>
          <w:color w:val="000000"/>
          <w:lang w:val="en-US" w:eastAsia="zh-CN"/>
        </w:rPr>
        <w:t>支持商业票据募集说明书”</w:t>
      </w:r>
      <w:r>
        <w:rPr>
          <w:rFonts w:hint="eastAsia" w:ascii="楷体_GB2312" w:hAnsi="楷体_GB2312" w:eastAsia="楷体_GB2312" w:cs="楷体_GB2312"/>
          <w:color w:val="000000"/>
        </w:rPr>
        <w:t>，其中项目标识为可选内容。</w:t>
      </w:r>
      <w:r>
        <w:rPr>
          <w:rFonts w:hint="eastAsia" w:ascii="楷体_GB2312" w:hAnsi="楷体_GB2312" w:eastAsia="楷体_GB2312" w:cs="楷体_GB2312"/>
          <w:color w:val="000000"/>
          <w:lang w:val="en-US" w:eastAsia="zh-CN"/>
        </w:rPr>
        <w:t>（本脚注为提示性内容，添加使用时应删除）</w:t>
      </w:r>
    </w:p>
  </w:footnote>
  <w:footnote w:id="2">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牵头主承销商及联席主承销商仅需填写本期发行涉及的主承销商。（本脚注为提示性内容，添加使用时应删除）</w:t>
      </w:r>
    </w:p>
  </w:footnote>
  <w:footnote w:id="3">
    <w:p>
      <w:pPr>
        <w:pStyle w:val="32"/>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如为滚动发行，发行金额为本期发行的各档资产支持商业票据金额之和。（本脚注为提示性内容，添加使用时应删除）</w:t>
      </w:r>
    </w:p>
  </w:footnote>
  <w:footnote w:id="4">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lang w:val="en-US" w:eastAsia="zh-CN"/>
        </w:rPr>
        <w:t xml:space="preserve"> </w:t>
      </w:r>
      <w:r>
        <w:rPr>
          <w:rFonts w:hint="eastAsia" w:ascii="楷体_GB2312" w:hAnsi="楷体_GB2312" w:eastAsia="楷体_GB2312" w:cs="楷体_GB2312"/>
          <w:color w:val="000000"/>
          <w:lang w:val="en-US" w:eastAsia="zh-CN"/>
        </w:rPr>
        <w:t>“信用增级机构”是指为资产支持商业票据提供信用增级服务的相关主体，包括专业信用增进机构和其他信用增级主体，例如差额支付承诺人、流动性支持方、共同债务人、具有回购资产池或受让信托受益权义务的主体等。（本脚注为提示性内容，添加使用时应删除）</w:t>
      </w:r>
    </w:p>
  </w:footnote>
  <w:footnote w:id="5">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资产支持商业票据各档命名及分层情况，应根据项目实际情况进行调整。如涉及追加交付资产导致某档ABCP扩募且往期同一档不进行滚动发行的，建议将本期发行和存续分别列示。（本脚注为提示性内容，添加使用时应删除）</w:t>
      </w:r>
    </w:p>
  </w:footnote>
  <w:footnote w:id="6">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如本期为信托项下最后一期ABCP且还款来源为基础资产现金流，应选择“预期到期日”。如存在滚动发行失败后变更还本付息计划机制的，应选择“预期到期日”，“期限”和“预期到期日”对应填写后一期滚动发行成功情况下各档ABCP完成兑付的期限和日期，并通过脚注说明滚动发行失败后的还本付息计划，注明该情形下各档ABCP的预计存续期限。除此以外，建议选择“到期日”。（本脚注为提示性内容，添加使用时应删除）</w:t>
      </w:r>
    </w:p>
    <w:p>
      <w:pPr>
        <w:pStyle w:val="32"/>
        <w:rPr>
          <w:rFonts w:hint="eastAsia" w:ascii="楷体_GB2312" w:hAnsi="楷体_GB2312" w:eastAsia="楷体_GB2312" w:cs="楷体_GB2312"/>
          <w:color w:val="000000"/>
          <w:lang w:val="en-US" w:eastAsia="zh-CN"/>
        </w:rPr>
      </w:pPr>
    </w:p>
  </w:footnote>
  <w:footnote w:id="7">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应列示具体文件名，例如：</w:t>
      </w:r>
      <w:r>
        <w:rPr>
          <w:rFonts w:hint="eastAsia" w:ascii="楷体_GB2312" w:hAnsi="楷体_GB2312" w:eastAsia="楷体_GB2312" w:cs="楷体_GB2312"/>
          <w:color w:val="000000"/>
        </w:rPr>
        <w:t>XX公司20XX年度</w:t>
      </w:r>
      <w:r>
        <w:rPr>
          <w:rFonts w:hint="eastAsia" w:ascii="楷体_GB2312" w:hAnsi="楷体_GB2312" w:eastAsia="楷体_GB2312" w:cs="楷体_GB2312"/>
          <w:color w:val="000000"/>
          <w:lang w:val="en-US" w:eastAsia="zh-CN"/>
        </w:rPr>
        <w:t>XX</w:t>
      </w:r>
      <w:r>
        <w:rPr>
          <w:rFonts w:hint="eastAsia" w:ascii="楷体_GB2312" w:hAnsi="楷体_GB2312" w:eastAsia="楷体_GB2312" w:cs="楷体_GB2312"/>
          <w:color w:val="000000"/>
        </w:rPr>
        <w:t>（项目标识）第XX期资产支持</w:t>
      </w:r>
      <w:r>
        <w:rPr>
          <w:rFonts w:hint="eastAsia" w:ascii="楷体_GB2312" w:hAnsi="楷体_GB2312" w:eastAsia="楷体_GB2312" w:cs="楷体_GB2312"/>
          <w:color w:val="000000"/>
          <w:lang w:val="en-US" w:eastAsia="zh-CN"/>
        </w:rPr>
        <w:t>商业</w:t>
      </w:r>
      <w:r>
        <w:rPr>
          <w:rFonts w:hint="eastAsia" w:ascii="楷体_GB2312" w:hAnsi="楷体_GB2312" w:eastAsia="楷体_GB2312" w:cs="楷体_GB2312"/>
          <w:color w:val="000000"/>
        </w:rPr>
        <w:t>票据募集说明书</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（本脚注为提示性内容，添加使用时应删除）</w:t>
      </w:r>
    </w:p>
  </w:footnote>
  <w:footnote w:id="8">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此处建议对基础资产形成与取得的过程、基础资产的基本情况进行简要概述。（本脚注为提示性内容，添加使用时应删除）</w:t>
      </w:r>
    </w:p>
  </w:footnote>
  <w:footnote w:id="9">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此处所指为委托人的权利。（本脚注为提示性内容，添加使用时应删除）</w:t>
      </w:r>
    </w:p>
  </w:footnote>
  <w:footnote w:id="10">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此处所指为委托人的义务。（本脚注为提示性内容，添加使用时应删除）</w:t>
      </w:r>
    </w:p>
  </w:footnote>
  <w:footnote w:id="11">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发行相关主体指基础资产现金流的获得取决于其持续经营，或需持续承担基础资产现金流转付义务的发起机构以及信用增级机构。（本脚注为提示性内容，添加使用时应删除）</w:t>
      </w:r>
    </w:p>
  </w:footnote>
  <w:footnote w:id="12">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本章以优先级资产支持商业票据簿记建档发行，次级资产支持商业票据由发起机构自持为例，且</w:t>
      </w:r>
      <w:r>
        <w:rPr>
          <w:rFonts w:hint="eastAsia" w:ascii="楷体_GB2312" w:hAnsi="楷体_GB2312" w:eastAsia="楷体_GB2312" w:cs="楷体_GB2312"/>
          <w:color w:val="000000"/>
          <w:szCs w:val="21"/>
          <w:lang w:val="en-US" w:eastAsia="zh-CN"/>
        </w:rPr>
        <w:t>不涉及招标发行的情况。具体表述应根据项目实际情况进行调整。</w:t>
      </w:r>
      <w:r>
        <w:rPr>
          <w:rFonts w:hint="eastAsia" w:ascii="楷体_GB2312" w:hAnsi="楷体_GB2312" w:eastAsia="楷体_GB2312" w:cs="楷体_GB2312"/>
          <w:color w:val="000000"/>
          <w:lang w:val="en-US" w:eastAsia="zh-CN"/>
        </w:rPr>
        <w:t>（本脚注为提示性内容，添加使用时应删除）</w:t>
      </w:r>
    </w:p>
  </w:footnote>
  <w:footnote w:id="13">
    <w:p>
      <w:pPr>
        <w:pStyle w:val="32"/>
        <w:rPr>
          <w:rFonts w:hint="eastAsia" w:ascii="楷体_GB2312" w:hAnsi="楷体_GB2312" w:eastAsia="楷体_GB2312" w:cs="楷体_GB2312"/>
          <w:color w:val="000000"/>
          <w:szCs w:val="21"/>
          <w:lang w:val="en-US" w:eastAsia="zh-CN"/>
        </w:rPr>
      </w:pPr>
      <w:r>
        <w:rPr>
          <w:rFonts w:hint="eastAsia" w:ascii="楷体_GB2312" w:hAnsi="楷体_GB2312" w:eastAsia="楷体_GB2312" w:cs="楷体_GB2312"/>
          <w:color w:val="000000"/>
          <w:szCs w:val="21"/>
          <w:lang w:val="en-US" w:eastAsia="zh-CN"/>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szCs w:val="21"/>
          <w:lang w:val="en-US" w:eastAsia="zh-CN"/>
        </w:rPr>
        <w:t>交易结构中涉及特殊角色的，如技术服务机构等，需在表格中列示。（本脚注为提示性内容，添加使用时应删除）</w:t>
      </w:r>
    </w:p>
  </w:footnote>
  <w:footnote w:id="14">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szCs w:val="21"/>
          <w:lang w:val="en-US" w:eastAsia="zh-CN"/>
        </w:rPr>
        <w:t xml:space="preserve"> </w:t>
      </w:r>
      <w:r>
        <w:rPr>
          <w:rFonts w:hint="eastAsia" w:ascii="楷体_GB2312" w:hAnsi="楷体_GB2312" w:eastAsia="楷体_GB2312" w:cs="楷体_GB2312"/>
          <w:color w:val="000000"/>
          <w:lang w:val="en-US" w:eastAsia="zh-CN"/>
        </w:rPr>
        <w:t>资产支持商业票据信托命名规则为“XX公司</w:t>
      </w:r>
      <w:r>
        <w:rPr>
          <w:rFonts w:hint="eastAsia" w:ascii="楷体_GB2312" w:hAnsi="楷体_GB2312" w:eastAsia="楷体_GB2312" w:cs="楷体_GB2312"/>
          <w:color w:val="000000"/>
        </w:rPr>
        <w:t>20XX年度</w:t>
      </w:r>
      <w:r>
        <w:rPr>
          <w:rFonts w:hint="eastAsia" w:ascii="楷体_GB2312" w:hAnsi="楷体_GB2312" w:eastAsia="楷体_GB2312" w:cs="楷体_GB2312"/>
          <w:color w:val="000000"/>
          <w:lang w:val="en-US" w:eastAsia="zh-CN"/>
        </w:rPr>
        <w:t>XX（项目标识）资产支持商业票据信托”。针对多发起机构注册模式等特殊情形，命名规则为“XX（</w:t>
      </w:r>
      <w:r>
        <w:rPr>
          <w:rFonts w:hint="eastAsia" w:ascii="楷体_GB2312" w:hAnsi="楷体_GB2312" w:eastAsia="楷体_GB2312" w:cs="楷体_GB2312"/>
          <w:color w:val="000000"/>
        </w:rPr>
        <w:t>发起机构</w:t>
      </w:r>
      <w:r>
        <w:rPr>
          <w:rFonts w:hint="eastAsia" w:ascii="楷体_GB2312" w:hAnsi="楷体_GB2312" w:eastAsia="楷体_GB2312" w:cs="楷体_GB2312"/>
          <w:color w:val="000000"/>
          <w:lang w:val="en-US" w:eastAsia="zh-CN"/>
        </w:rPr>
        <w:t>标识）</w:t>
      </w:r>
      <w:r>
        <w:rPr>
          <w:rFonts w:hint="eastAsia" w:ascii="楷体_GB2312" w:hAnsi="楷体_GB2312" w:eastAsia="楷体_GB2312" w:cs="楷体_GB2312"/>
          <w:color w:val="000000"/>
        </w:rPr>
        <w:t>20XX年度XX（项目标识）</w:t>
      </w:r>
      <w:r>
        <w:rPr>
          <w:rFonts w:hint="eastAsia" w:ascii="楷体_GB2312" w:hAnsi="楷体_GB2312" w:eastAsia="楷体_GB2312" w:cs="楷体_GB2312"/>
          <w:color w:val="000000"/>
          <w:lang w:val="en-US" w:eastAsia="zh-CN"/>
        </w:rPr>
        <w:t>资产支持商业票据信托”。（本脚注为提示性内容，添加使用时应删除）</w:t>
      </w:r>
    </w:p>
  </w:footnote>
  <w:footnote w:id="15">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待偿还债务融资余额指发起机构负有到期还本付息义务的直接债务融资。</w:t>
      </w:r>
    </w:p>
  </w:footnote>
  <w:footnote w:id="16">
    <w:p>
      <w:pPr>
        <w:pStyle w:val="32"/>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会计师事务所指</w:t>
      </w:r>
      <w:r>
        <w:rPr>
          <w:rFonts w:hint="eastAsia" w:ascii="楷体_GB2312" w:hAnsi="楷体_GB2312" w:eastAsia="楷体_GB2312" w:cs="楷体_GB2312"/>
          <w:color w:val="000000"/>
        </w:rPr>
        <w:t>发起机构</w:t>
      </w:r>
      <w:r>
        <w:rPr>
          <w:rFonts w:hint="eastAsia" w:ascii="楷体_GB2312" w:hAnsi="楷体_GB2312" w:eastAsia="楷体_GB2312" w:cs="楷体_GB2312"/>
          <w:color w:val="000000"/>
          <w:lang w:val="en-US" w:eastAsia="zh-CN"/>
        </w:rPr>
        <w:t>的</w:t>
      </w:r>
      <w:r>
        <w:rPr>
          <w:rFonts w:hint="eastAsia" w:ascii="楷体_GB2312" w:hAnsi="楷体_GB2312" w:eastAsia="楷体_GB2312" w:cs="楷体_GB2312"/>
          <w:color w:val="000000"/>
        </w:rPr>
        <w:t>审计机构</w:t>
      </w:r>
      <w:r>
        <w:rPr>
          <w:rFonts w:hint="eastAsia" w:ascii="楷体_GB2312" w:hAnsi="楷体_GB2312" w:eastAsia="楷体_GB2312" w:cs="楷体_GB2312"/>
          <w:color w:val="000000"/>
          <w:lang w:eastAsia="zh-CN"/>
        </w:rPr>
        <w:t>。</w:t>
      </w:r>
    </w:p>
  </w:footnote>
  <w:footnote w:id="17">
    <w:p>
      <w:pPr>
        <w:pStyle w:val="32"/>
        <w:rPr>
          <w:rFonts w:hint="eastAsia" w:ascii="楷体_GB2312" w:hAnsi="楷体_GB2312" w:eastAsia="楷体_GB2312" w:cs="楷体_GB2312"/>
          <w:color w:val="000000"/>
          <w:szCs w:val="21"/>
          <w:lang w:eastAsia="zh-CN"/>
        </w:rPr>
      </w:pPr>
      <w:r>
        <w:rPr>
          <w:rFonts w:hint="eastAsia" w:ascii="楷体_GB2312" w:hAnsi="楷体_GB2312" w:eastAsia="楷体_GB2312" w:cs="楷体_GB2312"/>
          <w:color w:val="000000"/>
          <w:szCs w:val="21"/>
          <w:lang w:eastAsia="zh-CN"/>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szCs w:val="21"/>
          <w:lang w:val="en-US" w:eastAsia="zh-CN"/>
        </w:rPr>
        <w:t>填写截至预期到期日或到期日的</w:t>
      </w:r>
      <w:r>
        <w:rPr>
          <w:rFonts w:hint="eastAsia" w:ascii="楷体_GB2312" w:hAnsi="楷体_GB2312" w:eastAsia="楷体_GB2312" w:cs="楷体_GB2312"/>
          <w:color w:val="000000"/>
          <w:szCs w:val="21"/>
          <w:lang w:eastAsia="zh-CN"/>
        </w:rPr>
        <w:t>所有还本付息日。</w:t>
      </w:r>
      <w:r>
        <w:rPr>
          <w:rFonts w:hint="eastAsia" w:ascii="楷体_GB2312" w:hAnsi="楷体_GB2312" w:eastAsia="楷体_GB2312" w:cs="楷体_GB2312"/>
          <w:color w:val="000000"/>
          <w:lang w:val="en-US" w:eastAsia="zh-CN"/>
        </w:rPr>
        <w:t>如存在滚动发行失败后变更还本付息计划机制的，应在脚注中说明变更还本付息计划机制的安排及对应的支付日。（本脚注为提示性内容，添加使用时应删除）</w:t>
      </w:r>
    </w:p>
  </w:footnote>
  <w:footnote w:id="18">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如本期发行为发起机构受让信托受益权后的后续发行，建议在交易结构图和交易结构介绍中进行描述。（本脚注为提示性内容，添加使用时应删除）</w:t>
      </w:r>
    </w:p>
  </w:footnote>
  <w:footnote w:id="19">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本章主要描述委托人或相关主体的权利，委托人或相关主体的义务在第四章信用增级方式一章中描述。（本脚注为提示性内容，添加使用时应删除）</w:t>
      </w:r>
    </w:p>
  </w:footnote>
  <w:footnote w:id="20">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T指本期ABCP的【</w:t>
      </w:r>
      <w:r>
        <w:rPr>
          <w:rFonts w:hint="eastAsia" w:ascii="楷体_GB2312" w:hAnsi="楷体_GB2312" w:eastAsia="楷体_GB2312" w:cs="楷体_GB2312"/>
          <w:color w:val="000000"/>
          <w:u w:val="single"/>
          <w:lang w:val="en-US" w:eastAsia="zh-CN"/>
        </w:rPr>
        <w:t>预期到期日/到期日</w:t>
      </w:r>
      <w:r>
        <w:rPr>
          <w:rFonts w:hint="eastAsia" w:ascii="楷体_GB2312" w:hAnsi="楷体_GB2312" w:eastAsia="楷体_GB2312" w:cs="楷体_GB2312"/>
          <w:color w:val="000000"/>
          <w:lang w:val="en-US" w:eastAsia="zh-CN"/>
        </w:rPr>
        <w:t>】，S指本期ABCP的各支付日，P指本期ABCP的各计算日，T+1/T-1指代T日的前一个/后一个工作日。如存在滚动发行失败后变更还本付息计划机制的，应在表中列明变更还本付息计划后的时间安排。除已注明“后一期”的之外，日期定义均对应本期ABCP。</w:t>
      </w:r>
    </w:p>
  </w:footnote>
  <w:footnote w:id="21">
    <w:p>
      <w:pPr>
        <w:pStyle w:val="32"/>
        <w:rPr>
          <w:rFonts w:hint="eastAsia" w:ascii="楷体_GB2312" w:hAnsi="楷体_GB2312" w:eastAsia="楷体_GB2312" w:cs="楷体_GB2312"/>
          <w:color w:val="000000"/>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rPr>
        <w:t>滚动发行不成功</w:t>
      </w:r>
      <w:r>
        <w:rPr>
          <w:rFonts w:hint="eastAsia" w:ascii="楷体_GB2312" w:hAnsi="楷体_GB2312" w:eastAsia="楷体_GB2312" w:cs="楷体_GB2312"/>
          <w:color w:val="000000"/>
          <w:lang w:val="en-US" w:eastAsia="zh-CN"/>
        </w:rPr>
        <w:t>时委托人</w:t>
      </w:r>
      <w:r>
        <w:rPr>
          <w:rFonts w:hint="eastAsia" w:ascii="楷体_GB2312" w:hAnsi="楷体_GB2312" w:eastAsia="楷体_GB2312" w:cs="楷体_GB2312"/>
          <w:color w:val="000000"/>
        </w:rPr>
        <w:t>对应的</w:t>
      </w:r>
      <w:r>
        <w:rPr>
          <w:rFonts w:hint="eastAsia" w:ascii="楷体_GB2312" w:hAnsi="楷体_GB2312" w:eastAsia="楷体_GB2312" w:cs="楷体_GB2312"/>
          <w:color w:val="000000"/>
          <w:lang w:val="en-US" w:eastAsia="zh-CN"/>
        </w:rPr>
        <w:t>义务</w:t>
      </w:r>
      <w:r>
        <w:rPr>
          <w:rFonts w:hint="eastAsia" w:ascii="楷体_GB2312" w:hAnsi="楷体_GB2312" w:eastAsia="楷体_GB2312" w:cs="楷体_GB2312"/>
          <w:color w:val="000000"/>
        </w:rPr>
        <w:t>包括受让信托受益权</w:t>
      </w:r>
      <w:r>
        <w:rPr>
          <w:rFonts w:hint="eastAsia" w:ascii="楷体_GB2312" w:hAnsi="楷体_GB2312" w:eastAsia="楷体_GB2312" w:cs="楷体_GB2312"/>
          <w:color w:val="000000"/>
          <w:lang w:val="en-US" w:eastAsia="zh-CN"/>
        </w:rPr>
        <w:t>和</w:t>
      </w:r>
      <w:r>
        <w:rPr>
          <w:rFonts w:hint="eastAsia" w:ascii="楷体_GB2312" w:hAnsi="楷体_GB2312" w:eastAsia="楷体_GB2312" w:cs="楷体_GB2312"/>
          <w:color w:val="000000"/>
        </w:rPr>
        <w:t>回购资产池</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但任一一种均可实现前一期ABCP的正常兑付。表中同时列示了两种机制，实操中选择一种即可。</w:t>
      </w:r>
    </w:p>
  </w:footnote>
  <w:footnote w:id="22">
    <w:p>
      <w:pPr>
        <w:pStyle w:val="32"/>
        <w:rPr>
          <w:rFonts w:hint="eastAsia" w:ascii="楷体_GB2312" w:hAnsi="楷体_GB2312" w:eastAsia="楷体_GB2312" w:cs="楷体_GB2312"/>
          <w:color w:val="000000"/>
          <w:u w:val="single"/>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根据信托合同（参考文本），受托人应于发行不成功对应的簿记建档日或缴款日（后一期）当日向委托人发出通知，应根据项目实际情况进行调整。（本脚注为提示性内容，添加使用时应删除）</w:t>
      </w:r>
    </w:p>
  </w:footnote>
  <w:footnote w:id="23">
    <w:p>
      <w:pPr>
        <w:pStyle w:val="32"/>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footnoteRef/>
      </w:r>
      <w:r>
        <w:rPr>
          <w:rFonts w:hint="eastAsia" w:ascii="楷体_GB2312" w:hAnsi="楷体_GB2312" w:eastAsia="楷体_GB2312" w:cs="楷体_GB2312"/>
          <w:color w:val="000000"/>
          <w:szCs w:val="21"/>
        </w:rPr>
        <w:t xml:space="preserve"> ABCP</w:t>
      </w:r>
      <w:r>
        <w:rPr>
          <w:rFonts w:hint="eastAsia" w:ascii="楷体_GB2312" w:hAnsi="楷体_GB2312" w:eastAsia="楷体_GB2312" w:cs="楷体_GB2312"/>
          <w:color w:val="000000"/>
          <w:szCs w:val="21"/>
          <w:lang w:val="en-US" w:eastAsia="zh-CN"/>
        </w:rPr>
        <w:t>设置的</w:t>
      </w:r>
      <w:r>
        <w:rPr>
          <w:rFonts w:hint="eastAsia" w:ascii="楷体_GB2312" w:hAnsi="楷体_GB2312" w:eastAsia="楷体_GB2312" w:cs="楷体_GB2312"/>
          <w:color w:val="000000"/>
          <w:szCs w:val="21"/>
        </w:rPr>
        <w:t>流动性支持机制</w:t>
      </w:r>
      <w:r>
        <w:rPr>
          <w:rFonts w:hint="eastAsia" w:ascii="楷体_GB2312" w:hAnsi="楷体_GB2312" w:eastAsia="楷体_GB2312" w:cs="楷体_GB2312"/>
          <w:color w:val="000000"/>
          <w:szCs w:val="21"/>
          <w:lang w:val="en-US" w:eastAsia="zh-CN"/>
        </w:rPr>
        <w:t>应在本章节披露，</w:t>
      </w:r>
      <w:r>
        <w:rPr>
          <w:rFonts w:hint="eastAsia" w:ascii="楷体_GB2312" w:hAnsi="楷体_GB2312" w:eastAsia="楷体_GB2312" w:cs="楷体_GB2312"/>
          <w:color w:val="000000"/>
          <w:szCs w:val="21"/>
        </w:rPr>
        <w:t>包括</w:t>
      </w:r>
      <w:r>
        <w:rPr>
          <w:rFonts w:hint="eastAsia" w:ascii="楷体_GB2312" w:hAnsi="楷体_GB2312" w:eastAsia="楷体_GB2312" w:cs="楷体_GB2312"/>
          <w:color w:val="000000"/>
          <w:szCs w:val="21"/>
          <w:lang w:val="en-US" w:eastAsia="zh-CN"/>
        </w:rPr>
        <w:t>但不限于</w:t>
      </w:r>
      <w:r>
        <w:rPr>
          <w:rFonts w:hint="eastAsia" w:ascii="楷体_GB2312" w:hAnsi="楷体_GB2312" w:eastAsia="楷体_GB2312" w:cs="楷体_GB2312"/>
          <w:color w:val="000000"/>
          <w:szCs w:val="21"/>
        </w:rPr>
        <w:t>差额支付承诺、流动性支持承诺、资产池回购</w:t>
      </w:r>
      <w:r>
        <w:rPr>
          <w:rFonts w:hint="eastAsia" w:ascii="楷体_GB2312" w:hAnsi="楷体_GB2312" w:eastAsia="楷体_GB2312" w:cs="楷体_GB2312"/>
          <w:color w:val="000000"/>
          <w:szCs w:val="21"/>
          <w:lang w:eastAsia="zh-CN"/>
        </w:rPr>
        <w:t>、</w:t>
      </w:r>
      <w:r>
        <w:rPr>
          <w:rFonts w:hint="eastAsia" w:ascii="楷体_GB2312" w:hAnsi="楷体_GB2312" w:eastAsia="楷体_GB2312" w:cs="楷体_GB2312"/>
          <w:color w:val="000000"/>
          <w:szCs w:val="21"/>
          <w:lang w:val="en-US" w:eastAsia="zh-CN"/>
        </w:rPr>
        <w:t>受让信托受益权、债务加入</w:t>
      </w:r>
      <w:r>
        <w:rPr>
          <w:rFonts w:hint="eastAsia" w:ascii="楷体_GB2312" w:hAnsi="楷体_GB2312" w:eastAsia="楷体_GB2312" w:cs="楷体_GB2312"/>
          <w:color w:val="000000"/>
          <w:szCs w:val="21"/>
        </w:rPr>
        <w:t>等</w:t>
      </w:r>
      <w:r>
        <w:rPr>
          <w:rFonts w:hint="eastAsia" w:ascii="楷体_GB2312" w:hAnsi="楷体_GB2312" w:eastAsia="楷体_GB2312" w:cs="楷体_GB2312"/>
          <w:color w:val="000000"/>
          <w:szCs w:val="21"/>
          <w:lang w:eastAsia="zh-CN"/>
        </w:rPr>
        <w:t>。</w:t>
      </w:r>
      <w:r>
        <w:rPr>
          <w:rFonts w:hint="eastAsia" w:ascii="楷体_GB2312" w:hAnsi="楷体_GB2312" w:eastAsia="楷体_GB2312" w:cs="楷体_GB2312"/>
          <w:color w:val="000000"/>
          <w:lang w:val="en-US" w:eastAsia="zh-CN"/>
        </w:rPr>
        <w:t>（本脚注为提示性内容，添加使用时应删除）</w:t>
      </w:r>
    </w:p>
  </w:footnote>
  <w:footnote w:id="24">
    <w:p>
      <w:pPr>
        <w:pStyle w:val="32"/>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footnoteRef/>
      </w:r>
      <w:r>
        <w:rPr>
          <w:rFonts w:hint="eastAsia" w:ascii="楷体_GB2312" w:hAnsi="楷体_GB2312" w:eastAsia="楷体_GB2312" w:cs="楷体_GB2312"/>
          <w:color w:val="000000"/>
          <w:szCs w:val="21"/>
        </w:rPr>
        <w:t xml:space="preserve"> </w:t>
      </w:r>
      <w:r>
        <w:rPr>
          <w:rFonts w:hint="eastAsia" w:ascii="楷体_GB2312" w:hAnsi="楷体_GB2312" w:eastAsia="楷体_GB2312" w:cs="楷体_GB2312"/>
          <w:color w:val="000000"/>
          <w:szCs w:val="21"/>
          <w:lang w:val="en-US" w:eastAsia="zh-CN"/>
        </w:rPr>
        <w:t>如信用增级机构与发起机构一致，无需重复披露。</w:t>
      </w:r>
      <w:r>
        <w:rPr>
          <w:rFonts w:hint="eastAsia" w:ascii="楷体_GB2312" w:hAnsi="楷体_GB2312" w:eastAsia="楷体_GB2312" w:cs="楷体_GB2312"/>
          <w:color w:val="000000"/>
          <w:lang w:val="en-US" w:eastAsia="zh-CN"/>
        </w:rPr>
        <w:t>（本脚注为提示性内容，添加使用时应删除）</w:t>
      </w:r>
    </w:p>
  </w:footnote>
  <w:footnote w:id="25">
    <w:p>
      <w:pPr>
        <w:pStyle w:val="32"/>
        <w:rPr>
          <w:rFonts w:ascii="楷体_GB2312" w:hAnsi="楷体_GB2312" w:eastAsia="楷体_GB2312" w:cs="楷体_GB2312"/>
          <w:color w:val="000000"/>
          <w:szCs w:val="21"/>
          <w:lang w:val="en-US" w:eastAsia="zh-CN"/>
        </w:rPr>
      </w:pPr>
      <w:r>
        <w:rPr>
          <w:rFonts w:hint="eastAsia" w:ascii="楷体_GB2312" w:hAnsi="楷体_GB2312" w:eastAsia="楷体_GB2312" w:cs="楷体_GB2312"/>
          <w:color w:val="000000"/>
          <w:szCs w:val="21"/>
          <w:lang w:val="en-US" w:eastAsia="zh-CN"/>
        </w:rPr>
        <w:footnoteRef/>
      </w:r>
      <w:r>
        <w:rPr>
          <w:rFonts w:hint="eastAsia" w:ascii="楷体_GB2312" w:hAnsi="楷体_GB2312" w:eastAsia="楷体_GB2312" w:cs="楷体_GB2312"/>
          <w:color w:val="000000"/>
          <w:szCs w:val="21"/>
          <w:lang w:val="en-US" w:eastAsia="zh-CN"/>
        </w:rPr>
        <w:t xml:space="preserve"> 集中度指专业信用增进机构对于某一主体的债券担保责任余额占其同类业务的比例。该主体应结合专业信用增进机构对本期资产支持商业票据的实质增进对象进行判断。</w:t>
      </w:r>
      <w:r>
        <w:rPr>
          <w:rFonts w:hint="eastAsia" w:ascii="楷体_GB2312" w:hAnsi="楷体_GB2312" w:eastAsia="楷体_GB2312" w:cs="楷体_GB2312"/>
          <w:color w:val="000000"/>
          <w:lang w:val="en-US" w:eastAsia="zh-CN"/>
        </w:rPr>
        <w:t>（本脚注为提示性内容，添加使用时应删除）</w:t>
      </w:r>
    </w:p>
  </w:footnote>
  <w:footnote w:id="26">
    <w:p>
      <w:pPr>
        <w:pStyle w:val="32"/>
        <w:rPr>
          <w:rFonts w:ascii="楷体_GB2312" w:hAnsi="楷体_GB2312" w:eastAsia="楷体_GB2312" w:cs="楷体_GB2312"/>
          <w:color w:val="000000"/>
          <w:szCs w:val="21"/>
          <w:lang w:val="en-US" w:eastAsia="zh-CN"/>
        </w:rPr>
      </w:pPr>
      <w:r>
        <w:rPr>
          <w:rFonts w:hint="eastAsia" w:ascii="楷体_GB2312" w:hAnsi="楷体_GB2312" w:eastAsia="楷体_GB2312" w:cs="楷体_GB2312"/>
          <w:color w:val="000000"/>
          <w:szCs w:val="21"/>
          <w:lang w:val="en-US" w:eastAsia="zh-CN"/>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szCs w:val="21"/>
          <w:lang w:val="en-US" w:eastAsia="zh-CN"/>
        </w:rPr>
        <w:t>如资产服务机构与发起机构一致，无需重复披露。</w:t>
      </w:r>
      <w:r>
        <w:rPr>
          <w:rFonts w:hint="eastAsia" w:ascii="楷体_GB2312" w:hAnsi="楷体_GB2312" w:eastAsia="楷体_GB2312" w:cs="楷体_GB2312"/>
          <w:color w:val="000000"/>
          <w:lang w:val="en-US" w:eastAsia="zh-CN"/>
        </w:rPr>
        <w:t>（本脚注为提示性内容，添加使用时应删除）</w:t>
      </w:r>
    </w:p>
  </w:footnote>
  <w:footnote w:id="27">
    <w:p>
      <w:pPr>
        <w:pStyle w:val="32"/>
        <w:rPr>
          <w:rFonts w:hint="eastAsia" w:ascii="楷体_GB2312" w:hAnsi="楷体_GB2312" w:eastAsia="楷体_GB2312" w:cs="楷体_GB2312"/>
          <w:color w:val="000000"/>
          <w:szCs w:val="21"/>
          <w:lang w:eastAsia="zh-CN"/>
        </w:rPr>
      </w:pPr>
      <w:r>
        <w:rPr>
          <w:rFonts w:hint="eastAsia" w:ascii="楷体_GB2312" w:hAnsi="楷体_GB2312" w:eastAsia="楷体_GB2312" w:cs="楷体_GB2312"/>
          <w:color w:val="000000"/>
          <w:szCs w:val="21"/>
          <w:lang w:eastAsia="zh-CN"/>
        </w:rPr>
        <w:footnoteRef/>
      </w:r>
      <w:r>
        <w:rPr>
          <w:rFonts w:hint="eastAsia" w:ascii="楷体_GB2312" w:hAnsi="楷体_GB2312" w:eastAsia="楷体_GB2312" w:cs="楷体_GB2312"/>
          <w:color w:val="000000"/>
          <w:szCs w:val="21"/>
          <w:lang w:val="en-US" w:eastAsia="zh-CN"/>
        </w:rPr>
        <w:t xml:space="preserve"> 如存在滚动发行失败后变更还本付息计划的安排，建议在脚注中描述变更后的还本付息计划并</w:t>
      </w:r>
      <w:r>
        <w:rPr>
          <w:rFonts w:hint="eastAsia" w:ascii="楷体_GB2312" w:hAnsi="楷体_GB2312" w:eastAsia="楷体_GB2312" w:cs="楷体_GB2312"/>
          <w:color w:val="000000"/>
          <w:lang w:val="en-US" w:eastAsia="zh-CN"/>
        </w:rPr>
        <w:t>注明该情形下各档ABCP的预计存续期限</w:t>
      </w:r>
      <w:r>
        <w:rPr>
          <w:rFonts w:hint="eastAsia" w:ascii="楷体_GB2312" w:hAnsi="楷体_GB2312" w:eastAsia="楷体_GB2312" w:cs="楷体_GB2312"/>
          <w:color w:val="000000"/>
          <w:szCs w:val="21"/>
          <w:lang w:val="en-US" w:eastAsia="zh-CN"/>
        </w:rPr>
        <w:t>。例如：如后一期优先级资产支持商业票据滚动发行失败，本期优先级资产支持商业票据将按月进行付息、过手摊还本金，预计于20XX年XX月XX日完成兑付。</w:t>
      </w:r>
      <w:r>
        <w:rPr>
          <w:rFonts w:hint="eastAsia" w:ascii="楷体_GB2312" w:hAnsi="楷体_GB2312" w:eastAsia="楷体_GB2312" w:cs="楷体_GB2312"/>
          <w:color w:val="000000"/>
          <w:lang w:val="en-US" w:eastAsia="zh-CN"/>
        </w:rPr>
        <w:t>（本脚注为提示性内容，添加使用时应删除）</w:t>
      </w:r>
    </w:p>
  </w:footnote>
  <w:footnote w:id="28">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szCs w:val="21"/>
          <w:lang w:val="en-US" w:eastAsia="zh-CN"/>
        </w:rPr>
        <w:t xml:space="preserve"> </w:t>
      </w:r>
      <w:r>
        <w:rPr>
          <w:rFonts w:hint="eastAsia" w:ascii="楷体_GB2312" w:hAnsi="楷体_GB2312" w:eastAsia="楷体_GB2312" w:cs="楷体_GB2312"/>
          <w:color w:val="000000"/>
          <w:lang w:val="en-US" w:eastAsia="zh-CN"/>
        </w:rPr>
        <w:t>此处所指为委托人或相关方的义务。（本脚注为提示性内容，添加使用时应删除）</w:t>
      </w:r>
    </w:p>
  </w:footnote>
  <w:footnote w:id="29">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此处所指为委托人或相关方的权利以及中止滚动发行后所负有的义务。（本脚注为提示性内容，添加使用时应删除）</w:t>
      </w:r>
    </w:p>
  </w:footnote>
  <w:footnote w:id="30">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rPr>
        <w:t>定向募集说明书命名规则为“XX公司20XX年度</w:t>
      </w:r>
      <w:r>
        <w:rPr>
          <w:rFonts w:hint="eastAsia" w:ascii="楷体_GB2312" w:hAnsi="楷体_GB2312" w:eastAsia="楷体_GB2312" w:cs="楷体_GB2312"/>
          <w:color w:val="000000"/>
          <w:lang w:val="en-US" w:eastAsia="zh-CN"/>
        </w:rPr>
        <w:t>XX</w:t>
      </w:r>
      <w:r>
        <w:rPr>
          <w:rFonts w:hint="eastAsia" w:ascii="楷体_GB2312" w:hAnsi="楷体_GB2312" w:eastAsia="楷体_GB2312" w:cs="楷体_GB2312"/>
          <w:color w:val="000000"/>
        </w:rPr>
        <w:t>（项目标识）第XX期资产支持</w:t>
      </w:r>
      <w:r>
        <w:rPr>
          <w:rFonts w:hint="eastAsia" w:ascii="楷体_GB2312" w:hAnsi="楷体_GB2312" w:eastAsia="楷体_GB2312" w:cs="楷体_GB2312"/>
          <w:color w:val="000000"/>
          <w:lang w:val="en-US" w:eastAsia="zh-CN"/>
        </w:rPr>
        <w:t>商业</w:t>
      </w:r>
      <w:r>
        <w:rPr>
          <w:rFonts w:hint="eastAsia" w:ascii="楷体_GB2312" w:hAnsi="楷体_GB2312" w:eastAsia="楷体_GB2312" w:cs="楷体_GB2312"/>
          <w:color w:val="000000"/>
        </w:rPr>
        <w:t>票据定向募集说明书”</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针对多发起机构注册模式等特殊情形，</w:t>
      </w:r>
      <w:r>
        <w:rPr>
          <w:rFonts w:hint="eastAsia" w:ascii="楷体_GB2312" w:hAnsi="楷体_GB2312" w:eastAsia="楷体_GB2312" w:cs="楷体_GB2312"/>
          <w:color w:val="000000"/>
        </w:rPr>
        <w:t>命名规则为“</w:t>
      </w:r>
      <w:r>
        <w:rPr>
          <w:rFonts w:hint="eastAsia" w:ascii="楷体_GB2312" w:hAnsi="楷体_GB2312" w:eastAsia="楷体_GB2312" w:cs="楷体_GB2312"/>
          <w:color w:val="000000"/>
          <w:lang w:val="en-US" w:eastAsia="zh-CN"/>
        </w:rPr>
        <w:t>XX</w:t>
      </w:r>
      <w:r>
        <w:rPr>
          <w:rFonts w:hint="eastAsia" w:ascii="楷体_GB2312" w:hAnsi="楷体_GB2312" w:eastAsia="楷体_GB2312" w:cs="楷体_GB2312"/>
          <w:color w:val="000000"/>
        </w:rPr>
        <w:t>（发起机构标识）20XX年度XX（项目标识）第XX期资产</w:t>
      </w:r>
      <w:r>
        <w:rPr>
          <w:rFonts w:hint="eastAsia" w:ascii="楷体_GB2312" w:hAnsi="楷体_GB2312" w:eastAsia="楷体_GB2312" w:cs="楷体_GB2312"/>
          <w:color w:val="000000"/>
          <w:lang w:val="en-US" w:eastAsia="zh-CN"/>
        </w:rPr>
        <w:t>支持商业票据定向募集说明书”</w:t>
      </w:r>
      <w:r>
        <w:rPr>
          <w:rFonts w:hint="eastAsia" w:ascii="楷体_GB2312" w:hAnsi="楷体_GB2312" w:eastAsia="楷体_GB2312" w:cs="楷体_GB2312"/>
          <w:color w:val="000000"/>
        </w:rPr>
        <w:t>，其中项目标识为可选内容。</w:t>
      </w:r>
      <w:r>
        <w:rPr>
          <w:rFonts w:hint="eastAsia" w:ascii="楷体_GB2312" w:hAnsi="楷体_GB2312" w:eastAsia="楷体_GB2312" w:cs="楷体_GB2312"/>
          <w:color w:val="000000"/>
          <w:lang w:val="en-US" w:eastAsia="zh-CN"/>
        </w:rPr>
        <w:t>（本脚注为提示性内容，添加使用时应删除）</w:t>
      </w:r>
    </w:p>
  </w:footnote>
  <w:footnote w:id="31">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牵头主承销商及联席主承销商仅需填写本期发行涉及的主承销商。（本脚注为提示性内容，添加使用时应删除）</w:t>
      </w:r>
    </w:p>
  </w:footnote>
  <w:footnote w:id="32">
    <w:p>
      <w:pPr>
        <w:pStyle w:val="32"/>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如为滚动发行，发行金额为本期发行的各档资产支持商业票据金额之和。（本脚注为提示性内容，添加使用时应删除）</w:t>
      </w:r>
    </w:p>
  </w:footnote>
  <w:footnote w:id="33">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lang w:val="en-US" w:eastAsia="zh-CN"/>
        </w:rPr>
        <w:t xml:space="preserve"> </w:t>
      </w:r>
      <w:r>
        <w:rPr>
          <w:rFonts w:hint="eastAsia" w:ascii="楷体_GB2312" w:hAnsi="楷体_GB2312" w:eastAsia="楷体_GB2312" w:cs="楷体_GB2312"/>
          <w:color w:val="000000"/>
          <w:lang w:val="en-US" w:eastAsia="zh-CN"/>
        </w:rPr>
        <w:t>“信用增级机构”是指为定向资产支持商业票据提供信用增级服务的相关主体，包括专业信用增进机构和其他信用增级主体，例如差额支付承诺人、流动性支持方、共同债务人、具有回购资产池或受让信托受益权义务的主体等。（本脚注为提示性内容，添加使用时应删除）</w:t>
      </w:r>
    </w:p>
  </w:footnote>
  <w:footnote w:id="34">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资产支持商业票据各档命名及分层情况，应根据项目实际情况进行调整。如涉及追加交付资产导致某档ABCP扩募且往期同一档不进行滚动发行的，建议将本期发行和存续分别列示。（本脚注为提示性内容，添加使用时应删除）</w:t>
      </w:r>
    </w:p>
  </w:footnote>
  <w:footnote w:id="35">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如本期为信托项下最后一期ABCP且还款来源为基础资产现金流，应选择“预期到期日”。如存在滚动发行失败后变更还本付息计划机制的，应选择“预期到期日”，“期限”和“预期到期日”对应填写后一期滚动发行成功情况下各档ABCP完成兑付的期限和日期，并通过脚注说明滚动发行失败后的还本付息计划，注明该情形下各档ABCP的预计存续期限。除此以外，建议选择“到期日”。（本脚注为提示性内容，添加使用时应删除）</w:t>
      </w:r>
    </w:p>
  </w:footnote>
  <w:footnote w:id="36">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应列示具体文件名，例如：</w:t>
      </w:r>
      <w:r>
        <w:rPr>
          <w:rFonts w:hint="eastAsia" w:ascii="楷体_GB2312" w:hAnsi="楷体_GB2312" w:eastAsia="楷体_GB2312" w:cs="楷体_GB2312"/>
          <w:color w:val="000000"/>
        </w:rPr>
        <w:t>XX公司20XX年度</w:t>
      </w:r>
      <w:r>
        <w:rPr>
          <w:rFonts w:hint="eastAsia" w:ascii="楷体_GB2312" w:hAnsi="楷体_GB2312" w:eastAsia="楷体_GB2312" w:cs="楷体_GB2312"/>
          <w:color w:val="000000"/>
          <w:lang w:val="en-US" w:eastAsia="zh-CN"/>
        </w:rPr>
        <w:t>XX</w:t>
      </w:r>
      <w:r>
        <w:rPr>
          <w:rFonts w:hint="eastAsia" w:ascii="楷体_GB2312" w:hAnsi="楷体_GB2312" w:eastAsia="楷体_GB2312" w:cs="楷体_GB2312"/>
          <w:color w:val="000000"/>
        </w:rPr>
        <w:t>（项目标识）第XX期资产支持</w:t>
      </w:r>
      <w:r>
        <w:rPr>
          <w:rFonts w:hint="eastAsia" w:ascii="楷体_GB2312" w:hAnsi="楷体_GB2312" w:eastAsia="楷体_GB2312" w:cs="楷体_GB2312"/>
          <w:color w:val="000000"/>
          <w:lang w:val="en-US" w:eastAsia="zh-CN"/>
        </w:rPr>
        <w:t>商业</w:t>
      </w:r>
      <w:r>
        <w:rPr>
          <w:rFonts w:hint="eastAsia" w:ascii="楷体_GB2312" w:hAnsi="楷体_GB2312" w:eastAsia="楷体_GB2312" w:cs="楷体_GB2312"/>
          <w:color w:val="000000"/>
        </w:rPr>
        <w:t>票据</w:t>
      </w:r>
      <w:r>
        <w:rPr>
          <w:rFonts w:hint="eastAsia" w:ascii="楷体_GB2312" w:hAnsi="楷体_GB2312" w:eastAsia="楷体_GB2312" w:cs="楷体_GB2312"/>
          <w:color w:val="000000"/>
          <w:lang w:val="en-US" w:eastAsia="zh-CN"/>
        </w:rPr>
        <w:t>定向</w:t>
      </w:r>
      <w:r>
        <w:rPr>
          <w:rFonts w:hint="eastAsia" w:ascii="楷体_GB2312" w:hAnsi="楷体_GB2312" w:eastAsia="楷体_GB2312" w:cs="楷体_GB2312"/>
          <w:color w:val="000000"/>
        </w:rPr>
        <w:t>募集说明书</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（本脚注为提示性内容，添加使用时应删除）</w:t>
      </w:r>
    </w:p>
  </w:footnote>
  <w:footnote w:id="37">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此处建议对基础资产形成与取得的过程、基础资产的基本情况进行简要概述。（本脚注为提示性内容，添加使用时应删除）</w:t>
      </w:r>
    </w:p>
  </w:footnote>
  <w:footnote w:id="38">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此处所指为委托人的权利。（本脚注为提示性内容，添加使用时应删除）</w:t>
      </w:r>
    </w:p>
  </w:footnote>
  <w:footnote w:id="39">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此处所指为委托人的义务。（本脚注为提示性内容，添加使用时应删除）</w:t>
      </w:r>
    </w:p>
  </w:footnote>
  <w:footnote w:id="40">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发行相关主体指基础资产现金流的获得取决于其持续经营，或需持续承担基础资产现金流转付义务的发起机构以及信用增级机构。（本脚注为提示性内容，添加使用时应删除）</w:t>
      </w:r>
    </w:p>
  </w:footnote>
  <w:footnote w:id="41">
    <w:p>
      <w:pPr>
        <w:pStyle w:val="32"/>
        <w:rPr>
          <w:rFonts w:ascii="楷体_GB2312" w:hAnsi="楷体_GB2312" w:eastAsia="楷体_GB2312" w:cs="楷体_GB2312"/>
          <w:color w:val="000000"/>
          <w:szCs w:val="21"/>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本章以优先级资产支持商业票据簿记建档发行，次级资产支持商业票据由发起机构自持为例，且</w:t>
      </w:r>
      <w:r>
        <w:rPr>
          <w:rFonts w:hint="eastAsia" w:ascii="楷体_GB2312" w:hAnsi="楷体_GB2312" w:eastAsia="楷体_GB2312" w:cs="楷体_GB2312"/>
          <w:color w:val="000000"/>
          <w:szCs w:val="21"/>
          <w:lang w:val="en-US" w:eastAsia="zh-CN"/>
        </w:rPr>
        <w:t>不涉及招标发行的情况。具体表述应根据项目实际情况进行调整。（本脚注为提示性内容，添加使用时应删除）</w:t>
      </w:r>
    </w:p>
  </w:footnote>
  <w:footnote w:id="42">
    <w:p>
      <w:pPr>
        <w:pStyle w:val="32"/>
        <w:rPr>
          <w:rFonts w:hint="eastAsia" w:ascii="楷体_GB2312" w:hAnsi="楷体_GB2312" w:eastAsia="楷体_GB2312" w:cs="楷体_GB2312"/>
          <w:color w:val="000000"/>
          <w:szCs w:val="21"/>
          <w:lang w:val="en-US" w:eastAsia="zh-CN"/>
        </w:rPr>
      </w:pPr>
      <w:r>
        <w:rPr>
          <w:rFonts w:hint="eastAsia" w:ascii="楷体_GB2312" w:hAnsi="楷体_GB2312" w:eastAsia="楷体_GB2312" w:cs="楷体_GB2312"/>
          <w:color w:val="000000"/>
          <w:szCs w:val="21"/>
          <w:lang w:val="en-US" w:eastAsia="zh-CN"/>
        </w:rPr>
        <w:footnoteRef/>
      </w:r>
      <w:r>
        <w:rPr>
          <w:rFonts w:hint="eastAsia" w:ascii="楷体_GB2312" w:hAnsi="楷体_GB2312" w:eastAsia="楷体_GB2312" w:cs="楷体_GB2312"/>
          <w:color w:val="000000"/>
          <w:szCs w:val="21"/>
          <w:lang w:val="en-US" w:eastAsia="zh-CN"/>
        </w:rPr>
        <w:t xml:space="preserve"> 交易结构中涉及特殊角色的，如技术服务机构等，需在表格中列示。（本脚注为提示性内容，添加使用时应删除）</w:t>
      </w:r>
    </w:p>
  </w:footnote>
  <w:footnote w:id="43">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szCs w:val="21"/>
          <w:lang w:val="en-US" w:eastAsia="zh-CN"/>
        </w:rPr>
        <w:t xml:space="preserve"> </w:t>
      </w:r>
      <w:r>
        <w:rPr>
          <w:rFonts w:hint="eastAsia" w:ascii="楷体_GB2312" w:hAnsi="楷体_GB2312" w:eastAsia="楷体_GB2312" w:cs="楷体_GB2312"/>
          <w:color w:val="000000"/>
          <w:lang w:val="en-US" w:eastAsia="zh-CN"/>
        </w:rPr>
        <w:t>定向资产支持商业票据信托命名规则为“XX公司</w:t>
      </w:r>
      <w:r>
        <w:rPr>
          <w:rFonts w:hint="eastAsia" w:ascii="楷体_GB2312" w:hAnsi="楷体_GB2312" w:eastAsia="楷体_GB2312" w:cs="楷体_GB2312"/>
          <w:color w:val="000000"/>
        </w:rPr>
        <w:t>20XX年度</w:t>
      </w:r>
      <w:r>
        <w:rPr>
          <w:rFonts w:hint="eastAsia" w:ascii="楷体_GB2312" w:hAnsi="楷体_GB2312" w:eastAsia="楷体_GB2312" w:cs="楷体_GB2312"/>
          <w:color w:val="000000"/>
          <w:lang w:val="en-US" w:eastAsia="zh-CN"/>
        </w:rPr>
        <w:t>XX（项目标识）定向资产支持商业票据信托”。针对多发起机构注册模式等特殊情形，命名规则为“XX（</w:t>
      </w:r>
      <w:r>
        <w:rPr>
          <w:rFonts w:hint="eastAsia" w:ascii="楷体_GB2312" w:hAnsi="楷体_GB2312" w:eastAsia="楷体_GB2312" w:cs="楷体_GB2312"/>
          <w:color w:val="000000"/>
        </w:rPr>
        <w:t>发起机构</w:t>
      </w:r>
      <w:r>
        <w:rPr>
          <w:rFonts w:hint="eastAsia" w:ascii="楷体_GB2312" w:hAnsi="楷体_GB2312" w:eastAsia="楷体_GB2312" w:cs="楷体_GB2312"/>
          <w:color w:val="000000"/>
          <w:lang w:val="en-US" w:eastAsia="zh-CN"/>
        </w:rPr>
        <w:t>标识）</w:t>
      </w:r>
      <w:r>
        <w:rPr>
          <w:rFonts w:hint="eastAsia" w:ascii="楷体_GB2312" w:hAnsi="楷体_GB2312" w:eastAsia="楷体_GB2312" w:cs="楷体_GB2312"/>
          <w:color w:val="000000"/>
        </w:rPr>
        <w:t>20XX年度XX（项目标识）</w:t>
      </w:r>
      <w:r>
        <w:rPr>
          <w:rFonts w:hint="eastAsia" w:ascii="楷体_GB2312" w:hAnsi="楷体_GB2312" w:eastAsia="楷体_GB2312" w:cs="楷体_GB2312"/>
          <w:color w:val="000000"/>
          <w:lang w:val="en-US" w:eastAsia="zh-CN"/>
        </w:rPr>
        <w:t>定向资产支持商业票据信托”。（本脚注为提示性内容，添加使用时应删除）</w:t>
      </w:r>
    </w:p>
  </w:footnote>
  <w:footnote w:id="44">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待偿还债务融资余额指发起机构负有到期还本付息义务的直接债务融资。</w:t>
      </w:r>
    </w:p>
  </w:footnote>
  <w:footnote w:id="45">
    <w:p>
      <w:pPr>
        <w:pStyle w:val="32"/>
        <w:rPr>
          <w:rFonts w:hint="eastAsia" w:ascii="楷体_GB2312" w:hAnsi="楷体_GB2312" w:eastAsia="楷体_GB2312" w:cs="楷体_GB2312"/>
          <w:color w:val="000000"/>
          <w:lang w:eastAsia="zh-CN"/>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会计师事务所指</w:t>
      </w:r>
      <w:r>
        <w:rPr>
          <w:rFonts w:hint="eastAsia" w:ascii="楷体_GB2312" w:hAnsi="楷体_GB2312" w:eastAsia="楷体_GB2312" w:cs="楷体_GB2312"/>
          <w:color w:val="000000"/>
        </w:rPr>
        <w:t>发起机构</w:t>
      </w:r>
      <w:r>
        <w:rPr>
          <w:rFonts w:hint="eastAsia" w:ascii="楷体_GB2312" w:hAnsi="楷体_GB2312" w:eastAsia="楷体_GB2312" w:cs="楷体_GB2312"/>
          <w:color w:val="000000"/>
          <w:lang w:val="en-US" w:eastAsia="zh-CN"/>
        </w:rPr>
        <w:t>的</w:t>
      </w:r>
      <w:r>
        <w:rPr>
          <w:rFonts w:hint="eastAsia" w:ascii="楷体_GB2312" w:hAnsi="楷体_GB2312" w:eastAsia="楷体_GB2312" w:cs="楷体_GB2312"/>
          <w:color w:val="000000"/>
        </w:rPr>
        <w:t>审计机构</w:t>
      </w:r>
      <w:r>
        <w:rPr>
          <w:rFonts w:hint="eastAsia" w:ascii="楷体_GB2312" w:hAnsi="楷体_GB2312" w:eastAsia="楷体_GB2312" w:cs="楷体_GB2312"/>
          <w:color w:val="000000"/>
          <w:lang w:eastAsia="zh-CN"/>
        </w:rPr>
        <w:t>。</w:t>
      </w:r>
    </w:p>
  </w:footnote>
  <w:footnote w:id="46">
    <w:p>
      <w:pPr>
        <w:pStyle w:val="32"/>
        <w:rPr>
          <w:rFonts w:hint="eastAsia" w:ascii="楷体_GB2312" w:hAnsi="楷体_GB2312" w:eastAsia="楷体_GB2312" w:cs="楷体_GB2312"/>
          <w:color w:val="000000"/>
          <w:szCs w:val="21"/>
          <w:lang w:eastAsia="zh-CN"/>
        </w:rPr>
      </w:pPr>
      <w:r>
        <w:rPr>
          <w:rFonts w:hint="eastAsia" w:ascii="楷体_GB2312" w:hAnsi="楷体_GB2312" w:eastAsia="楷体_GB2312" w:cs="楷体_GB2312"/>
          <w:color w:val="000000"/>
          <w:szCs w:val="21"/>
          <w:lang w:eastAsia="zh-CN"/>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szCs w:val="21"/>
          <w:lang w:val="en-US" w:eastAsia="zh-CN"/>
        </w:rPr>
        <w:t>填写截至预期到期日或到期日的</w:t>
      </w:r>
      <w:r>
        <w:rPr>
          <w:rFonts w:hint="eastAsia" w:ascii="楷体_GB2312" w:hAnsi="楷体_GB2312" w:eastAsia="楷体_GB2312" w:cs="楷体_GB2312"/>
          <w:color w:val="000000"/>
          <w:szCs w:val="21"/>
          <w:lang w:eastAsia="zh-CN"/>
        </w:rPr>
        <w:t>所有还本付息日。</w:t>
      </w:r>
      <w:r>
        <w:rPr>
          <w:rFonts w:hint="eastAsia" w:ascii="楷体_GB2312" w:hAnsi="楷体_GB2312" w:eastAsia="楷体_GB2312" w:cs="楷体_GB2312"/>
          <w:color w:val="000000"/>
          <w:lang w:val="en-US" w:eastAsia="zh-CN"/>
        </w:rPr>
        <w:t>如存在滚动发行失败后变更还本付息计划机制的，应在脚注中说明变更还本付息计划机制的安排及对应的支付日。（本脚注为提示性内容，添加使用时应删除）</w:t>
      </w:r>
    </w:p>
  </w:footnote>
  <w:footnote w:id="47">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如本期发行为发起机构受让信托受益权后的后续发行，建议在交易结构图和交易结构介绍中进行描述。（本脚注为提示性内容，添加使用时应删除）</w:t>
      </w:r>
    </w:p>
  </w:footnote>
  <w:footnote w:id="48">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本章主要描述委托人或相关主体的权利，委托人或相关主体的义务在第四章信用增级方式一章中描述。（本脚注为提示性内容，添加使用时应删除）</w:t>
      </w:r>
    </w:p>
  </w:footnote>
  <w:footnote w:id="49">
    <w:p>
      <w:pPr>
        <w:pStyle w:val="32"/>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T指本期ABCP的【</w:t>
      </w:r>
      <w:r>
        <w:rPr>
          <w:rFonts w:hint="eastAsia" w:ascii="楷体_GB2312" w:hAnsi="楷体_GB2312" w:eastAsia="楷体_GB2312" w:cs="楷体_GB2312"/>
          <w:color w:val="000000"/>
          <w:u w:val="single"/>
          <w:lang w:val="en-US" w:eastAsia="zh-CN"/>
        </w:rPr>
        <w:t>预期到期日/到期日</w:t>
      </w:r>
      <w:r>
        <w:rPr>
          <w:rFonts w:hint="eastAsia" w:ascii="楷体_GB2312" w:hAnsi="楷体_GB2312" w:eastAsia="楷体_GB2312" w:cs="楷体_GB2312"/>
          <w:color w:val="000000"/>
          <w:lang w:val="en-US" w:eastAsia="zh-CN"/>
        </w:rPr>
        <w:t>】，S指本期ABCP的各支付日，P指本期ABCP的各计算日，T+1/T-1指代T日的前一个/后一个工作日。如存在滚动发行失败后变更还本付息计划机制的，应在表中列明变更还本付息计划后的时间安排。除已注明“后一期”的之外，日期定义均对应本期ABCP。</w:t>
      </w:r>
    </w:p>
  </w:footnote>
  <w:footnote w:id="50">
    <w:p>
      <w:pPr>
        <w:pStyle w:val="32"/>
        <w:rPr>
          <w:rFonts w:hint="eastAsia" w:ascii="楷体_GB2312" w:hAnsi="楷体_GB2312" w:eastAsia="楷体_GB2312" w:cs="楷体_GB2312"/>
          <w:color w:val="000000"/>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rPr>
        <w:t>滚动发行不成功</w:t>
      </w:r>
      <w:r>
        <w:rPr>
          <w:rFonts w:hint="eastAsia" w:ascii="楷体_GB2312" w:hAnsi="楷体_GB2312" w:eastAsia="楷体_GB2312" w:cs="楷体_GB2312"/>
          <w:color w:val="000000"/>
          <w:lang w:val="en-US" w:eastAsia="zh-CN"/>
        </w:rPr>
        <w:t>时委托人</w:t>
      </w:r>
      <w:r>
        <w:rPr>
          <w:rFonts w:hint="eastAsia" w:ascii="楷体_GB2312" w:hAnsi="楷体_GB2312" w:eastAsia="楷体_GB2312" w:cs="楷体_GB2312"/>
          <w:color w:val="000000"/>
        </w:rPr>
        <w:t>对应的</w:t>
      </w:r>
      <w:r>
        <w:rPr>
          <w:rFonts w:hint="eastAsia" w:ascii="楷体_GB2312" w:hAnsi="楷体_GB2312" w:eastAsia="楷体_GB2312" w:cs="楷体_GB2312"/>
          <w:color w:val="000000"/>
          <w:lang w:val="en-US" w:eastAsia="zh-CN"/>
        </w:rPr>
        <w:t>义务</w:t>
      </w:r>
      <w:r>
        <w:rPr>
          <w:rFonts w:hint="eastAsia" w:ascii="楷体_GB2312" w:hAnsi="楷体_GB2312" w:eastAsia="楷体_GB2312" w:cs="楷体_GB2312"/>
          <w:color w:val="000000"/>
        </w:rPr>
        <w:t>包括受让信托受益权</w:t>
      </w:r>
      <w:r>
        <w:rPr>
          <w:rFonts w:hint="eastAsia" w:ascii="楷体_GB2312" w:hAnsi="楷体_GB2312" w:eastAsia="楷体_GB2312" w:cs="楷体_GB2312"/>
          <w:color w:val="000000"/>
          <w:lang w:val="en-US" w:eastAsia="zh-CN"/>
        </w:rPr>
        <w:t>和</w:t>
      </w:r>
      <w:r>
        <w:rPr>
          <w:rFonts w:hint="eastAsia" w:ascii="楷体_GB2312" w:hAnsi="楷体_GB2312" w:eastAsia="楷体_GB2312" w:cs="楷体_GB2312"/>
          <w:color w:val="000000"/>
        </w:rPr>
        <w:t>回购资产池</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但任一一种均可实现前一期ABCP的正常兑付。表中同时列示了两种机制，实操中选择一种即可。</w:t>
      </w:r>
    </w:p>
  </w:footnote>
  <w:footnote w:id="51">
    <w:p>
      <w:pPr>
        <w:pStyle w:val="32"/>
        <w:rPr>
          <w:rFonts w:hint="eastAsia" w:ascii="楷体_GB2312" w:hAnsi="楷体_GB2312" w:eastAsia="楷体_GB2312" w:cs="楷体_GB2312"/>
          <w:color w:val="000000"/>
          <w:u w:val="single"/>
        </w:rPr>
      </w:pPr>
      <w:r>
        <w:rPr>
          <w:rFonts w:hint="eastAsia" w:ascii="楷体_GB2312" w:hAnsi="楷体_GB2312" w:eastAsia="楷体_GB2312" w:cs="楷体_GB2312"/>
          <w:color w:val="000000"/>
        </w:rPr>
        <w:footnoteRef/>
      </w:r>
      <w:r>
        <w:rPr>
          <w:rFonts w:hint="eastAsia" w:ascii="楷体_GB2312" w:hAnsi="楷体_GB2312" w:eastAsia="楷体_GB2312" w:cs="楷体_GB2312"/>
          <w:color w:val="000000"/>
          <w:lang w:val="en-US" w:eastAsia="zh-CN"/>
        </w:rPr>
        <w:t xml:space="preserve"> 根据信托合同（参考文本），受托人应于发行不成功对应的簿记建档日或缴款日（后一期）当日向委托人发出通知，应根据项目实际情况进行调整。（本脚注为提示性内容，添加使用时应删除）</w:t>
      </w:r>
    </w:p>
  </w:footnote>
  <w:footnote w:id="52">
    <w:p>
      <w:pPr>
        <w:pStyle w:val="32"/>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footnoteRef/>
      </w:r>
      <w:r>
        <w:rPr>
          <w:rFonts w:hint="eastAsia" w:ascii="楷体_GB2312" w:hAnsi="楷体_GB2312" w:eastAsia="楷体_GB2312" w:cs="楷体_GB2312"/>
          <w:color w:val="000000"/>
          <w:szCs w:val="21"/>
        </w:rPr>
        <w:t xml:space="preserve"> ABCP</w:t>
      </w:r>
      <w:r>
        <w:rPr>
          <w:rFonts w:hint="eastAsia" w:ascii="楷体_GB2312" w:hAnsi="楷体_GB2312" w:eastAsia="楷体_GB2312" w:cs="楷体_GB2312"/>
          <w:color w:val="000000"/>
          <w:szCs w:val="21"/>
          <w:lang w:val="en-US" w:eastAsia="zh-CN"/>
        </w:rPr>
        <w:t>设置的</w:t>
      </w:r>
      <w:r>
        <w:rPr>
          <w:rFonts w:hint="eastAsia" w:ascii="楷体_GB2312" w:hAnsi="楷体_GB2312" w:eastAsia="楷体_GB2312" w:cs="楷体_GB2312"/>
          <w:color w:val="000000"/>
          <w:szCs w:val="21"/>
        </w:rPr>
        <w:t>流动性支持机制</w:t>
      </w:r>
      <w:r>
        <w:rPr>
          <w:rFonts w:hint="eastAsia" w:ascii="楷体_GB2312" w:hAnsi="楷体_GB2312" w:eastAsia="楷体_GB2312" w:cs="楷体_GB2312"/>
          <w:color w:val="000000"/>
          <w:szCs w:val="21"/>
          <w:lang w:val="en-US" w:eastAsia="zh-CN"/>
        </w:rPr>
        <w:t>应在本章节披露，</w:t>
      </w:r>
      <w:r>
        <w:rPr>
          <w:rFonts w:hint="eastAsia" w:ascii="楷体_GB2312" w:hAnsi="楷体_GB2312" w:eastAsia="楷体_GB2312" w:cs="楷体_GB2312"/>
          <w:color w:val="000000"/>
          <w:szCs w:val="21"/>
        </w:rPr>
        <w:t>包括</w:t>
      </w:r>
      <w:r>
        <w:rPr>
          <w:rFonts w:hint="eastAsia" w:ascii="楷体_GB2312" w:hAnsi="楷体_GB2312" w:eastAsia="楷体_GB2312" w:cs="楷体_GB2312"/>
          <w:color w:val="000000"/>
          <w:szCs w:val="21"/>
          <w:lang w:val="en-US" w:eastAsia="zh-CN"/>
        </w:rPr>
        <w:t>但不限于</w:t>
      </w:r>
      <w:r>
        <w:rPr>
          <w:rFonts w:hint="eastAsia" w:ascii="楷体_GB2312" w:hAnsi="楷体_GB2312" w:eastAsia="楷体_GB2312" w:cs="楷体_GB2312"/>
          <w:color w:val="000000"/>
          <w:szCs w:val="21"/>
        </w:rPr>
        <w:t>差额支付承诺、流动性支持承诺、资产池回购</w:t>
      </w:r>
      <w:r>
        <w:rPr>
          <w:rFonts w:hint="eastAsia" w:ascii="楷体_GB2312" w:hAnsi="楷体_GB2312" w:eastAsia="楷体_GB2312" w:cs="楷体_GB2312"/>
          <w:color w:val="000000"/>
          <w:szCs w:val="21"/>
          <w:lang w:eastAsia="zh-CN"/>
        </w:rPr>
        <w:t>、</w:t>
      </w:r>
      <w:r>
        <w:rPr>
          <w:rFonts w:hint="eastAsia" w:ascii="楷体_GB2312" w:hAnsi="楷体_GB2312" w:eastAsia="楷体_GB2312" w:cs="楷体_GB2312"/>
          <w:color w:val="000000"/>
          <w:szCs w:val="21"/>
          <w:lang w:val="en-US" w:eastAsia="zh-CN"/>
        </w:rPr>
        <w:t>受让信托受益权、债务加入</w:t>
      </w:r>
      <w:r>
        <w:rPr>
          <w:rFonts w:hint="eastAsia" w:ascii="楷体_GB2312" w:hAnsi="楷体_GB2312" w:eastAsia="楷体_GB2312" w:cs="楷体_GB2312"/>
          <w:color w:val="000000"/>
          <w:szCs w:val="21"/>
        </w:rPr>
        <w:t>等</w:t>
      </w:r>
      <w:r>
        <w:rPr>
          <w:rFonts w:hint="eastAsia" w:ascii="楷体_GB2312" w:hAnsi="楷体_GB2312" w:eastAsia="楷体_GB2312" w:cs="楷体_GB2312"/>
          <w:color w:val="000000"/>
          <w:szCs w:val="21"/>
          <w:lang w:eastAsia="zh-CN"/>
        </w:rPr>
        <w:t>。</w:t>
      </w:r>
      <w:r>
        <w:rPr>
          <w:rFonts w:hint="eastAsia" w:ascii="楷体_GB2312" w:hAnsi="楷体_GB2312" w:eastAsia="楷体_GB2312" w:cs="楷体_GB2312"/>
          <w:color w:val="000000"/>
          <w:lang w:val="en-US" w:eastAsia="zh-CN"/>
        </w:rPr>
        <w:t>（本脚注为提示性内容，添加使用时应删除）</w:t>
      </w:r>
    </w:p>
  </w:footnote>
  <w:footnote w:id="53">
    <w:p>
      <w:pPr>
        <w:pStyle w:val="32"/>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footnoteRef/>
      </w:r>
      <w:r>
        <w:rPr>
          <w:rFonts w:hint="eastAsia" w:ascii="楷体_GB2312" w:hAnsi="楷体_GB2312" w:eastAsia="楷体_GB2312" w:cs="楷体_GB2312"/>
          <w:color w:val="000000"/>
          <w:szCs w:val="21"/>
        </w:rPr>
        <w:t xml:space="preserve"> </w:t>
      </w:r>
      <w:r>
        <w:rPr>
          <w:rFonts w:hint="eastAsia" w:ascii="楷体_GB2312" w:hAnsi="楷体_GB2312" w:eastAsia="楷体_GB2312" w:cs="楷体_GB2312"/>
          <w:color w:val="000000"/>
          <w:szCs w:val="21"/>
          <w:lang w:val="en-US" w:eastAsia="zh-CN"/>
        </w:rPr>
        <w:t>如信用增级机构与发起机构一致，无需重复披露。</w:t>
      </w:r>
      <w:r>
        <w:rPr>
          <w:rFonts w:hint="eastAsia" w:ascii="楷体_GB2312" w:hAnsi="楷体_GB2312" w:eastAsia="楷体_GB2312" w:cs="楷体_GB2312"/>
          <w:color w:val="000000"/>
          <w:lang w:val="en-US" w:eastAsia="zh-CN"/>
        </w:rPr>
        <w:t>（本脚注为提示性内容，添加使用时应删除）</w:t>
      </w:r>
    </w:p>
  </w:footnote>
  <w:footnote w:id="54">
    <w:p>
      <w:pPr>
        <w:pStyle w:val="32"/>
        <w:rPr>
          <w:rFonts w:ascii="楷体_GB2312" w:hAnsi="楷体_GB2312" w:eastAsia="楷体_GB2312" w:cs="楷体_GB2312"/>
          <w:color w:val="000000"/>
          <w:szCs w:val="21"/>
          <w:lang w:val="en-US" w:eastAsia="zh-CN"/>
        </w:rPr>
      </w:pPr>
      <w:r>
        <w:rPr>
          <w:rFonts w:hint="eastAsia" w:ascii="楷体_GB2312" w:hAnsi="楷体_GB2312" w:eastAsia="楷体_GB2312" w:cs="楷体_GB2312"/>
          <w:color w:val="000000"/>
          <w:szCs w:val="21"/>
          <w:lang w:val="en-US" w:eastAsia="zh-CN"/>
        </w:rPr>
        <w:footnoteRef/>
      </w:r>
      <w:r>
        <w:rPr>
          <w:rFonts w:hint="eastAsia" w:ascii="楷体_GB2312" w:hAnsi="楷体_GB2312" w:eastAsia="楷体_GB2312" w:cs="楷体_GB2312"/>
          <w:color w:val="000000"/>
          <w:szCs w:val="21"/>
          <w:lang w:val="en-US" w:eastAsia="zh-CN"/>
        </w:rPr>
        <w:t xml:space="preserve"> 集中度指专业信用增进机构对于某一主体的债券担保责任余额占其同类业务的比例。该主体应结合专业信用增进机构对本期资产支持商业票据的实质增进对象进行判断。</w:t>
      </w:r>
      <w:r>
        <w:rPr>
          <w:rFonts w:hint="eastAsia" w:ascii="楷体_GB2312" w:hAnsi="楷体_GB2312" w:eastAsia="楷体_GB2312" w:cs="楷体_GB2312"/>
          <w:color w:val="000000"/>
          <w:lang w:val="en-US" w:eastAsia="zh-CN"/>
        </w:rPr>
        <w:t>（本脚注为提示性内容，添加使用时应删除）</w:t>
      </w:r>
    </w:p>
  </w:footnote>
  <w:footnote w:id="55">
    <w:p>
      <w:pPr>
        <w:pStyle w:val="32"/>
        <w:rPr>
          <w:rFonts w:ascii="楷体_GB2312" w:hAnsi="楷体_GB2312" w:eastAsia="楷体_GB2312" w:cs="楷体_GB2312"/>
          <w:color w:val="000000"/>
          <w:szCs w:val="21"/>
          <w:lang w:val="en-US" w:eastAsia="zh-CN"/>
        </w:rPr>
      </w:pPr>
      <w:r>
        <w:rPr>
          <w:rFonts w:hint="eastAsia" w:ascii="楷体_GB2312" w:hAnsi="楷体_GB2312" w:eastAsia="楷体_GB2312" w:cs="楷体_GB2312"/>
          <w:color w:val="000000"/>
          <w:szCs w:val="21"/>
          <w:lang w:val="en-US" w:eastAsia="zh-CN"/>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szCs w:val="21"/>
          <w:lang w:val="en-US" w:eastAsia="zh-CN"/>
        </w:rPr>
        <w:t>如资产服务机构与发起机构一致，无需重复披露。</w:t>
      </w:r>
      <w:r>
        <w:rPr>
          <w:rFonts w:hint="eastAsia" w:ascii="楷体_GB2312" w:hAnsi="楷体_GB2312" w:eastAsia="楷体_GB2312" w:cs="楷体_GB2312"/>
          <w:color w:val="000000"/>
          <w:lang w:val="en-US" w:eastAsia="zh-CN"/>
        </w:rPr>
        <w:t>（本脚注为提示性内容，添加使用时应删除）</w:t>
      </w:r>
    </w:p>
  </w:footnote>
  <w:footnote w:id="56">
    <w:p>
      <w:pPr>
        <w:pStyle w:val="32"/>
        <w:rPr>
          <w:rFonts w:hint="eastAsia" w:ascii="楷体_GB2312" w:hAnsi="楷体_GB2312" w:eastAsia="楷体_GB2312" w:cs="楷体_GB2312"/>
          <w:color w:val="000000"/>
          <w:szCs w:val="21"/>
          <w:lang w:eastAsia="zh-CN"/>
        </w:rPr>
      </w:pPr>
      <w:r>
        <w:rPr>
          <w:rFonts w:hint="eastAsia" w:ascii="楷体_GB2312" w:hAnsi="楷体_GB2312" w:eastAsia="楷体_GB2312" w:cs="楷体_GB2312"/>
          <w:color w:val="000000"/>
          <w:szCs w:val="21"/>
          <w:lang w:eastAsia="zh-CN"/>
        </w:rPr>
        <w:footnoteRef/>
      </w:r>
      <w:r>
        <w:rPr>
          <w:rFonts w:hint="eastAsia" w:ascii="楷体_GB2312" w:hAnsi="楷体_GB2312" w:eastAsia="楷体_GB2312" w:cs="楷体_GB2312"/>
          <w:color w:val="000000"/>
          <w:szCs w:val="21"/>
          <w:lang w:val="en-US" w:eastAsia="zh-CN"/>
        </w:rPr>
        <w:t xml:space="preserve"> 如存在滚动发行失败后变更还本付息计划的安排，建议在脚注中描述变更后的还本付息计划并</w:t>
      </w:r>
      <w:r>
        <w:rPr>
          <w:rFonts w:hint="eastAsia" w:ascii="楷体_GB2312" w:hAnsi="楷体_GB2312" w:eastAsia="楷体_GB2312" w:cs="楷体_GB2312"/>
          <w:color w:val="000000"/>
          <w:lang w:val="en-US" w:eastAsia="zh-CN"/>
        </w:rPr>
        <w:t>注明该情形下各档ABCP的预计存续期限</w:t>
      </w:r>
      <w:r>
        <w:rPr>
          <w:rFonts w:hint="eastAsia" w:ascii="楷体_GB2312" w:hAnsi="楷体_GB2312" w:eastAsia="楷体_GB2312" w:cs="楷体_GB2312"/>
          <w:color w:val="000000"/>
          <w:szCs w:val="21"/>
          <w:lang w:val="en-US" w:eastAsia="zh-CN"/>
        </w:rPr>
        <w:t>。例如：如后一期优先级资产支持商业票据滚动发行失败，本期优先级资产支持商业票据将按月进行付息、过手摊还本金，预计于20XX年XX月XX日完成兑付。</w:t>
      </w:r>
      <w:r>
        <w:rPr>
          <w:rFonts w:hint="eastAsia" w:ascii="楷体_GB2312" w:hAnsi="楷体_GB2312" w:eastAsia="楷体_GB2312" w:cs="楷体_GB2312"/>
          <w:color w:val="000000"/>
          <w:lang w:val="en-US" w:eastAsia="zh-CN"/>
        </w:rPr>
        <w:t>（本脚注为提示性内容，添加使用时应删除）</w:t>
      </w:r>
    </w:p>
  </w:footnote>
  <w:footnote w:id="57">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szCs w:val="21"/>
          <w:lang w:val="en-US" w:eastAsia="zh-CN"/>
        </w:rPr>
        <w:t xml:space="preserve"> </w:t>
      </w:r>
      <w:r>
        <w:rPr>
          <w:rFonts w:hint="eastAsia" w:ascii="楷体_GB2312" w:hAnsi="楷体_GB2312" w:eastAsia="楷体_GB2312" w:cs="楷体_GB2312"/>
          <w:color w:val="000000"/>
          <w:lang w:val="en-US" w:eastAsia="zh-CN"/>
        </w:rPr>
        <w:t>此处所指为委托人或相关方的义务。（本脚注为提示性内容，添加使用时应删除）</w:t>
      </w:r>
    </w:p>
  </w:footnote>
  <w:footnote w:id="58">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此处所指为委托人或相关方的权利以及中止滚动发行后所负有的义务。（本脚注为提示性内容，添加使用时应删除）</w:t>
      </w:r>
    </w:p>
  </w:footnote>
  <w:footnote w:id="59">
    <w:p>
      <w:pPr>
        <w:pStyle w:val="32"/>
        <w:snapToGrid w:val="0"/>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rPr>
        <w:footnoteRef/>
      </w:r>
      <w:r>
        <w:rPr>
          <w:rFonts w:hint="eastAsia" w:ascii="楷体_GB2312" w:hAnsi="楷体_GB2312" w:eastAsia="楷体_GB2312" w:cs="楷体_GB2312"/>
          <w:color w:val="000000"/>
          <w:sz w:val="18"/>
          <w:szCs w:val="18"/>
        </w:rPr>
        <w:t xml:space="preserve"> </w:t>
      </w:r>
      <w:r>
        <w:rPr>
          <w:rFonts w:hint="eastAsia" w:ascii="楷体_GB2312" w:hAnsi="楷体_GB2312" w:eastAsia="楷体_GB2312" w:cs="楷体_GB2312"/>
          <w:color w:val="000000"/>
        </w:rPr>
        <w:t>定向</w:t>
      </w:r>
      <w:r>
        <w:rPr>
          <w:rFonts w:hint="eastAsia" w:ascii="楷体_GB2312" w:hAnsi="楷体_GB2312" w:eastAsia="楷体_GB2312" w:cs="楷体_GB2312"/>
          <w:color w:val="000000"/>
          <w:lang w:val="en-US" w:eastAsia="zh-CN"/>
        </w:rPr>
        <w:t>发行协议</w:t>
      </w:r>
      <w:r>
        <w:rPr>
          <w:rFonts w:hint="eastAsia" w:ascii="楷体_GB2312" w:hAnsi="楷体_GB2312" w:eastAsia="楷体_GB2312" w:cs="楷体_GB2312"/>
          <w:color w:val="000000"/>
        </w:rPr>
        <w:t>命名规则为“XX公司20XX</w:t>
      </w:r>
      <w:r>
        <w:rPr>
          <w:rFonts w:hint="eastAsia" w:ascii="楷体_GB2312" w:hAnsi="楷体_GB2312" w:eastAsia="楷体_GB2312" w:cs="楷体_GB2312"/>
          <w:color w:val="000000"/>
          <w:lang w:val="en-US" w:eastAsia="zh-CN"/>
        </w:rPr>
        <w:t>-</w:t>
      </w:r>
      <w:r>
        <w:rPr>
          <w:rFonts w:hint="eastAsia" w:ascii="楷体_GB2312" w:hAnsi="楷体_GB2312" w:eastAsia="楷体_GB2312" w:cs="楷体_GB2312"/>
          <w:color w:val="000000"/>
        </w:rPr>
        <w:t>20XX年度</w:t>
      </w:r>
      <w:r>
        <w:rPr>
          <w:rFonts w:hint="eastAsia" w:ascii="楷体_GB2312" w:hAnsi="楷体_GB2312" w:eastAsia="楷体_GB2312" w:cs="楷体_GB2312"/>
          <w:color w:val="000000"/>
          <w:lang w:val="en-US" w:eastAsia="zh-CN"/>
        </w:rPr>
        <w:t>XX</w:t>
      </w:r>
      <w:r>
        <w:rPr>
          <w:rFonts w:hint="eastAsia" w:ascii="楷体_GB2312" w:hAnsi="楷体_GB2312" w:eastAsia="楷体_GB2312" w:cs="楷体_GB2312"/>
          <w:color w:val="000000"/>
        </w:rPr>
        <w:t>（项目标识）资产支持</w:t>
      </w:r>
      <w:r>
        <w:rPr>
          <w:rFonts w:hint="eastAsia" w:ascii="楷体_GB2312" w:hAnsi="楷体_GB2312" w:eastAsia="楷体_GB2312" w:cs="楷体_GB2312"/>
          <w:color w:val="000000"/>
          <w:lang w:val="en-US" w:eastAsia="zh-CN"/>
        </w:rPr>
        <w:t>商业</w:t>
      </w:r>
      <w:r>
        <w:rPr>
          <w:rFonts w:hint="eastAsia" w:ascii="楷体_GB2312" w:hAnsi="楷体_GB2312" w:eastAsia="楷体_GB2312" w:cs="楷体_GB2312"/>
          <w:color w:val="000000"/>
        </w:rPr>
        <w:t>票据定向</w:t>
      </w:r>
      <w:r>
        <w:rPr>
          <w:rFonts w:hint="eastAsia" w:ascii="楷体_GB2312" w:hAnsi="楷体_GB2312" w:eastAsia="楷体_GB2312" w:cs="楷体_GB2312"/>
          <w:color w:val="000000"/>
          <w:lang w:val="en-US" w:eastAsia="zh-CN"/>
        </w:rPr>
        <w:t>发行协议</w:t>
      </w:r>
      <w:r>
        <w:rPr>
          <w:rFonts w:hint="eastAsia" w:ascii="楷体_GB2312" w:hAnsi="楷体_GB2312" w:eastAsia="楷体_GB2312" w:cs="楷体_GB2312"/>
          <w:color w:val="000000"/>
        </w:rPr>
        <w:t>”</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lang w:val="en-US" w:eastAsia="zh-CN"/>
        </w:rPr>
        <w:t>针对多发起机构注册模式等特殊情形，</w:t>
      </w:r>
      <w:r>
        <w:rPr>
          <w:rFonts w:hint="eastAsia" w:ascii="楷体_GB2312" w:hAnsi="楷体_GB2312" w:eastAsia="楷体_GB2312" w:cs="楷体_GB2312"/>
          <w:color w:val="000000"/>
        </w:rPr>
        <w:t>命名规则为“</w:t>
      </w:r>
      <w:r>
        <w:rPr>
          <w:rFonts w:hint="eastAsia" w:ascii="楷体_GB2312" w:hAnsi="楷体_GB2312" w:eastAsia="楷体_GB2312" w:cs="楷体_GB2312"/>
          <w:color w:val="000000"/>
          <w:lang w:val="en-US" w:eastAsia="zh-CN"/>
        </w:rPr>
        <w:t>XX</w:t>
      </w:r>
      <w:r>
        <w:rPr>
          <w:rFonts w:hint="eastAsia" w:ascii="楷体_GB2312" w:hAnsi="楷体_GB2312" w:eastAsia="楷体_GB2312" w:cs="楷体_GB2312"/>
          <w:color w:val="000000"/>
        </w:rPr>
        <w:t>（发起机构标识）20XX</w:t>
      </w:r>
      <w:r>
        <w:rPr>
          <w:rFonts w:hint="eastAsia" w:ascii="楷体_GB2312" w:hAnsi="楷体_GB2312" w:eastAsia="楷体_GB2312" w:cs="楷体_GB2312"/>
          <w:color w:val="000000"/>
          <w:lang w:val="en-US" w:eastAsia="zh-CN"/>
        </w:rPr>
        <w:t>-</w:t>
      </w:r>
      <w:r>
        <w:rPr>
          <w:rFonts w:hint="eastAsia" w:ascii="楷体_GB2312" w:hAnsi="楷体_GB2312" w:eastAsia="楷体_GB2312" w:cs="楷体_GB2312"/>
          <w:color w:val="000000"/>
        </w:rPr>
        <w:t>20XX年度XX（项目标识）资产</w:t>
      </w:r>
      <w:r>
        <w:rPr>
          <w:rFonts w:hint="eastAsia" w:ascii="楷体_GB2312" w:hAnsi="楷体_GB2312" w:eastAsia="楷体_GB2312" w:cs="楷体_GB2312"/>
          <w:color w:val="000000"/>
          <w:lang w:val="en-US" w:eastAsia="zh-CN"/>
        </w:rPr>
        <w:t>支持商业票据定向发行协议”</w:t>
      </w:r>
      <w:r>
        <w:rPr>
          <w:rFonts w:hint="eastAsia" w:ascii="楷体_GB2312" w:hAnsi="楷体_GB2312" w:eastAsia="楷体_GB2312" w:cs="楷体_GB2312"/>
          <w:color w:val="000000"/>
        </w:rPr>
        <w:t>，其中项目标识为可选内容。</w:t>
      </w:r>
      <w:r>
        <w:rPr>
          <w:rFonts w:hint="eastAsia" w:ascii="楷体_GB2312" w:hAnsi="楷体_GB2312" w:eastAsia="楷体_GB2312" w:cs="楷体_GB2312"/>
          <w:color w:val="000000"/>
          <w:lang w:val="en-US" w:eastAsia="zh-CN"/>
        </w:rPr>
        <w:t>（本脚注为提示性内容，添加使用时应删除）</w:t>
      </w:r>
    </w:p>
  </w:footnote>
  <w:footnote w:id="60">
    <w:p>
      <w:pPr>
        <w:pStyle w:val="32"/>
        <w:snapToGrid w:val="0"/>
        <w:rPr>
          <w:rFonts w:hint="default"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rPr>
        <w:footnoteRef/>
      </w:r>
      <w:r>
        <w:rPr>
          <w:rFonts w:hint="eastAsia" w:ascii="楷体_GB2312" w:hAnsi="楷体_GB2312" w:eastAsia="楷体_GB2312" w:cs="楷体_GB2312"/>
          <w:color w:val="000000"/>
          <w:sz w:val="18"/>
          <w:szCs w:val="18"/>
        </w:rPr>
        <w:t xml:space="preserve"> </w:t>
      </w:r>
      <w:r>
        <w:rPr>
          <w:rFonts w:hint="eastAsia" w:ascii="楷体_GB2312" w:hAnsi="楷体_GB2312" w:eastAsia="楷体_GB2312" w:cs="楷体_GB2312"/>
          <w:color w:val="000000"/>
          <w:sz w:val="18"/>
          <w:szCs w:val="18"/>
          <w:lang w:val="en-US" w:eastAsia="zh-CN"/>
        </w:rPr>
        <w:t>牵头主承销商及联席主承销商仅需填写本期发行涉及的主承销商。（本脚注为提示性内容，添加使用时应删除）</w:t>
      </w:r>
    </w:p>
  </w:footnote>
  <w:footnote w:id="61">
    <w:p>
      <w:pPr>
        <w:pStyle w:val="32"/>
        <w:snapToGrid w:val="0"/>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如为滚动发行，发行金额为本期发行的各档资产支持商业票据金额之和。（本脚注为提示性内容，添加使用时应删除）</w:t>
      </w:r>
    </w:p>
  </w:footnote>
  <w:footnote w:id="62">
    <w:p>
      <w:pPr>
        <w:pStyle w:val="32"/>
        <w:snapToGrid w:val="0"/>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lang w:val="en-US" w:eastAsia="zh-CN"/>
        </w:rPr>
        <w:t xml:space="preserve"> </w:t>
      </w:r>
      <w:r>
        <w:rPr>
          <w:rFonts w:hint="eastAsia" w:ascii="楷体_GB2312" w:hAnsi="楷体_GB2312" w:eastAsia="楷体_GB2312" w:cs="楷体_GB2312"/>
          <w:color w:val="000000"/>
          <w:lang w:val="en-US" w:eastAsia="zh-CN"/>
        </w:rPr>
        <w:t>“信用增级机构”是指为定向资产支持商业票据提供信用增级服务的相关主体，包括专业信用增进机构和其他信用增级主体，例如差额支付承诺人、流动性支持方、共同债务人、具有回购资产池或受让信托受益权义务的主体等。（本脚注为提示性</w:t>
      </w:r>
      <w:r>
        <w:rPr>
          <w:rFonts w:hint="eastAsia" w:ascii="楷体_GB2312" w:hAnsi="楷体_GB2312" w:eastAsia="楷体_GB2312" w:cs="楷体_GB2312"/>
          <w:color w:val="000000"/>
          <w:highlight w:val="none"/>
          <w:lang w:val="en-US" w:eastAsia="zh-CN"/>
        </w:rPr>
        <w:t>内容，添加使用时应删除）</w:t>
      </w:r>
    </w:p>
  </w:footnote>
  <w:footnote w:id="63">
    <w:p>
      <w:pPr>
        <w:pStyle w:val="32"/>
        <w:snapToGrid w:val="0"/>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资产支持商业票据各档命名及分层情况，应根据项目实际情况进行调整。</w:t>
      </w:r>
      <w:r>
        <w:rPr>
          <w:rFonts w:hint="eastAsia" w:ascii="楷体_GB2312" w:hAnsi="楷体_GB2312" w:eastAsia="楷体_GB2312" w:cs="楷体_GB2312"/>
          <w:color w:val="000000"/>
          <w:sz w:val="18"/>
          <w:szCs w:val="18"/>
          <w:highlight w:val="none"/>
          <w:lang w:val="en-US" w:eastAsia="zh-CN"/>
        </w:rPr>
        <w:t>如涉及追加交付资产导致某档ABCP扩募且往期同一档不进行滚动发行的，建议将本期发行和存续分别列示。</w:t>
      </w:r>
      <w:r>
        <w:rPr>
          <w:rFonts w:hint="eastAsia" w:ascii="楷体_GB2312" w:hAnsi="楷体_GB2312" w:eastAsia="楷体_GB2312" w:cs="楷体_GB2312"/>
          <w:color w:val="000000"/>
          <w:sz w:val="18"/>
          <w:szCs w:val="18"/>
          <w:lang w:val="en-US" w:eastAsia="zh-CN"/>
        </w:rPr>
        <w:t>（本脚注为提示性内容，添加使用时应删除）</w:t>
      </w:r>
    </w:p>
  </w:footnote>
  <w:footnote w:id="64">
    <w:p>
      <w:pPr>
        <w:pStyle w:val="32"/>
        <w:snapToGrid w:val="0"/>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w:t>
      </w:r>
      <w:r>
        <w:rPr>
          <w:rFonts w:hint="eastAsia" w:ascii="楷体_GB2312" w:hAnsi="楷体_GB2312" w:eastAsia="楷体_GB2312" w:cs="楷体_GB2312"/>
          <w:color w:val="000000"/>
          <w:lang w:val="en-US" w:eastAsia="zh-CN"/>
        </w:rPr>
        <w:t>如本期为信托项下最后一期ABCP且还款来源为基础资产现金流，应选择“预期到期日”。如存在滚动发行失败后变更还本付息计划机制的，应选择“预期到期</w:t>
      </w:r>
      <w:r>
        <w:rPr>
          <w:rFonts w:hint="eastAsia" w:ascii="楷体_GB2312" w:hAnsi="楷体_GB2312" w:eastAsia="楷体_GB2312" w:cs="楷体_GB2312"/>
          <w:color w:val="000000"/>
          <w:highlight w:val="none"/>
          <w:lang w:val="en-US" w:eastAsia="zh-CN"/>
        </w:rPr>
        <w:t>日”，“期限”和“预期到期日”对应填写后一期滚动发行成功情况下各档ABCP完成兑付的期限和日期，并通过脚注说明滚动发行失败后的还本付息计划，注明该情形下各档ABCP的预计存续期限。除此以外，建议选择“到期日”。（本脚注为提示性内容，添加使用时应删除）</w:t>
      </w:r>
    </w:p>
    <w:p>
      <w:pPr>
        <w:pStyle w:val="32"/>
        <w:snapToGrid w:val="0"/>
        <w:rPr>
          <w:rFonts w:hint="eastAsia" w:ascii="楷体_GB2312" w:hAnsi="楷体_GB2312" w:eastAsia="楷体_GB2312" w:cs="楷体_GB2312"/>
          <w:color w:val="000000"/>
          <w:sz w:val="18"/>
          <w:szCs w:val="18"/>
          <w:lang w:val="en-US" w:eastAsia="zh-CN"/>
        </w:rPr>
      </w:pPr>
    </w:p>
  </w:footnote>
  <w:footnote w:id="65">
    <w:p>
      <w:pPr>
        <w:pStyle w:val="32"/>
        <w:snapToGrid w:val="0"/>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lang w:val="en-US" w:eastAsia="zh-CN"/>
        </w:rPr>
        <w:t xml:space="preserve"> 应列示具体文件名，例如：</w:t>
      </w:r>
      <w:r>
        <w:rPr>
          <w:rFonts w:hint="eastAsia" w:ascii="楷体_GB2312" w:hAnsi="楷体_GB2312" w:eastAsia="楷体_GB2312" w:cs="楷体_GB2312"/>
          <w:color w:val="000000"/>
        </w:rPr>
        <w:t>XX公司20XX</w:t>
      </w:r>
      <w:r>
        <w:rPr>
          <w:rFonts w:hint="eastAsia" w:ascii="楷体_GB2312" w:hAnsi="楷体_GB2312" w:eastAsia="楷体_GB2312" w:cs="楷体_GB2312"/>
          <w:color w:val="000000"/>
          <w:lang w:val="en-US" w:eastAsia="zh-CN"/>
        </w:rPr>
        <w:t>-20XX</w:t>
      </w:r>
      <w:r>
        <w:rPr>
          <w:rFonts w:hint="eastAsia" w:ascii="楷体_GB2312" w:hAnsi="楷体_GB2312" w:eastAsia="楷体_GB2312" w:cs="楷体_GB2312"/>
          <w:color w:val="000000"/>
        </w:rPr>
        <w:t>年度</w:t>
      </w:r>
      <w:r>
        <w:rPr>
          <w:rFonts w:hint="eastAsia" w:ascii="楷体_GB2312" w:hAnsi="楷体_GB2312" w:eastAsia="楷体_GB2312" w:cs="楷体_GB2312"/>
          <w:color w:val="000000"/>
          <w:lang w:val="en-US" w:eastAsia="zh-CN"/>
        </w:rPr>
        <w:t>XX</w:t>
      </w:r>
      <w:r>
        <w:rPr>
          <w:rFonts w:hint="eastAsia" w:ascii="楷体_GB2312" w:hAnsi="楷体_GB2312" w:eastAsia="楷体_GB2312" w:cs="楷体_GB2312"/>
          <w:color w:val="000000"/>
        </w:rPr>
        <w:t>（项目标识）资产支持</w:t>
      </w:r>
      <w:r>
        <w:rPr>
          <w:rFonts w:hint="eastAsia" w:ascii="楷体_GB2312" w:hAnsi="楷体_GB2312" w:eastAsia="楷体_GB2312" w:cs="楷体_GB2312"/>
          <w:color w:val="000000"/>
          <w:lang w:val="en-US" w:eastAsia="zh-CN"/>
        </w:rPr>
        <w:t>商业</w:t>
      </w:r>
      <w:r>
        <w:rPr>
          <w:rFonts w:hint="eastAsia" w:ascii="楷体_GB2312" w:hAnsi="楷体_GB2312" w:eastAsia="楷体_GB2312" w:cs="楷体_GB2312"/>
          <w:color w:val="000000"/>
        </w:rPr>
        <w:t>票据</w:t>
      </w:r>
      <w:r>
        <w:rPr>
          <w:rFonts w:hint="eastAsia" w:ascii="楷体_GB2312" w:hAnsi="楷体_GB2312" w:eastAsia="楷体_GB2312" w:cs="楷体_GB2312"/>
          <w:color w:val="000000"/>
          <w:lang w:val="en-US" w:eastAsia="zh-CN"/>
        </w:rPr>
        <w:t>定向发行协议</w:t>
      </w:r>
      <w:r>
        <w:rPr>
          <w:rFonts w:hint="eastAsia" w:ascii="楷体_GB2312" w:hAnsi="楷体_GB2312" w:eastAsia="楷体_GB2312" w:cs="楷体_GB2312"/>
          <w:color w:val="000000"/>
          <w:lang w:eastAsia="zh-CN"/>
        </w:rPr>
        <w:t>。</w:t>
      </w:r>
      <w:r>
        <w:rPr>
          <w:rFonts w:hint="eastAsia" w:ascii="楷体_GB2312" w:hAnsi="楷体_GB2312" w:eastAsia="楷体_GB2312" w:cs="楷体_GB2312"/>
          <w:color w:val="000000"/>
          <w:sz w:val="18"/>
          <w:szCs w:val="18"/>
          <w:lang w:val="en-US" w:eastAsia="zh-CN"/>
        </w:rPr>
        <w:t>（本脚注为提示性内容，添加使用时应删除）</w:t>
      </w:r>
    </w:p>
  </w:footnote>
  <w:footnote w:id="66">
    <w:p>
      <w:pPr>
        <w:pStyle w:val="32"/>
        <w:snapToGrid w:val="0"/>
        <w:rPr>
          <w:rFonts w:hint="default"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此处建议对基础资产形成与取得的过程、基础资产的基本情况进行简要概述。（本脚注为提示性内容，添加使用时应删除）</w:t>
      </w:r>
    </w:p>
  </w:footnote>
  <w:footnote w:id="67">
    <w:p>
      <w:pPr>
        <w:pStyle w:val="32"/>
        <w:snapToGrid w:val="0"/>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w:t>
      </w:r>
      <w:r>
        <w:rPr>
          <w:rFonts w:hint="eastAsia" w:ascii="楷体_GB2312" w:hAnsi="楷体_GB2312" w:eastAsia="楷体_GB2312" w:cs="楷体_GB2312"/>
          <w:color w:val="000000"/>
          <w:lang w:val="en-US" w:eastAsia="zh-CN"/>
        </w:rPr>
        <w:t>此处所指为委托人</w:t>
      </w:r>
      <w:r>
        <w:rPr>
          <w:rFonts w:hint="eastAsia" w:ascii="楷体_GB2312" w:hAnsi="楷体_GB2312" w:eastAsia="楷体_GB2312" w:cs="楷体_GB2312"/>
          <w:color w:val="000000"/>
          <w:sz w:val="18"/>
          <w:szCs w:val="18"/>
          <w:lang w:val="en-US" w:eastAsia="zh-CN"/>
        </w:rPr>
        <w:t>的权利。（本脚注为提示性内容，添加使用时应删除）</w:t>
      </w:r>
    </w:p>
  </w:footnote>
  <w:footnote w:id="68">
    <w:p>
      <w:pPr>
        <w:pStyle w:val="32"/>
        <w:snapToGrid w:val="0"/>
        <w:rPr>
          <w:rFonts w:hint="default"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w:t>
      </w:r>
      <w:r>
        <w:rPr>
          <w:rFonts w:hint="eastAsia" w:ascii="楷体_GB2312" w:hAnsi="楷体_GB2312" w:eastAsia="楷体_GB2312" w:cs="楷体_GB2312"/>
          <w:color w:val="000000"/>
          <w:lang w:val="en-US" w:eastAsia="zh-CN"/>
        </w:rPr>
        <w:t>此处所指为委托人</w:t>
      </w:r>
      <w:r>
        <w:rPr>
          <w:rFonts w:hint="eastAsia" w:ascii="楷体_GB2312" w:hAnsi="楷体_GB2312" w:eastAsia="楷体_GB2312" w:cs="楷体_GB2312"/>
          <w:color w:val="000000"/>
          <w:sz w:val="18"/>
          <w:szCs w:val="18"/>
          <w:lang w:val="en-US" w:eastAsia="zh-CN"/>
        </w:rPr>
        <w:t>的义务。（本脚注为提示性内容，添加使用时应删除）</w:t>
      </w:r>
    </w:p>
  </w:footnote>
  <w:footnote w:id="69">
    <w:p>
      <w:pPr>
        <w:pStyle w:val="32"/>
        <w:snapToGrid w:val="0"/>
        <w:rPr>
          <w:rFonts w:hint="default"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发行相关主体指基础资产现金流的获得取决于其持续经营，或需持续承担基础资产现金流转付义务的发起机构以及信用增级机构。（本脚注为提示性内容，添加使用时应删除）</w:t>
      </w:r>
    </w:p>
  </w:footnote>
  <w:footnote w:id="70">
    <w:p>
      <w:pPr>
        <w:pStyle w:val="32"/>
        <w:snapToGrid w:val="0"/>
        <w:rPr>
          <w:rFonts w:hint="default"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本章以优先级资产支持商业票据簿记建档发行，次级资产支持商业票据由发起机构自持为例，且</w:t>
      </w:r>
      <w:r>
        <w:rPr>
          <w:rFonts w:hint="eastAsia" w:ascii="楷体_GB2312" w:hAnsi="楷体_GB2312" w:eastAsia="楷体_GB2312" w:cs="楷体_GB2312"/>
          <w:color w:val="000000"/>
          <w:kern w:val="0"/>
          <w:szCs w:val="21"/>
          <w:lang w:val="en-US" w:eastAsia="zh-CN"/>
        </w:rPr>
        <w:t>不涉及招标发行的情况。具体表述应根据项目实际情况进行调整。</w:t>
      </w:r>
      <w:r>
        <w:rPr>
          <w:rFonts w:hint="eastAsia" w:ascii="楷体_GB2312" w:hAnsi="楷体_GB2312" w:eastAsia="楷体_GB2312" w:cs="楷体_GB2312"/>
          <w:color w:val="000000"/>
          <w:sz w:val="18"/>
          <w:szCs w:val="18"/>
          <w:lang w:val="en-US" w:eastAsia="zh-CN"/>
        </w:rPr>
        <w:t>（本脚注为提示性内容，添加使用时应删除）</w:t>
      </w:r>
    </w:p>
  </w:footnote>
  <w:footnote w:id="71">
    <w:p>
      <w:pPr>
        <w:pStyle w:val="32"/>
        <w:snapToGrid w:val="0"/>
        <w:rPr>
          <w:rFonts w:hint="eastAsia"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footnoteRef/>
      </w:r>
      <w:r>
        <w:rPr>
          <w:rFonts w:hint="eastAsia" w:ascii="楷体_GB2312" w:hAnsi="楷体_GB2312" w:eastAsia="楷体_GB2312" w:cs="楷体_GB2312"/>
          <w:color w:val="000000"/>
          <w:kern w:val="0"/>
          <w:szCs w:val="21"/>
          <w:lang w:val="en-US" w:eastAsia="zh-CN"/>
        </w:rPr>
        <w:t xml:space="preserve"> 交易结构中涉及特殊角色的，如技术服务机构等，需在表格中列示。（本脚注为提示性内容，添加使用时应删除）</w:t>
      </w:r>
    </w:p>
  </w:footnote>
  <w:footnote w:id="72">
    <w:p>
      <w:pPr>
        <w:pStyle w:val="32"/>
        <w:snapToGrid w:val="0"/>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定向资产支持商业票据信托命名规则为“XX公司</w:t>
      </w:r>
      <w:r>
        <w:rPr>
          <w:rFonts w:hint="eastAsia" w:ascii="楷体_GB2312" w:hAnsi="楷体_GB2312" w:eastAsia="楷体_GB2312" w:cs="楷体_GB2312"/>
          <w:color w:val="000000"/>
        </w:rPr>
        <w:t>20XX年度</w:t>
      </w:r>
      <w:r>
        <w:rPr>
          <w:rFonts w:hint="eastAsia" w:ascii="楷体_GB2312" w:hAnsi="楷体_GB2312" w:eastAsia="楷体_GB2312" w:cs="楷体_GB2312"/>
          <w:color w:val="000000"/>
          <w:sz w:val="18"/>
          <w:szCs w:val="18"/>
          <w:lang w:val="en-US" w:eastAsia="zh-CN"/>
        </w:rPr>
        <w:t>XX（项目标识）定向资产支持商业票据信托”。针对多发起机构注册模式等特殊情形，命名规则为“XX</w:t>
      </w:r>
      <w:r>
        <w:rPr>
          <w:rFonts w:hint="eastAsia" w:ascii="楷体_GB2312" w:hAnsi="楷体_GB2312" w:eastAsia="楷体_GB2312" w:cs="楷体_GB2312"/>
          <w:color w:val="000000"/>
          <w:lang w:val="en-US" w:eastAsia="zh-CN"/>
        </w:rPr>
        <w:t>（</w:t>
      </w:r>
      <w:r>
        <w:rPr>
          <w:rFonts w:hint="eastAsia" w:ascii="楷体_GB2312" w:hAnsi="楷体_GB2312" w:eastAsia="楷体_GB2312" w:cs="楷体_GB2312"/>
          <w:color w:val="000000"/>
        </w:rPr>
        <w:t>发起机构</w:t>
      </w:r>
      <w:r>
        <w:rPr>
          <w:rFonts w:hint="eastAsia" w:ascii="楷体_GB2312" w:hAnsi="楷体_GB2312" w:eastAsia="楷体_GB2312" w:cs="楷体_GB2312"/>
          <w:color w:val="000000"/>
          <w:lang w:val="en-US" w:eastAsia="zh-CN"/>
        </w:rPr>
        <w:t>标识）</w:t>
      </w:r>
      <w:r>
        <w:rPr>
          <w:rFonts w:hint="eastAsia" w:ascii="楷体_GB2312" w:hAnsi="楷体_GB2312" w:eastAsia="楷体_GB2312" w:cs="楷体_GB2312"/>
          <w:color w:val="000000"/>
        </w:rPr>
        <w:t>20XX年度</w:t>
      </w:r>
      <w:r>
        <w:rPr>
          <w:rFonts w:hint="eastAsia" w:ascii="楷体_GB2312" w:hAnsi="楷体_GB2312" w:eastAsia="楷体_GB2312" w:cs="楷体_GB2312"/>
          <w:color w:val="000000"/>
          <w:sz w:val="18"/>
          <w:szCs w:val="18"/>
          <w:lang w:val="en-US" w:eastAsia="zh-CN"/>
        </w:rPr>
        <w:t>XX（项目标识）定向资产支持商业票据信托”。（本脚注为提示性内容，添加使用时应删除）</w:t>
      </w:r>
    </w:p>
  </w:footnote>
  <w:footnote w:id="73">
    <w:p>
      <w:pPr>
        <w:pStyle w:val="32"/>
        <w:snapToGrid w:val="0"/>
        <w:rPr>
          <w:rFonts w:hint="default"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待偿还债务融资余额指发起机构负有到期还本付息义务的直接债务融资。</w:t>
      </w:r>
    </w:p>
  </w:footnote>
  <w:footnote w:id="74">
    <w:p>
      <w:pPr>
        <w:pStyle w:val="32"/>
        <w:snapToGrid w:val="0"/>
        <w:rPr>
          <w:rFonts w:hint="eastAsia" w:ascii="楷体_GB2312" w:hAnsi="楷体_GB2312" w:eastAsia="楷体_GB2312" w:cs="楷体_GB2312"/>
          <w:color w:val="000000"/>
          <w:sz w:val="18"/>
          <w:szCs w:val="18"/>
          <w:lang w:eastAsia="zh-CN"/>
        </w:rPr>
      </w:pPr>
      <w:r>
        <w:rPr>
          <w:rFonts w:hint="eastAsia" w:ascii="楷体_GB2312" w:hAnsi="楷体_GB2312" w:eastAsia="楷体_GB2312" w:cs="楷体_GB2312"/>
          <w:color w:val="000000"/>
          <w:sz w:val="18"/>
          <w:szCs w:val="18"/>
        </w:rPr>
        <w:footnoteRef/>
      </w:r>
      <w:r>
        <w:rPr>
          <w:rFonts w:hint="eastAsia" w:ascii="楷体_GB2312" w:hAnsi="楷体_GB2312" w:eastAsia="楷体_GB2312" w:cs="楷体_GB2312"/>
          <w:color w:val="000000"/>
          <w:sz w:val="18"/>
          <w:szCs w:val="18"/>
        </w:rPr>
        <w:t xml:space="preserve"> </w:t>
      </w:r>
      <w:r>
        <w:rPr>
          <w:rFonts w:hint="eastAsia" w:ascii="楷体_GB2312" w:hAnsi="楷体_GB2312" w:eastAsia="楷体_GB2312" w:cs="楷体_GB2312"/>
          <w:color w:val="000000"/>
          <w:sz w:val="18"/>
          <w:szCs w:val="18"/>
          <w:lang w:val="en-US" w:eastAsia="zh-CN"/>
        </w:rPr>
        <w:t>会计师事务所指</w:t>
      </w:r>
      <w:r>
        <w:rPr>
          <w:rFonts w:hint="eastAsia" w:ascii="楷体_GB2312" w:hAnsi="楷体_GB2312" w:eastAsia="楷体_GB2312" w:cs="楷体_GB2312"/>
          <w:color w:val="000000"/>
          <w:sz w:val="18"/>
          <w:szCs w:val="18"/>
        </w:rPr>
        <w:t>发起机构</w:t>
      </w:r>
      <w:r>
        <w:rPr>
          <w:rFonts w:hint="eastAsia" w:ascii="楷体_GB2312" w:hAnsi="楷体_GB2312" w:eastAsia="楷体_GB2312" w:cs="楷体_GB2312"/>
          <w:color w:val="000000"/>
          <w:sz w:val="18"/>
          <w:szCs w:val="18"/>
          <w:lang w:val="en-US" w:eastAsia="zh-CN"/>
        </w:rPr>
        <w:t>的</w:t>
      </w:r>
      <w:r>
        <w:rPr>
          <w:rFonts w:hint="eastAsia" w:ascii="楷体_GB2312" w:hAnsi="楷体_GB2312" w:eastAsia="楷体_GB2312" w:cs="楷体_GB2312"/>
          <w:color w:val="000000"/>
          <w:sz w:val="18"/>
          <w:szCs w:val="18"/>
        </w:rPr>
        <w:t>审计机构</w:t>
      </w:r>
      <w:r>
        <w:rPr>
          <w:rFonts w:hint="eastAsia" w:ascii="楷体_GB2312" w:hAnsi="楷体_GB2312" w:eastAsia="楷体_GB2312" w:cs="楷体_GB2312"/>
          <w:color w:val="000000"/>
          <w:sz w:val="18"/>
          <w:szCs w:val="18"/>
          <w:lang w:eastAsia="zh-CN"/>
        </w:rPr>
        <w:t>。</w:t>
      </w:r>
    </w:p>
  </w:footnote>
  <w:footnote w:id="75">
    <w:p>
      <w:pPr>
        <w:pStyle w:val="32"/>
        <w:snapToGrid w:val="0"/>
        <w:rPr>
          <w:rFonts w:hint="eastAsia" w:ascii="楷体_GB2312" w:hAnsi="楷体_GB2312" w:eastAsia="楷体_GB2312" w:cs="楷体_GB2312"/>
          <w:color w:val="000000"/>
          <w:kern w:val="0"/>
          <w:szCs w:val="21"/>
          <w:lang w:eastAsia="zh-CN"/>
        </w:rPr>
      </w:pPr>
      <w:r>
        <w:rPr>
          <w:rFonts w:hint="eastAsia" w:ascii="楷体_GB2312" w:hAnsi="楷体_GB2312" w:eastAsia="楷体_GB2312" w:cs="楷体_GB2312"/>
          <w:color w:val="000000"/>
          <w:kern w:val="0"/>
          <w:szCs w:val="21"/>
          <w:lang w:eastAsia="zh-CN"/>
        </w:rPr>
        <w:footnoteRef/>
      </w:r>
      <w:r>
        <w:rPr>
          <w:rFonts w:hint="eastAsia" w:ascii="楷体_GB2312" w:hAnsi="楷体_GB2312" w:eastAsia="楷体_GB2312" w:cs="楷体_GB2312"/>
          <w:color w:val="000000"/>
          <w:kern w:val="0"/>
          <w:szCs w:val="21"/>
          <w:lang w:eastAsia="zh-CN"/>
        </w:rPr>
        <w:t xml:space="preserve"> </w:t>
      </w:r>
      <w:r>
        <w:rPr>
          <w:rFonts w:hint="eastAsia" w:ascii="楷体_GB2312" w:hAnsi="楷体_GB2312" w:eastAsia="楷体_GB2312" w:cs="楷体_GB2312"/>
          <w:color w:val="000000"/>
          <w:szCs w:val="21"/>
          <w:lang w:val="en-US" w:eastAsia="zh-CN"/>
        </w:rPr>
        <w:t>填写截至预期到期日或到期日的</w:t>
      </w:r>
      <w:r>
        <w:rPr>
          <w:rFonts w:hint="eastAsia" w:ascii="楷体_GB2312" w:hAnsi="楷体_GB2312" w:eastAsia="楷体_GB2312" w:cs="楷体_GB2312"/>
          <w:color w:val="000000"/>
          <w:szCs w:val="21"/>
          <w:lang w:eastAsia="zh-CN"/>
        </w:rPr>
        <w:t>所有还本付息日。</w:t>
      </w:r>
      <w:r>
        <w:rPr>
          <w:rFonts w:hint="eastAsia" w:ascii="楷体_GB2312" w:hAnsi="楷体_GB2312" w:eastAsia="楷体_GB2312" w:cs="楷体_GB2312"/>
          <w:color w:val="000000"/>
          <w:lang w:val="en-US" w:eastAsia="zh-CN"/>
        </w:rPr>
        <w:t>如存在滚动发行失败后变更还本付息计划机制的，应在脚注中说明变更还本付息计划机制的安排及对应的支付日。（本脚注为提示性内容，添加使用时应删除）</w:t>
      </w:r>
    </w:p>
  </w:footnote>
  <w:footnote w:id="76">
    <w:p>
      <w:pPr>
        <w:pStyle w:val="32"/>
        <w:snapToGrid w:val="0"/>
        <w:rPr>
          <w:rFonts w:hint="default"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如本期发行为发起机构受让信托受益权后的后续发行，建议在交易结构图和交易结构介绍中进行描述。（本脚注为提示性内容，添加使用时应删除）</w:t>
      </w:r>
    </w:p>
  </w:footnote>
  <w:footnote w:id="77">
    <w:p>
      <w:pPr>
        <w:pStyle w:val="32"/>
        <w:snapToGrid w:val="0"/>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sz w:val="18"/>
          <w:szCs w:val="18"/>
          <w:lang w:val="en-US" w:eastAsia="zh-CN"/>
        </w:rPr>
        <w:t xml:space="preserve"> 本章主要描述委托人或相关主体的权利，委托人或相关主体的义务在第四章信用增级方式一章中描述。（本脚注为提示性内容，添加使用时应删除）</w:t>
      </w:r>
    </w:p>
  </w:footnote>
  <w:footnote w:id="78">
    <w:p>
      <w:pPr>
        <w:pStyle w:val="32"/>
        <w:jc w:val="both"/>
        <w:rPr>
          <w:rFonts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sz w:val="18"/>
          <w:szCs w:val="18"/>
          <w:lang w:val="en-US" w:eastAsia="zh-CN"/>
        </w:rPr>
        <w:t xml:space="preserve"> </w:t>
      </w:r>
      <w:r>
        <w:rPr>
          <w:rFonts w:hint="eastAsia" w:ascii="楷体_GB2312" w:hAnsi="楷体_GB2312" w:eastAsia="楷体_GB2312" w:cs="楷体_GB2312"/>
          <w:color w:val="000000"/>
          <w:lang w:val="en-US" w:eastAsia="zh-CN"/>
        </w:rPr>
        <w:t>T指本期ABCP的【</w:t>
      </w:r>
      <w:r>
        <w:rPr>
          <w:rFonts w:hint="eastAsia" w:ascii="楷体_GB2312" w:hAnsi="楷体_GB2312" w:eastAsia="楷体_GB2312" w:cs="楷体_GB2312"/>
          <w:color w:val="000000"/>
          <w:u w:val="single"/>
          <w:lang w:val="en-US" w:eastAsia="zh-CN"/>
        </w:rPr>
        <w:t>预期到期日/到期日</w:t>
      </w:r>
      <w:r>
        <w:rPr>
          <w:rFonts w:hint="eastAsia" w:ascii="楷体_GB2312" w:hAnsi="楷体_GB2312" w:eastAsia="楷体_GB2312" w:cs="楷体_GB2312"/>
          <w:color w:val="000000"/>
          <w:lang w:val="en-US" w:eastAsia="zh-CN"/>
        </w:rPr>
        <w:t>】，S指本期ABCP的各支付日，P指本期ABCP的各计算日，T+1/T-1指代T日的前一个/后一个工作日。如存在滚动发行失败后变更还本付息计划机制的，应在表中列明变更还本付息计划后的时间安排。除已注明“后一期”的之外，日期定义均对应本期ABCP。</w:t>
      </w:r>
    </w:p>
  </w:footnote>
  <w:footnote w:id="79">
    <w:p>
      <w:pPr>
        <w:pStyle w:val="32"/>
        <w:snapToGrid w:val="0"/>
        <w:rPr>
          <w:rFonts w:hint="eastAsia" w:ascii="楷体_GB2312" w:hAnsi="楷体_GB2312" w:eastAsia="楷体_GB2312" w:cs="楷体_GB2312"/>
          <w:color w:val="000000"/>
          <w:u w:val="none"/>
        </w:rPr>
      </w:pPr>
      <w:r>
        <w:rPr>
          <w:rFonts w:hint="eastAsia" w:ascii="楷体_GB2312" w:hAnsi="楷体_GB2312" w:eastAsia="楷体_GB2312" w:cs="楷体_GB2312"/>
          <w:color w:val="000000"/>
          <w:u w:val="none"/>
        </w:rPr>
        <w:footnoteRef/>
      </w:r>
      <w:r>
        <w:rPr>
          <w:rFonts w:hint="eastAsia" w:ascii="楷体_GB2312" w:hAnsi="楷体_GB2312" w:eastAsia="楷体_GB2312" w:cs="楷体_GB2312"/>
          <w:color w:val="000000"/>
          <w:sz w:val="18"/>
          <w:szCs w:val="18"/>
          <w:u w:val="none"/>
          <w:lang w:val="en-US" w:eastAsia="zh-CN"/>
        </w:rPr>
        <w:t xml:space="preserve"> </w:t>
      </w:r>
      <w:r>
        <w:rPr>
          <w:rFonts w:hint="eastAsia" w:ascii="楷体_GB2312" w:hAnsi="楷体_GB2312" w:eastAsia="楷体_GB2312" w:cs="楷体_GB2312"/>
          <w:color w:val="000000"/>
          <w:u w:val="none"/>
        </w:rPr>
        <w:t>滚动发行不成功</w:t>
      </w:r>
      <w:r>
        <w:rPr>
          <w:rFonts w:hint="eastAsia" w:ascii="楷体_GB2312" w:hAnsi="楷体_GB2312" w:eastAsia="楷体_GB2312" w:cs="楷体_GB2312"/>
          <w:color w:val="000000"/>
          <w:u w:val="none"/>
          <w:lang w:val="en-US" w:eastAsia="zh-CN"/>
        </w:rPr>
        <w:t>时委托人</w:t>
      </w:r>
      <w:r>
        <w:rPr>
          <w:rFonts w:hint="eastAsia" w:ascii="楷体_GB2312" w:hAnsi="楷体_GB2312" w:eastAsia="楷体_GB2312" w:cs="楷体_GB2312"/>
          <w:color w:val="000000"/>
          <w:u w:val="none"/>
        </w:rPr>
        <w:t>对应的</w:t>
      </w:r>
      <w:r>
        <w:rPr>
          <w:rFonts w:hint="eastAsia" w:ascii="楷体_GB2312" w:hAnsi="楷体_GB2312" w:eastAsia="楷体_GB2312" w:cs="楷体_GB2312"/>
          <w:color w:val="000000"/>
          <w:u w:val="none"/>
          <w:lang w:val="en-US" w:eastAsia="zh-CN"/>
        </w:rPr>
        <w:t>义务</w:t>
      </w:r>
      <w:r>
        <w:rPr>
          <w:rFonts w:hint="eastAsia" w:ascii="楷体_GB2312" w:hAnsi="楷体_GB2312" w:eastAsia="楷体_GB2312" w:cs="楷体_GB2312"/>
          <w:color w:val="000000"/>
          <w:u w:val="none"/>
        </w:rPr>
        <w:t>包括受让信托受益权</w:t>
      </w:r>
      <w:r>
        <w:rPr>
          <w:rFonts w:hint="eastAsia" w:ascii="楷体_GB2312" w:hAnsi="楷体_GB2312" w:eastAsia="楷体_GB2312" w:cs="楷体_GB2312"/>
          <w:color w:val="000000"/>
          <w:u w:val="none"/>
          <w:lang w:val="en-US" w:eastAsia="zh-CN"/>
        </w:rPr>
        <w:t>和</w:t>
      </w:r>
      <w:r>
        <w:rPr>
          <w:rFonts w:hint="eastAsia" w:ascii="楷体_GB2312" w:hAnsi="楷体_GB2312" w:eastAsia="楷体_GB2312" w:cs="楷体_GB2312"/>
          <w:color w:val="000000"/>
          <w:u w:val="none"/>
        </w:rPr>
        <w:t>回购资产池</w:t>
      </w:r>
      <w:r>
        <w:rPr>
          <w:rFonts w:hint="eastAsia" w:ascii="楷体_GB2312" w:hAnsi="楷体_GB2312" w:eastAsia="楷体_GB2312" w:cs="楷体_GB2312"/>
          <w:color w:val="000000"/>
          <w:u w:val="none"/>
          <w:lang w:eastAsia="zh-CN"/>
        </w:rPr>
        <w:t>，</w:t>
      </w:r>
      <w:r>
        <w:rPr>
          <w:rFonts w:hint="eastAsia" w:ascii="楷体_GB2312" w:hAnsi="楷体_GB2312" w:eastAsia="楷体_GB2312" w:cs="楷体_GB2312"/>
          <w:color w:val="000000"/>
          <w:u w:val="none"/>
          <w:lang w:val="en-US" w:eastAsia="zh-CN"/>
        </w:rPr>
        <w:t>但任一一种均可实现前一期ABCP的正常兑付。</w:t>
      </w:r>
      <w:r>
        <w:rPr>
          <w:rFonts w:hint="eastAsia" w:ascii="楷体_GB2312" w:hAnsi="楷体_GB2312" w:eastAsia="楷体_GB2312" w:cs="楷体_GB2312"/>
          <w:color w:val="000000"/>
          <w:lang w:val="en-US" w:eastAsia="zh-CN"/>
        </w:rPr>
        <w:t>表中同时列示了两种机制，实操中选择一种即可。</w:t>
      </w:r>
    </w:p>
  </w:footnote>
  <w:footnote w:id="80">
    <w:p>
      <w:pPr>
        <w:pStyle w:val="32"/>
        <w:snapToGrid w:val="0"/>
        <w:rPr>
          <w:rFonts w:hint="eastAsia" w:ascii="楷体_GB2312" w:hAnsi="楷体_GB2312" w:eastAsia="楷体_GB2312" w:cs="楷体_GB2312"/>
          <w:color w:val="000000"/>
          <w:u w:val="single"/>
        </w:rPr>
      </w:pPr>
      <w:r>
        <w:rPr>
          <w:rFonts w:hint="eastAsia" w:ascii="楷体_GB2312" w:hAnsi="楷体_GB2312" w:eastAsia="楷体_GB2312" w:cs="楷体_GB2312"/>
          <w:color w:val="000000"/>
          <w:u w:val="none"/>
        </w:rPr>
        <w:footnoteRef/>
      </w:r>
      <w:r>
        <w:rPr>
          <w:rFonts w:hint="eastAsia" w:ascii="楷体_GB2312" w:hAnsi="楷体_GB2312" w:eastAsia="楷体_GB2312" w:cs="楷体_GB2312"/>
          <w:color w:val="000000"/>
          <w:u w:val="none"/>
          <w:lang w:val="en-US" w:eastAsia="zh-CN"/>
        </w:rPr>
        <w:t xml:space="preserve"> 根据信托合同（参考文本），受托人应于发行不成功对应的簿记建档日或缴款日（后一期）当日向委托人发出通知，应根据项目实际情况进行调整。</w:t>
      </w:r>
      <w:r>
        <w:rPr>
          <w:rFonts w:hint="eastAsia" w:ascii="楷体_GB2312" w:hAnsi="楷体_GB2312" w:eastAsia="楷体_GB2312" w:cs="楷体_GB2312"/>
          <w:color w:val="000000"/>
          <w:sz w:val="18"/>
          <w:szCs w:val="18"/>
          <w:lang w:val="en-US" w:eastAsia="zh-CN"/>
        </w:rPr>
        <w:t>（本脚注为提示性内容，添加使用时应删除）</w:t>
      </w:r>
    </w:p>
  </w:footnote>
  <w:footnote w:id="81">
    <w:p>
      <w:pPr>
        <w:pStyle w:val="32"/>
        <w:snapToGrid w:val="0"/>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footnoteRef/>
      </w:r>
      <w:r>
        <w:rPr>
          <w:rFonts w:hint="eastAsia" w:ascii="楷体_GB2312" w:hAnsi="楷体_GB2312" w:eastAsia="楷体_GB2312" w:cs="楷体_GB2312"/>
          <w:color w:val="000000"/>
          <w:szCs w:val="21"/>
        </w:rPr>
        <w:t xml:space="preserve"> ABCP</w:t>
      </w:r>
      <w:r>
        <w:rPr>
          <w:rFonts w:hint="eastAsia" w:ascii="楷体_GB2312" w:hAnsi="楷体_GB2312" w:eastAsia="楷体_GB2312" w:cs="楷体_GB2312"/>
          <w:color w:val="000000"/>
          <w:szCs w:val="21"/>
          <w:lang w:val="en-US" w:eastAsia="zh-CN"/>
        </w:rPr>
        <w:t>设置的</w:t>
      </w:r>
      <w:r>
        <w:rPr>
          <w:rFonts w:hint="eastAsia" w:ascii="楷体_GB2312" w:hAnsi="楷体_GB2312" w:eastAsia="楷体_GB2312" w:cs="楷体_GB2312"/>
          <w:color w:val="000000"/>
          <w:szCs w:val="21"/>
        </w:rPr>
        <w:t>流动性支持机制</w:t>
      </w:r>
      <w:r>
        <w:rPr>
          <w:rFonts w:hint="eastAsia" w:ascii="楷体_GB2312" w:hAnsi="楷体_GB2312" w:eastAsia="楷体_GB2312" w:cs="楷体_GB2312"/>
          <w:color w:val="000000"/>
          <w:szCs w:val="21"/>
          <w:lang w:val="en-US" w:eastAsia="zh-CN"/>
        </w:rPr>
        <w:t>应在本章节披露，</w:t>
      </w:r>
      <w:r>
        <w:rPr>
          <w:rFonts w:hint="eastAsia" w:ascii="楷体_GB2312" w:hAnsi="楷体_GB2312" w:eastAsia="楷体_GB2312" w:cs="楷体_GB2312"/>
          <w:color w:val="000000"/>
          <w:szCs w:val="21"/>
        </w:rPr>
        <w:t>包括</w:t>
      </w:r>
      <w:r>
        <w:rPr>
          <w:rFonts w:hint="eastAsia" w:ascii="楷体_GB2312" w:hAnsi="楷体_GB2312" w:eastAsia="楷体_GB2312" w:cs="楷体_GB2312"/>
          <w:color w:val="000000"/>
          <w:szCs w:val="21"/>
          <w:lang w:val="en-US" w:eastAsia="zh-CN"/>
        </w:rPr>
        <w:t>但不限于</w:t>
      </w:r>
      <w:r>
        <w:rPr>
          <w:rFonts w:hint="eastAsia" w:ascii="楷体_GB2312" w:hAnsi="楷体_GB2312" w:eastAsia="楷体_GB2312" w:cs="楷体_GB2312"/>
          <w:color w:val="000000"/>
          <w:szCs w:val="21"/>
        </w:rPr>
        <w:t>差额支付承诺、流动性支持承诺、资产池回购</w:t>
      </w:r>
      <w:r>
        <w:rPr>
          <w:rFonts w:hint="eastAsia" w:ascii="楷体_GB2312" w:hAnsi="楷体_GB2312" w:eastAsia="楷体_GB2312" w:cs="楷体_GB2312"/>
          <w:color w:val="000000"/>
          <w:szCs w:val="21"/>
          <w:lang w:eastAsia="zh-CN"/>
        </w:rPr>
        <w:t>、</w:t>
      </w:r>
      <w:r>
        <w:rPr>
          <w:rFonts w:hint="eastAsia" w:ascii="楷体_GB2312" w:hAnsi="楷体_GB2312" w:eastAsia="楷体_GB2312" w:cs="楷体_GB2312"/>
          <w:color w:val="000000"/>
          <w:szCs w:val="21"/>
          <w:lang w:val="en-US" w:eastAsia="zh-CN"/>
        </w:rPr>
        <w:t>受让信托受益权、债务加入</w:t>
      </w:r>
      <w:r>
        <w:rPr>
          <w:rFonts w:hint="eastAsia" w:ascii="楷体_GB2312" w:hAnsi="楷体_GB2312" w:eastAsia="楷体_GB2312" w:cs="楷体_GB2312"/>
          <w:color w:val="000000"/>
          <w:szCs w:val="21"/>
        </w:rPr>
        <w:t>等</w:t>
      </w:r>
      <w:r>
        <w:rPr>
          <w:rFonts w:hint="eastAsia" w:ascii="楷体_GB2312" w:hAnsi="楷体_GB2312" w:eastAsia="楷体_GB2312" w:cs="楷体_GB2312"/>
          <w:color w:val="000000"/>
          <w:szCs w:val="21"/>
          <w:lang w:eastAsia="zh-CN"/>
        </w:rPr>
        <w:t>。</w:t>
      </w:r>
      <w:r>
        <w:rPr>
          <w:rFonts w:hint="eastAsia" w:ascii="楷体_GB2312" w:hAnsi="楷体_GB2312" w:eastAsia="楷体_GB2312" w:cs="楷体_GB2312"/>
          <w:color w:val="000000"/>
          <w:sz w:val="18"/>
          <w:szCs w:val="18"/>
          <w:lang w:val="en-US" w:eastAsia="zh-CN"/>
        </w:rPr>
        <w:t>（本脚注为提示性内容，添加使用时应删除）</w:t>
      </w:r>
    </w:p>
  </w:footnote>
  <w:footnote w:id="82">
    <w:p>
      <w:pPr>
        <w:pStyle w:val="32"/>
        <w:snapToGrid w:val="0"/>
        <w:rPr>
          <w:rFonts w:hint="eastAsia" w:ascii="楷体_GB2312" w:hAnsi="楷体_GB2312" w:eastAsia="楷体_GB2312" w:cs="楷体_GB2312"/>
          <w:color w:val="000000"/>
          <w:szCs w:val="21"/>
        </w:rPr>
      </w:pPr>
      <w:r>
        <w:rPr>
          <w:rFonts w:hint="eastAsia" w:ascii="楷体_GB2312" w:hAnsi="楷体_GB2312" w:eastAsia="楷体_GB2312" w:cs="楷体_GB2312"/>
          <w:color w:val="000000"/>
          <w:szCs w:val="21"/>
        </w:rPr>
        <w:footnoteRef/>
      </w:r>
      <w:r>
        <w:rPr>
          <w:rFonts w:hint="eastAsia" w:ascii="楷体_GB2312" w:hAnsi="楷体_GB2312" w:eastAsia="楷体_GB2312" w:cs="楷体_GB2312"/>
          <w:color w:val="000000"/>
          <w:szCs w:val="21"/>
        </w:rPr>
        <w:t xml:space="preserve"> </w:t>
      </w:r>
      <w:r>
        <w:rPr>
          <w:rFonts w:hint="eastAsia" w:ascii="楷体_GB2312" w:hAnsi="楷体_GB2312" w:eastAsia="楷体_GB2312" w:cs="楷体_GB2312"/>
          <w:color w:val="000000"/>
          <w:szCs w:val="21"/>
          <w:lang w:val="en-US" w:eastAsia="zh-CN"/>
        </w:rPr>
        <w:t>如信用增级机构与发起机构一致，无需重复披露。</w:t>
      </w:r>
      <w:r>
        <w:rPr>
          <w:rFonts w:hint="eastAsia" w:ascii="楷体_GB2312" w:hAnsi="楷体_GB2312" w:eastAsia="楷体_GB2312" w:cs="楷体_GB2312"/>
          <w:color w:val="000000"/>
          <w:sz w:val="18"/>
          <w:szCs w:val="18"/>
          <w:lang w:val="en-US" w:eastAsia="zh-CN"/>
        </w:rPr>
        <w:t>（本脚注为提示性内容，添加使用时应删除）</w:t>
      </w:r>
    </w:p>
  </w:footnote>
  <w:footnote w:id="83">
    <w:p>
      <w:pPr>
        <w:pStyle w:val="32"/>
        <w:snapToGrid w:val="0"/>
        <w:rPr>
          <w:rFonts w:hint="default" w:ascii="楷体_GB2312" w:hAnsi="楷体_GB2312" w:eastAsia="楷体_GB2312" w:cs="楷体_GB2312"/>
          <w:color w:val="000000"/>
          <w:szCs w:val="21"/>
          <w:lang w:val="en-US" w:eastAsia="zh-CN"/>
        </w:rPr>
      </w:pPr>
      <w:r>
        <w:rPr>
          <w:rFonts w:hint="eastAsia" w:ascii="楷体_GB2312" w:hAnsi="楷体_GB2312" w:eastAsia="楷体_GB2312" w:cs="楷体_GB2312"/>
          <w:color w:val="000000"/>
          <w:szCs w:val="21"/>
          <w:lang w:val="en-US" w:eastAsia="zh-CN"/>
        </w:rPr>
        <w:footnoteRef/>
      </w:r>
      <w:r>
        <w:rPr>
          <w:rFonts w:hint="eastAsia" w:ascii="楷体_GB2312" w:hAnsi="楷体_GB2312" w:eastAsia="楷体_GB2312" w:cs="楷体_GB2312"/>
          <w:color w:val="000000"/>
          <w:szCs w:val="21"/>
          <w:lang w:val="en-US" w:eastAsia="zh-CN"/>
        </w:rPr>
        <w:t xml:space="preserve"> 集中度指专业信用增进机构对于某一主体的债券担保责任余额占其同类业务的比例。该主体应结合专业信用增进机构对本期资产支持商业票据的实质增进对象进行判断。</w:t>
      </w:r>
      <w:r>
        <w:rPr>
          <w:rFonts w:hint="eastAsia" w:ascii="楷体_GB2312" w:hAnsi="楷体_GB2312" w:eastAsia="楷体_GB2312" w:cs="楷体_GB2312"/>
          <w:color w:val="000000"/>
          <w:sz w:val="18"/>
          <w:szCs w:val="18"/>
          <w:lang w:val="en-US" w:eastAsia="zh-CN"/>
        </w:rPr>
        <w:t>（本脚注为提示性内容，添加使用时应删除）</w:t>
      </w:r>
    </w:p>
  </w:footnote>
  <w:footnote w:id="84">
    <w:p>
      <w:pPr>
        <w:pStyle w:val="32"/>
        <w:snapToGrid w:val="0"/>
        <w:rPr>
          <w:rFonts w:hint="default" w:ascii="楷体_GB2312" w:hAnsi="楷体_GB2312" w:eastAsia="楷体_GB2312" w:cs="楷体_GB2312"/>
          <w:color w:val="000000"/>
          <w:kern w:val="0"/>
          <w:szCs w:val="21"/>
          <w:lang w:val="en-US" w:eastAsia="zh-CN"/>
        </w:rPr>
      </w:pPr>
      <w:r>
        <w:rPr>
          <w:rFonts w:hint="eastAsia" w:ascii="楷体_GB2312" w:hAnsi="楷体_GB2312" w:eastAsia="楷体_GB2312" w:cs="楷体_GB2312"/>
          <w:color w:val="000000"/>
          <w:kern w:val="0"/>
          <w:szCs w:val="21"/>
          <w:lang w:val="en-US" w:eastAsia="zh-CN"/>
        </w:rPr>
        <w:footnoteRef/>
      </w:r>
      <w:r>
        <w:rPr>
          <w:rFonts w:hint="eastAsia" w:ascii="楷体_GB2312" w:hAnsi="楷体_GB2312" w:eastAsia="楷体_GB2312" w:cs="楷体_GB2312"/>
          <w:color w:val="000000"/>
          <w:kern w:val="0"/>
          <w:szCs w:val="21"/>
          <w:lang w:val="en-US" w:eastAsia="zh-CN"/>
        </w:rPr>
        <w:t xml:space="preserve"> 如资产服务机构与发起机构一致，无需重复披露。</w:t>
      </w:r>
      <w:r>
        <w:rPr>
          <w:rFonts w:hint="eastAsia" w:ascii="楷体_GB2312" w:hAnsi="楷体_GB2312" w:eastAsia="楷体_GB2312" w:cs="楷体_GB2312"/>
          <w:color w:val="000000"/>
          <w:sz w:val="18"/>
          <w:szCs w:val="18"/>
          <w:lang w:val="en-US" w:eastAsia="zh-CN"/>
        </w:rPr>
        <w:t>（本脚注为提示性内容，添加使用时应删除）</w:t>
      </w:r>
    </w:p>
  </w:footnote>
  <w:footnote w:id="85">
    <w:p>
      <w:pPr>
        <w:pStyle w:val="32"/>
        <w:rPr>
          <w:rFonts w:hint="eastAsia" w:ascii="楷体_GB2312" w:hAnsi="楷体_GB2312" w:eastAsia="楷体_GB2312" w:cs="楷体_GB2312"/>
          <w:color w:val="000000"/>
          <w:szCs w:val="21"/>
          <w:lang w:eastAsia="zh-CN"/>
        </w:rPr>
      </w:pPr>
      <w:r>
        <w:rPr>
          <w:rFonts w:hint="eastAsia" w:ascii="楷体_GB2312" w:hAnsi="楷体_GB2312" w:eastAsia="楷体_GB2312" w:cs="楷体_GB2312"/>
          <w:color w:val="000000"/>
          <w:szCs w:val="21"/>
          <w:lang w:eastAsia="zh-CN"/>
        </w:rPr>
        <w:footnoteRef/>
      </w:r>
      <w:r>
        <w:rPr>
          <w:rFonts w:hint="eastAsia" w:ascii="楷体_GB2312" w:hAnsi="楷体_GB2312" w:eastAsia="楷体_GB2312" w:cs="楷体_GB2312"/>
          <w:color w:val="000000"/>
          <w:szCs w:val="21"/>
          <w:lang w:val="en-US" w:eastAsia="zh-CN"/>
        </w:rPr>
        <w:t xml:space="preserve"> 如存在滚动发行失败后变更还本付息计划的安排，建议在脚注中描述变更后的还本付息计划并</w:t>
      </w:r>
      <w:r>
        <w:rPr>
          <w:rFonts w:hint="eastAsia" w:ascii="楷体_GB2312" w:hAnsi="楷体_GB2312" w:eastAsia="楷体_GB2312" w:cs="楷体_GB2312"/>
          <w:color w:val="000000"/>
          <w:highlight w:val="none"/>
          <w:lang w:val="en-US" w:eastAsia="zh-CN"/>
        </w:rPr>
        <w:t>注明该情形下各档ABCP的预计存续期限</w:t>
      </w:r>
      <w:r>
        <w:rPr>
          <w:rFonts w:hint="eastAsia" w:ascii="楷体_GB2312" w:hAnsi="楷体_GB2312" w:eastAsia="楷体_GB2312" w:cs="楷体_GB2312"/>
          <w:color w:val="000000"/>
          <w:szCs w:val="21"/>
          <w:lang w:val="en-US" w:eastAsia="zh-CN"/>
        </w:rPr>
        <w:t>。例如：如后一期优先级资产支持商业票据滚动发行失败，本期优先级资产支持商业票据将按月进行付息、过手摊还本金，预计于20XX年XX月XX日完成兑付。</w:t>
      </w:r>
      <w:r>
        <w:rPr>
          <w:rFonts w:hint="eastAsia" w:ascii="楷体_GB2312" w:hAnsi="楷体_GB2312" w:eastAsia="楷体_GB2312" w:cs="楷体_GB2312"/>
          <w:color w:val="000000"/>
          <w:lang w:val="en-US" w:eastAsia="zh-CN"/>
        </w:rPr>
        <w:t>（本脚注为提示性内容，添加使用时应删除）</w:t>
      </w:r>
    </w:p>
  </w:footnote>
  <w:footnote w:id="86">
    <w:p>
      <w:pPr>
        <w:pStyle w:val="32"/>
        <w:rPr>
          <w:rFonts w:hint="eastAsia" w:ascii="楷体_GB2312" w:hAnsi="楷体_GB2312" w:eastAsia="楷体_GB2312" w:cs="楷体_GB2312"/>
          <w:color w:val="000000"/>
          <w:lang w:val="en-US" w:eastAsia="zh-CN"/>
        </w:rPr>
      </w:pPr>
      <w:r>
        <w:rPr>
          <w:rFonts w:hint="eastAsia" w:ascii="楷体_GB2312" w:hAnsi="楷体_GB2312" w:eastAsia="楷体_GB2312" w:cs="楷体_GB2312"/>
          <w:color w:val="000000"/>
          <w:lang w:val="en-US" w:eastAsia="zh-CN"/>
        </w:rPr>
        <w:footnoteRef/>
      </w:r>
      <w:r>
        <w:rPr>
          <w:rFonts w:hint="eastAsia" w:ascii="楷体_GB2312" w:hAnsi="楷体_GB2312" w:eastAsia="楷体_GB2312" w:cs="楷体_GB2312"/>
          <w:color w:val="000000"/>
          <w:szCs w:val="21"/>
          <w:lang w:val="en-US" w:eastAsia="zh-CN"/>
        </w:rPr>
        <w:t xml:space="preserve"> </w:t>
      </w:r>
      <w:r>
        <w:rPr>
          <w:rFonts w:hint="eastAsia" w:ascii="楷体_GB2312" w:hAnsi="楷体_GB2312" w:eastAsia="楷体_GB2312" w:cs="楷体_GB2312"/>
          <w:color w:val="000000"/>
          <w:lang w:val="en-US" w:eastAsia="zh-CN"/>
        </w:rPr>
        <w:t>此处所指为委托人或相关方的义务。（本脚注为提示性内容，添加使用时应删除）</w:t>
      </w:r>
    </w:p>
  </w:footnote>
  <w:footnote w:id="87">
    <w:p>
      <w:pPr>
        <w:pStyle w:val="32"/>
        <w:snapToGrid w:val="0"/>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footnoteRef/>
      </w:r>
      <w:r>
        <w:rPr>
          <w:rFonts w:hint="eastAsia" w:ascii="楷体_GB2312" w:hAnsi="楷体_GB2312" w:eastAsia="楷体_GB2312" w:cs="楷体_GB2312"/>
          <w:color w:val="000000"/>
          <w:lang w:val="en-US" w:eastAsia="zh-CN"/>
        </w:rPr>
        <w:t xml:space="preserve"> </w:t>
      </w:r>
      <w:r>
        <w:rPr>
          <w:rFonts w:hint="eastAsia" w:ascii="楷体_GB2312" w:hAnsi="楷体_GB2312" w:eastAsia="楷体_GB2312" w:cs="楷体_GB2312"/>
          <w:color w:val="000000"/>
          <w:sz w:val="18"/>
          <w:szCs w:val="18"/>
          <w:lang w:val="en-US" w:eastAsia="zh-CN"/>
        </w:rPr>
        <w:t>此处所指为委托人或相关方的权利以及中止滚动发行后所负有的义务。（本脚注为提示性内容，添加使用时应删除）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0D86EA"/>
    <w:multiLevelType w:val="multilevel"/>
    <w:tmpl w:val="CD0D86EA"/>
    <w:lvl w:ilvl="0" w:tentative="0">
      <w:start w:val="1"/>
      <w:numFmt w:val="japaneseCounting"/>
      <w:lvlText w:val="第%1章"/>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
    <w:nsid w:val="00000009"/>
    <w:multiLevelType w:val="multilevel"/>
    <w:tmpl w:val="0000000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2291"/>
        </w:tabs>
        <w:ind w:left="2291" w:hanging="420"/>
      </w:pPr>
      <w:rPr>
        <w:rFonts w:cs="Times New Roman"/>
      </w:rPr>
    </w:lvl>
    <w:lvl w:ilvl="2" w:tentative="0">
      <w:start w:val="1"/>
      <w:numFmt w:val="lowerRoman"/>
      <w:lvlText w:val="%3."/>
      <w:lvlJc w:val="right"/>
      <w:pPr>
        <w:tabs>
          <w:tab w:val="left" w:pos="2711"/>
        </w:tabs>
        <w:ind w:left="2711" w:hanging="420"/>
      </w:pPr>
      <w:rPr>
        <w:rFonts w:cs="Times New Roman"/>
      </w:rPr>
    </w:lvl>
    <w:lvl w:ilvl="3" w:tentative="0">
      <w:start w:val="1"/>
      <w:numFmt w:val="decimal"/>
      <w:lvlText w:val="%4."/>
      <w:lvlJc w:val="left"/>
      <w:pPr>
        <w:tabs>
          <w:tab w:val="left" w:pos="3131"/>
        </w:tabs>
        <w:ind w:left="3131" w:hanging="420"/>
      </w:pPr>
      <w:rPr>
        <w:rFonts w:cs="Times New Roman"/>
      </w:rPr>
    </w:lvl>
    <w:lvl w:ilvl="4" w:tentative="0">
      <w:start w:val="1"/>
      <w:numFmt w:val="lowerLetter"/>
      <w:lvlText w:val="%5)"/>
      <w:lvlJc w:val="left"/>
      <w:pPr>
        <w:tabs>
          <w:tab w:val="left" w:pos="3551"/>
        </w:tabs>
        <w:ind w:left="3551" w:hanging="420"/>
      </w:pPr>
      <w:rPr>
        <w:rFonts w:cs="Times New Roman"/>
      </w:rPr>
    </w:lvl>
    <w:lvl w:ilvl="5" w:tentative="0">
      <w:start w:val="1"/>
      <w:numFmt w:val="lowerRoman"/>
      <w:lvlText w:val="%6."/>
      <w:lvlJc w:val="right"/>
      <w:pPr>
        <w:tabs>
          <w:tab w:val="left" w:pos="3971"/>
        </w:tabs>
        <w:ind w:left="3971" w:hanging="420"/>
      </w:pPr>
      <w:rPr>
        <w:rFonts w:cs="Times New Roman"/>
      </w:rPr>
    </w:lvl>
    <w:lvl w:ilvl="6" w:tentative="0">
      <w:start w:val="1"/>
      <w:numFmt w:val="decimal"/>
      <w:lvlText w:val="%7."/>
      <w:lvlJc w:val="left"/>
      <w:pPr>
        <w:tabs>
          <w:tab w:val="left" w:pos="4391"/>
        </w:tabs>
        <w:ind w:left="4391" w:hanging="420"/>
      </w:pPr>
      <w:rPr>
        <w:rFonts w:cs="Times New Roman"/>
      </w:rPr>
    </w:lvl>
    <w:lvl w:ilvl="7" w:tentative="0">
      <w:start w:val="1"/>
      <w:numFmt w:val="lowerLetter"/>
      <w:lvlText w:val="%8)"/>
      <w:lvlJc w:val="left"/>
      <w:pPr>
        <w:tabs>
          <w:tab w:val="left" w:pos="4811"/>
        </w:tabs>
        <w:ind w:left="4811" w:hanging="420"/>
      </w:pPr>
      <w:rPr>
        <w:rFonts w:cs="Times New Roman"/>
      </w:rPr>
    </w:lvl>
    <w:lvl w:ilvl="8" w:tentative="0">
      <w:start w:val="1"/>
      <w:numFmt w:val="lowerRoman"/>
      <w:lvlText w:val="%9."/>
      <w:lvlJc w:val="right"/>
      <w:pPr>
        <w:tabs>
          <w:tab w:val="left" w:pos="5231"/>
        </w:tabs>
        <w:ind w:left="5231" w:hanging="420"/>
      </w:pPr>
      <w:rPr>
        <w:rFonts w:cs="Times New Roman"/>
      </w:rPr>
    </w:lvl>
  </w:abstractNum>
  <w:abstractNum w:abstractNumId="2">
    <w:nsid w:val="00000028"/>
    <w:multiLevelType w:val="multilevel"/>
    <w:tmpl w:val="00000028"/>
    <w:lvl w:ilvl="0" w:tentative="0">
      <w:start w:val="1"/>
      <w:numFmt w:val="japaneseCounting"/>
      <w:lvlText w:val="第%1章"/>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3">
    <w:nsid w:val="18120DE3"/>
    <w:multiLevelType w:val="multilevel"/>
    <w:tmpl w:val="18120DE3"/>
    <w:lvl w:ilvl="0" w:tentative="0">
      <w:start w:val="1"/>
      <w:numFmt w:val="japaneseCounting"/>
      <w:lvlText w:val="第%1章"/>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Restart w:val="eachPage"/>
    <w:footnote w:id="176"/>
    <w:footnote w:id="177"/>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CB"/>
    <w:rsid w:val="00002DF9"/>
    <w:rsid w:val="00052799"/>
    <w:rsid w:val="00076EF4"/>
    <w:rsid w:val="00097E8B"/>
    <w:rsid w:val="000C10A9"/>
    <w:rsid w:val="000C1710"/>
    <w:rsid w:val="000C2B2E"/>
    <w:rsid w:val="000C5C72"/>
    <w:rsid w:val="000D6423"/>
    <w:rsid w:val="000F0AF7"/>
    <w:rsid w:val="000F33EF"/>
    <w:rsid w:val="000F36D9"/>
    <w:rsid w:val="00102CB0"/>
    <w:rsid w:val="00103F2A"/>
    <w:rsid w:val="00104D3E"/>
    <w:rsid w:val="001179E3"/>
    <w:rsid w:val="0013733E"/>
    <w:rsid w:val="00145C21"/>
    <w:rsid w:val="0015019F"/>
    <w:rsid w:val="00164E7D"/>
    <w:rsid w:val="00170393"/>
    <w:rsid w:val="00170CCA"/>
    <w:rsid w:val="00172514"/>
    <w:rsid w:val="00172BEF"/>
    <w:rsid w:val="001915F6"/>
    <w:rsid w:val="0019430B"/>
    <w:rsid w:val="001B0B1A"/>
    <w:rsid w:val="001C41B6"/>
    <w:rsid w:val="001F2B6A"/>
    <w:rsid w:val="002033CD"/>
    <w:rsid w:val="00203A8A"/>
    <w:rsid w:val="00226F05"/>
    <w:rsid w:val="00227781"/>
    <w:rsid w:val="00247862"/>
    <w:rsid w:val="00253F91"/>
    <w:rsid w:val="002634F5"/>
    <w:rsid w:val="00267F98"/>
    <w:rsid w:val="00282E8F"/>
    <w:rsid w:val="002955E4"/>
    <w:rsid w:val="002C477D"/>
    <w:rsid w:val="003000E5"/>
    <w:rsid w:val="00300607"/>
    <w:rsid w:val="00306FA8"/>
    <w:rsid w:val="0031215A"/>
    <w:rsid w:val="00331378"/>
    <w:rsid w:val="0034235D"/>
    <w:rsid w:val="003462E3"/>
    <w:rsid w:val="00356560"/>
    <w:rsid w:val="0036495B"/>
    <w:rsid w:val="00371DCF"/>
    <w:rsid w:val="003A1400"/>
    <w:rsid w:val="003A52DC"/>
    <w:rsid w:val="003A590B"/>
    <w:rsid w:val="003F2BCE"/>
    <w:rsid w:val="00401341"/>
    <w:rsid w:val="00415366"/>
    <w:rsid w:val="00433881"/>
    <w:rsid w:val="00436199"/>
    <w:rsid w:val="00466461"/>
    <w:rsid w:val="0048364F"/>
    <w:rsid w:val="00496CC2"/>
    <w:rsid w:val="004C40F8"/>
    <w:rsid w:val="004C5221"/>
    <w:rsid w:val="004F2810"/>
    <w:rsid w:val="004F797C"/>
    <w:rsid w:val="00513EA9"/>
    <w:rsid w:val="00514C6D"/>
    <w:rsid w:val="00534326"/>
    <w:rsid w:val="00575375"/>
    <w:rsid w:val="005760F0"/>
    <w:rsid w:val="00581F6D"/>
    <w:rsid w:val="005876B7"/>
    <w:rsid w:val="005920E4"/>
    <w:rsid w:val="005944D6"/>
    <w:rsid w:val="005948EE"/>
    <w:rsid w:val="0059706A"/>
    <w:rsid w:val="005B383F"/>
    <w:rsid w:val="005E71B8"/>
    <w:rsid w:val="005F5936"/>
    <w:rsid w:val="00603F81"/>
    <w:rsid w:val="0063021D"/>
    <w:rsid w:val="006404B0"/>
    <w:rsid w:val="00675AE2"/>
    <w:rsid w:val="0068211B"/>
    <w:rsid w:val="006B13F9"/>
    <w:rsid w:val="006D15EF"/>
    <w:rsid w:val="006D380F"/>
    <w:rsid w:val="006E7190"/>
    <w:rsid w:val="00700587"/>
    <w:rsid w:val="0073277D"/>
    <w:rsid w:val="0076415D"/>
    <w:rsid w:val="00765408"/>
    <w:rsid w:val="00771E04"/>
    <w:rsid w:val="007826CB"/>
    <w:rsid w:val="007C08DE"/>
    <w:rsid w:val="007D3632"/>
    <w:rsid w:val="007D5D7C"/>
    <w:rsid w:val="007D74B0"/>
    <w:rsid w:val="007D7D25"/>
    <w:rsid w:val="00802160"/>
    <w:rsid w:val="00827D9D"/>
    <w:rsid w:val="008462E9"/>
    <w:rsid w:val="00856911"/>
    <w:rsid w:val="00883920"/>
    <w:rsid w:val="008913B6"/>
    <w:rsid w:val="00895670"/>
    <w:rsid w:val="008A3078"/>
    <w:rsid w:val="008A3C46"/>
    <w:rsid w:val="008A3C9E"/>
    <w:rsid w:val="008A42C7"/>
    <w:rsid w:val="008A7D21"/>
    <w:rsid w:val="008B7850"/>
    <w:rsid w:val="008E385C"/>
    <w:rsid w:val="009014E3"/>
    <w:rsid w:val="00907EFC"/>
    <w:rsid w:val="009250A2"/>
    <w:rsid w:val="00926E63"/>
    <w:rsid w:val="00931F53"/>
    <w:rsid w:val="00936648"/>
    <w:rsid w:val="00944B6E"/>
    <w:rsid w:val="00950FA7"/>
    <w:rsid w:val="00963C55"/>
    <w:rsid w:val="00972B04"/>
    <w:rsid w:val="00982650"/>
    <w:rsid w:val="009C626C"/>
    <w:rsid w:val="009D1228"/>
    <w:rsid w:val="009D3022"/>
    <w:rsid w:val="009E3B11"/>
    <w:rsid w:val="009F16D5"/>
    <w:rsid w:val="009F51FC"/>
    <w:rsid w:val="009F7C8E"/>
    <w:rsid w:val="00A02E61"/>
    <w:rsid w:val="00A04F94"/>
    <w:rsid w:val="00A11C75"/>
    <w:rsid w:val="00A20BFE"/>
    <w:rsid w:val="00A34755"/>
    <w:rsid w:val="00A36D7F"/>
    <w:rsid w:val="00A4291B"/>
    <w:rsid w:val="00A55613"/>
    <w:rsid w:val="00A62D8A"/>
    <w:rsid w:val="00A84637"/>
    <w:rsid w:val="00A84F94"/>
    <w:rsid w:val="00AA18A1"/>
    <w:rsid w:val="00AA2457"/>
    <w:rsid w:val="00AA5461"/>
    <w:rsid w:val="00AB63BD"/>
    <w:rsid w:val="00AE124E"/>
    <w:rsid w:val="00AE75A0"/>
    <w:rsid w:val="00AF49A2"/>
    <w:rsid w:val="00AF4CB6"/>
    <w:rsid w:val="00AF5B5A"/>
    <w:rsid w:val="00B06EF6"/>
    <w:rsid w:val="00B15824"/>
    <w:rsid w:val="00B16AF4"/>
    <w:rsid w:val="00B238AA"/>
    <w:rsid w:val="00B44A50"/>
    <w:rsid w:val="00B630CA"/>
    <w:rsid w:val="00B655B7"/>
    <w:rsid w:val="00B75732"/>
    <w:rsid w:val="00B828C4"/>
    <w:rsid w:val="00B86120"/>
    <w:rsid w:val="00BA00AD"/>
    <w:rsid w:val="00BA618F"/>
    <w:rsid w:val="00BB00C8"/>
    <w:rsid w:val="00BB3130"/>
    <w:rsid w:val="00BE6A8E"/>
    <w:rsid w:val="00C21973"/>
    <w:rsid w:val="00C23476"/>
    <w:rsid w:val="00C339E1"/>
    <w:rsid w:val="00C466C2"/>
    <w:rsid w:val="00C47682"/>
    <w:rsid w:val="00C61501"/>
    <w:rsid w:val="00C62F91"/>
    <w:rsid w:val="00C67007"/>
    <w:rsid w:val="00C76CBF"/>
    <w:rsid w:val="00C91013"/>
    <w:rsid w:val="00CA6E53"/>
    <w:rsid w:val="00CD127F"/>
    <w:rsid w:val="00CE4998"/>
    <w:rsid w:val="00D163ED"/>
    <w:rsid w:val="00D36786"/>
    <w:rsid w:val="00D4142E"/>
    <w:rsid w:val="00D429C2"/>
    <w:rsid w:val="00D44E70"/>
    <w:rsid w:val="00D53511"/>
    <w:rsid w:val="00D64D0B"/>
    <w:rsid w:val="00D90CA7"/>
    <w:rsid w:val="00D9717C"/>
    <w:rsid w:val="00D975CC"/>
    <w:rsid w:val="00DA2BA5"/>
    <w:rsid w:val="00DA5A25"/>
    <w:rsid w:val="00DD408B"/>
    <w:rsid w:val="00E03C28"/>
    <w:rsid w:val="00E06C09"/>
    <w:rsid w:val="00E140DA"/>
    <w:rsid w:val="00E40E24"/>
    <w:rsid w:val="00E43FCE"/>
    <w:rsid w:val="00E45F07"/>
    <w:rsid w:val="00E46EA4"/>
    <w:rsid w:val="00E60241"/>
    <w:rsid w:val="00E61A7B"/>
    <w:rsid w:val="00E847AD"/>
    <w:rsid w:val="00E8757F"/>
    <w:rsid w:val="00E92506"/>
    <w:rsid w:val="00EA6D8F"/>
    <w:rsid w:val="00ED642C"/>
    <w:rsid w:val="00ED6921"/>
    <w:rsid w:val="00EE33E7"/>
    <w:rsid w:val="00F134C0"/>
    <w:rsid w:val="00F36AB4"/>
    <w:rsid w:val="00F501EC"/>
    <w:rsid w:val="00F53B1C"/>
    <w:rsid w:val="00F74CF2"/>
    <w:rsid w:val="00FB09BC"/>
    <w:rsid w:val="00FB1CE2"/>
    <w:rsid w:val="00FB1D11"/>
    <w:rsid w:val="00FB2FE0"/>
    <w:rsid w:val="00FB507C"/>
    <w:rsid w:val="00FD09F6"/>
    <w:rsid w:val="00FE4190"/>
    <w:rsid w:val="00FE77DD"/>
    <w:rsid w:val="012064D3"/>
    <w:rsid w:val="012309FC"/>
    <w:rsid w:val="012D75EC"/>
    <w:rsid w:val="013C6795"/>
    <w:rsid w:val="01655C0C"/>
    <w:rsid w:val="016D72E4"/>
    <w:rsid w:val="01776F48"/>
    <w:rsid w:val="01794530"/>
    <w:rsid w:val="0185278D"/>
    <w:rsid w:val="018A2E1A"/>
    <w:rsid w:val="018A324B"/>
    <w:rsid w:val="01A473B2"/>
    <w:rsid w:val="01A56261"/>
    <w:rsid w:val="01AB7B10"/>
    <w:rsid w:val="01AD6690"/>
    <w:rsid w:val="01B04537"/>
    <w:rsid w:val="01B438EE"/>
    <w:rsid w:val="01B47A59"/>
    <w:rsid w:val="01BA51E5"/>
    <w:rsid w:val="01BF166D"/>
    <w:rsid w:val="01BF63D7"/>
    <w:rsid w:val="01CB5BFC"/>
    <w:rsid w:val="01D2288C"/>
    <w:rsid w:val="01D55A0F"/>
    <w:rsid w:val="01DD2E1B"/>
    <w:rsid w:val="01E91916"/>
    <w:rsid w:val="01EF738F"/>
    <w:rsid w:val="02016759"/>
    <w:rsid w:val="020A5C4A"/>
    <w:rsid w:val="021567F9"/>
    <w:rsid w:val="021D4EFA"/>
    <w:rsid w:val="023006A7"/>
    <w:rsid w:val="0249787C"/>
    <w:rsid w:val="0253085C"/>
    <w:rsid w:val="025333A1"/>
    <w:rsid w:val="02587ED8"/>
    <w:rsid w:val="025E466E"/>
    <w:rsid w:val="026D23CC"/>
    <w:rsid w:val="028B52A2"/>
    <w:rsid w:val="029D325A"/>
    <w:rsid w:val="02A01A1A"/>
    <w:rsid w:val="02A120CD"/>
    <w:rsid w:val="02AA6A16"/>
    <w:rsid w:val="02B5184B"/>
    <w:rsid w:val="02B70CB9"/>
    <w:rsid w:val="02BB3597"/>
    <w:rsid w:val="02C104EB"/>
    <w:rsid w:val="02CA65D0"/>
    <w:rsid w:val="02CB71B1"/>
    <w:rsid w:val="02D663F8"/>
    <w:rsid w:val="02E37BEC"/>
    <w:rsid w:val="02E93369"/>
    <w:rsid w:val="02EB508A"/>
    <w:rsid w:val="02F24EE2"/>
    <w:rsid w:val="03102AA1"/>
    <w:rsid w:val="03196793"/>
    <w:rsid w:val="03362D17"/>
    <w:rsid w:val="0342123F"/>
    <w:rsid w:val="034A3FA8"/>
    <w:rsid w:val="035F145B"/>
    <w:rsid w:val="03747A3A"/>
    <w:rsid w:val="037C7044"/>
    <w:rsid w:val="038247D1"/>
    <w:rsid w:val="038D72DF"/>
    <w:rsid w:val="03926FEA"/>
    <w:rsid w:val="0397764E"/>
    <w:rsid w:val="039B2990"/>
    <w:rsid w:val="039E2E16"/>
    <w:rsid w:val="039F27DB"/>
    <w:rsid w:val="03A867BF"/>
    <w:rsid w:val="03B42A21"/>
    <w:rsid w:val="03BC7E2E"/>
    <w:rsid w:val="03CA32E0"/>
    <w:rsid w:val="03CC7530"/>
    <w:rsid w:val="03CD1AE4"/>
    <w:rsid w:val="03CE6E4F"/>
    <w:rsid w:val="03E545FE"/>
    <w:rsid w:val="03EE1902"/>
    <w:rsid w:val="03F24040"/>
    <w:rsid w:val="03F36D18"/>
    <w:rsid w:val="03FF574B"/>
    <w:rsid w:val="0419633B"/>
    <w:rsid w:val="04293931"/>
    <w:rsid w:val="042D6887"/>
    <w:rsid w:val="042F48EA"/>
    <w:rsid w:val="043365AC"/>
    <w:rsid w:val="0436537D"/>
    <w:rsid w:val="043F4F25"/>
    <w:rsid w:val="0454313E"/>
    <w:rsid w:val="045574B2"/>
    <w:rsid w:val="045768E7"/>
    <w:rsid w:val="04583649"/>
    <w:rsid w:val="04731B5B"/>
    <w:rsid w:val="04773A42"/>
    <w:rsid w:val="047777E5"/>
    <w:rsid w:val="04832C1F"/>
    <w:rsid w:val="049E6222"/>
    <w:rsid w:val="04A14C29"/>
    <w:rsid w:val="04A541B3"/>
    <w:rsid w:val="04B5472E"/>
    <w:rsid w:val="04D24D46"/>
    <w:rsid w:val="04DE120A"/>
    <w:rsid w:val="04EB219B"/>
    <w:rsid w:val="04FA70E2"/>
    <w:rsid w:val="04FE4F4B"/>
    <w:rsid w:val="050328AE"/>
    <w:rsid w:val="05055F1E"/>
    <w:rsid w:val="050A5551"/>
    <w:rsid w:val="050D7C36"/>
    <w:rsid w:val="05155454"/>
    <w:rsid w:val="051A35ED"/>
    <w:rsid w:val="051C4DAB"/>
    <w:rsid w:val="05212C2B"/>
    <w:rsid w:val="052E727B"/>
    <w:rsid w:val="05371FE6"/>
    <w:rsid w:val="053A53EA"/>
    <w:rsid w:val="053C7025"/>
    <w:rsid w:val="054F00E1"/>
    <w:rsid w:val="055659D1"/>
    <w:rsid w:val="05617ABE"/>
    <w:rsid w:val="056450A4"/>
    <w:rsid w:val="056A4663"/>
    <w:rsid w:val="056B42F1"/>
    <w:rsid w:val="057A490C"/>
    <w:rsid w:val="05847A47"/>
    <w:rsid w:val="05910CAE"/>
    <w:rsid w:val="05941C32"/>
    <w:rsid w:val="05A55123"/>
    <w:rsid w:val="05A64140"/>
    <w:rsid w:val="05A87145"/>
    <w:rsid w:val="05A91BD8"/>
    <w:rsid w:val="05C95F83"/>
    <w:rsid w:val="05E24E49"/>
    <w:rsid w:val="05FB048C"/>
    <w:rsid w:val="06081AB9"/>
    <w:rsid w:val="060B5DCA"/>
    <w:rsid w:val="06316639"/>
    <w:rsid w:val="0637212B"/>
    <w:rsid w:val="06417FEE"/>
    <w:rsid w:val="06424B3D"/>
    <w:rsid w:val="06505FDF"/>
    <w:rsid w:val="06586AF9"/>
    <w:rsid w:val="06593B84"/>
    <w:rsid w:val="066E6093"/>
    <w:rsid w:val="06745AE4"/>
    <w:rsid w:val="06936872"/>
    <w:rsid w:val="069B318C"/>
    <w:rsid w:val="06A4577A"/>
    <w:rsid w:val="06A7729D"/>
    <w:rsid w:val="06AC5144"/>
    <w:rsid w:val="06B83329"/>
    <w:rsid w:val="06BA5298"/>
    <w:rsid w:val="06D20376"/>
    <w:rsid w:val="06E709FB"/>
    <w:rsid w:val="06EC34E9"/>
    <w:rsid w:val="06ED2BF7"/>
    <w:rsid w:val="0711117F"/>
    <w:rsid w:val="072B3C3F"/>
    <w:rsid w:val="074573FA"/>
    <w:rsid w:val="0759191E"/>
    <w:rsid w:val="078E1BFF"/>
    <w:rsid w:val="07984DA0"/>
    <w:rsid w:val="07BC033E"/>
    <w:rsid w:val="07D14B11"/>
    <w:rsid w:val="07D76969"/>
    <w:rsid w:val="07ED4390"/>
    <w:rsid w:val="07F156FD"/>
    <w:rsid w:val="07F6545D"/>
    <w:rsid w:val="08046559"/>
    <w:rsid w:val="080F0988"/>
    <w:rsid w:val="080F1AF7"/>
    <w:rsid w:val="0814290B"/>
    <w:rsid w:val="08181763"/>
    <w:rsid w:val="081A3F5B"/>
    <w:rsid w:val="082902EA"/>
    <w:rsid w:val="082D564D"/>
    <w:rsid w:val="083142B4"/>
    <w:rsid w:val="08396A0E"/>
    <w:rsid w:val="083D5942"/>
    <w:rsid w:val="084837A5"/>
    <w:rsid w:val="08552ABB"/>
    <w:rsid w:val="08651E4D"/>
    <w:rsid w:val="08717085"/>
    <w:rsid w:val="08770A71"/>
    <w:rsid w:val="089865FF"/>
    <w:rsid w:val="08A61AD0"/>
    <w:rsid w:val="08AB6F42"/>
    <w:rsid w:val="08AB7D59"/>
    <w:rsid w:val="08C954E9"/>
    <w:rsid w:val="08D95AEA"/>
    <w:rsid w:val="08EE5C51"/>
    <w:rsid w:val="08EF6821"/>
    <w:rsid w:val="08F0373E"/>
    <w:rsid w:val="08F161BC"/>
    <w:rsid w:val="08F47141"/>
    <w:rsid w:val="08FE4FD0"/>
    <w:rsid w:val="08FF034B"/>
    <w:rsid w:val="09015162"/>
    <w:rsid w:val="091772F6"/>
    <w:rsid w:val="092414C2"/>
    <w:rsid w:val="092F0220"/>
    <w:rsid w:val="09336C26"/>
    <w:rsid w:val="093A18B8"/>
    <w:rsid w:val="09491359"/>
    <w:rsid w:val="094B7B50"/>
    <w:rsid w:val="095D6EFB"/>
    <w:rsid w:val="095D7A6A"/>
    <w:rsid w:val="09613B7C"/>
    <w:rsid w:val="098147A7"/>
    <w:rsid w:val="098203E8"/>
    <w:rsid w:val="098E199C"/>
    <w:rsid w:val="09BA2382"/>
    <w:rsid w:val="09CD2488"/>
    <w:rsid w:val="09D85903"/>
    <w:rsid w:val="09DB2F40"/>
    <w:rsid w:val="09DE340D"/>
    <w:rsid w:val="09EB63D4"/>
    <w:rsid w:val="09F77C68"/>
    <w:rsid w:val="0A000163"/>
    <w:rsid w:val="0A0A3406"/>
    <w:rsid w:val="0A1914A2"/>
    <w:rsid w:val="0A226DFA"/>
    <w:rsid w:val="0A270AD5"/>
    <w:rsid w:val="0A3313DB"/>
    <w:rsid w:val="0A3B3CA7"/>
    <w:rsid w:val="0A3C4EDA"/>
    <w:rsid w:val="0A3E6988"/>
    <w:rsid w:val="0A451B05"/>
    <w:rsid w:val="0A726BF3"/>
    <w:rsid w:val="0A7A0942"/>
    <w:rsid w:val="0AA150EC"/>
    <w:rsid w:val="0AA572C6"/>
    <w:rsid w:val="0AA85DAA"/>
    <w:rsid w:val="0AC46A5D"/>
    <w:rsid w:val="0AD308D0"/>
    <w:rsid w:val="0AE63A3F"/>
    <w:rsid w:val="0AEB5655"/>
    <w:rsid w:val="0AFC3C93"/>
    <w:rsid w:val="0AFD2452"/>
    <w:rsid w:val="0AFD3291"/>
    <w:rsid w:val="0B165DDB"/>
    <w:rsid w:val="0B173EDE"/>
    <w:rsid w:val="0B1A3B7B"/>
    <w:rsid w:val="0B2A74BB"/>
    <w:rsid w:val="0B465A36"/>
    <w:rsid w:val="0B490C8C"/>
    <w:rsid w:val="0B5459A6"/>
    <w:rsid w:val="0B55291A"/>
    <w:rsid w:val="0B667BA7"/>
    <w:rsid w:val="0B6A33B4"/>
    <w:rsid w:val="0B792B47"/>
    <w:rsid w:val="0B8F08F0"/>
    <w:rsid w:val="0B941603"/>
    <w:rsid w:val="0BA2630E"/>
    <w:rsid w:val="0BBC084E"/>
    <w:rsid w:val="0BBF09BC"/>
    <w:rsid w:val="0BDA0EDA"/>
    <w:rsid w:val="0BDE54D5"/>
    <w:rsid w:val="0BED101D"/>
    <w:rsid w:val="0BFA79BE"/>
    <w:rsid w:val="0BFB79FB"/>
    <w:rsid w:val="0C0565D5"/>
    <w:rsid w:val="0C0E0FF4"/>
    <w:rsid w:val="0C157FE3"/>
    <w:rsid w:val="0C2549FA"/>
    <w:rsid w:val="0C2A0E82"/>
    <w:rsid w:val="0C3106E0"/>
    <w:rsid w:val="0C395562"/>
    <w:rsid w:val="0C426BBC"/>
    <w:rsid w:val="0C441A2C"/>
    <w:rsid w:val="0C443AC6"/>
    <w:rsid w:val="0C4C7562"/>
    <w:rsid w:val="0C5349A8"/>
    <w:rsid w:val="0C58118F"/>
    <w:rsid w:val="0C6A5963"/>
    <w:rsid w:val="0C6B7563"/>
    <w:rsid w:val="0C835627"/>
    <w:rsid w:val="0CB05494"/>
    <w:rsid w:val="0CB8418D"/>
    <w:rsid w:val="0CC335FF"/>
    <w:rsid w:val="0CCE1E75"/>
    <w:rsid w:val="0CEA3B4F"/>
    <w:rsid w:val="0CEC634A"/>
    <w:rsid w:val="0CF954F3"/>
    <w:rsid w:val="0D0562D2"/>
    <w:rsid w:val="0D0B5987"/>
    <w:rsid w:val="0D1D6E0A"/>
    <w:rsid w:val="0D202B76"/>
    <w:rsid w:val="0D212DF8"/>
    <w:rsid w:val="0D363282"/>
    <w:rsid w:val="0D3E6CA5"/>
    <w:rsid w:val="0D440DFB"/>
    <w:rsid w:val="0D4E1465"/>
    <w:rsid w:val="0D503D0B"/>
    <w:rsid w:val="0D55096F"/>
    <w:rsid w:val="0D5969A2"/>
    <w:rsid w:val="0D77025C"/>
    <w:rsid w:val="0D7D61C2"/>
    <w:rsid w:val="0D7D6972"/>
    <w:rsid w:val="0D976E5A"/>
    <w:rsid w:val="0DBE336B"/>
    <w:rsid w:val="0DF61798"/>
    <w:rsid w:val="0DFB220E"/>
    <w:rsid w:val="0E003006"/>
    <w:rsid w:val="0E0A24F2"/>
    <w:rsid w:val="0E234A21"/>
    <w:rsid w:val="0E2F57A7"/>
    <w:rsid w:val="0E353E61"/>
    <w:rsid w:val="0E4024AB"/>
    <w:rsid w:val="0E4774C4"/>
    <w:rsid w:val="0E5622E4"/>
    <w:rsid w:val="0E634AF5"/>
    <w:rsid w:val="0E6B2916"/>
    <w:rsid w:val="0E6D4758"/>
    <w:rsid w:val="0E706B3D"/>
    <w:rsid w:val="0E7B4F16"/>
    <w:rsid w:val="0E82677A"/>
    <w:rsid w:val="0E9A34C1"/>
    <w:rsid w:val="0E9E37A1"/>
    <w:rsid w:val="0EA804B5"/>
    <w:rsid w:val="0EAC50A6"/>
    <w:rsid w:val="0EB55FAD"/>
    <w:rsid w:val="0EB861A8"/>
    <w:rsid w:val="0EBD6C3D"/>
    <w:rsid w:val="0ECB66C2"/>
    <w:rsid w:val="0EEB778D"/>
    <w:rsid w:val="0EF01B6D"/>
    <w:rsid w:val="0EFB041F"/>
    <w:rsid w:val="0F094F12"/>
    <w:rsid w:val="0F111923"/>
    <w:rsid w:val="0F1A6FD6"/>
    <w:rsid w:val="0F221206"/>
    <w:rsid w:val="0F2A2811"/>
    <w:rsid w:val="0F2D22FF"/>
    <w:rsid w:val="0F3732DD"/>
    <w:rsid w:val="0F3A1A89"/>
    <w:rsid w:val="0F5E67C6"/>
    <w:rsid w:val="0F5F6446"/>
    <w:rsid w:val="0F7C4463"/>
    <w:rsid w:val="0F864397"/>
    <w:rsid w:val="0F9A6AD3"/>
    <w:rsid w:val="0FA4441B"/>
    <w:rsid w:val="0FA66BBA"/>
    <w:rsid w:val="0FA77ED7"/>
    <w:rsid w:val="0FAE4987"/>
    <w:rsid w:val="0FB95260"/>
    <w:rsid w:val="0FCA651B"/>
    <w:rsid w:val="0FD06DFF"/>
    <w:rsid w:val="0FD34206"/>
    <w:rsid w:val="0FD41084"/>
    <w:rsid w:val="0FD41C88"/>
    <w:rsid w:val="0FE753F5"/>
    <w:rsid w:val="0FE82EA7"/>
    <w:rsid w:val="0FF03A41"/>
    <w:rsid w:val="0FFF2F61"/>
    <w:rsid w:val="100A7AF0"/>
    <w:rsid w:val="101947DB"/>
    <w:rsid w:val="101E7A90"/>
    <w:rsid w:val="102612C1"/>
    <w:rsid w:val="10663775"/>
    <w:rsid w:val="107B623E"/>
    <w:rsid w:val="107E1E89"/>
    <w:rsid w:val="10882CEE"/>
    <w:rsid w:val="109C3C4F"/>
    <w:rsid w:val="10B334E7"/>
    <w:rsid w:val="10BB3EE5"/>
    <w:rsid w:val="10BC0900"/>
    <w:rsid w:val="10D7594F"/>
    <w:rsid w:val="10DE59BD"/>
    <w:rsid w:val="10FB2DD8"/>
    <w:rsid w:val="10FD1C7F"/>
    <w:rsid w:val="1106791A"/>
    <w:rsid w:val="110E4E87"/>
    <w:rsid w:val="11154812"/>
    <w:rsid w:val="11213925"/>
    <w:rsid w:val="11251432"/>
    <w:rsid w:val="112B52C2"/>
    <w:rsid w:val="113405B8"/>
    <w:rsid w:val="11347452"/>
    <w:rsid w:val="11400963"/>
    <w:rsid w:val="1141583A"/>
    <w:rsid w:val="114652B8"/>
    <w:rsid w:val="11495AED"/>
    <w:rsid w:val="114C563A"/>
    <w:rsid w:val="114D122E"/>
    <w:rsid w:val="11524475"/>
    <w:rsid w:val="115E3D14"/>
    <w:rsid w:val="116163AF"/>
    <w:rsid w:val="116A332A"/>
    <w:rsid w:val="11723ADE"/>
    <w:rsid w:val="117A33AD"/>
    <w:rsid w:val="11807745"/>
    <w:rsid w:val="11811943"/>
    <w:rsid w:val="1186321A"/>
    <w:rsid w:val="11994411"/>
    <w:rsid w:val="11A77604"/>
    <w:rsid w:val="11C6652E"/>
    <w:rsid w:val="11C879DF"/>
    <w:rsid w:val="11EC4876"/>
    <w:rsid w:val="11F30921"/>
    <w:rsid w:val="11FC2AC6"/>
    <w:rsid w:val="11FD2592"/>
    <w:rsid w:val="12065420"/>
    <w:rsid w:val="12116119"/>
    <w:rsid w:val="121D32CF"/>
    <w:rsid w:val="121D5045"/>
    <w:rsid w:val="121E20D8"/>
    <w:rsid w:val="1236016D"/>
    <w:rsid w:val="123A68D0"/>
    <w:rsid w:val="12456209"/>
    <w:rsid w:val="12486C05"/>
    <w:rsid w:val="125B6958"/>
    <w:rsid w:val="125E0CB6"/>
    <w:rsid w:val="12650CBC"/>
    <w:rsid w:val="128525B2"/>
    <w:rsid w:val="128724F6"/>
    <w:rsid w:val="128B7D35"/>
    <w:rsid w:val="12945F88"/>
    <w:rsid w:val="12993967"/>
    <w:rsid w:val="12997E99"/>
    <w:rsid w:val="129A34D1"/>
    <w:rsid w:val="12A11451"/>
    <w:rsid w:val="12A5338C"/>
    <w:rsid w:val="12B66639"/>
    <w:rsid w:val="12B728A2"/>
    <w:rsid w:val="12C16C03"/>
    <w:rsid w:val="12C82F5F"/>
    <w:rsid w:val="12CF4161"/>
    <w:rsid w:val="12EA0003"/>
    <w:rsid w:val="12FB0BDC"/>
    <w:rsid w:val="13015340"/>
    <w:rsid w:val="130213C5"/>
    <w:rsid w:val="130E5C52"/>
    <w:rsid w:val="13173B6F"/>
    <w:rsid w:val="131D4BE7"/>
    <w:rsid w:val="132675B4"/>
    <w:rsid w:val="13337C49"/>
    <w:rsid w:val="135C1804"/>
    <w:rsid w:val="13610318"/>
    <w:rsid w:val="136C649F"/>
    <w:rsid w:val="137855CF"/>
    <w:rsid w:val="137F29EC"/>
    <w:rsid w:val="13811372"/>
    <w:rsid w:val="13830FA6"/>
    <w:rsid w:val="13887B1A"/>
    <w:rsid w:val="138A3E27"/>
    <w:rsid w:val="139851D9"/>
    <w:rsid w:val="139952E2"/>
    <w:rsid w:val="13A61C57"/>
    <w:rsid w:val="13B26760"/>
    <w:rsid w:val="13BA1602"/>
    <w:rsid w:val="13C04929"/>
    <w:rsid w:val="13E65D1C"/>
    <w:rsid w:val="13FB45D6"/>
    <w:rsid w:val="14160E87"/>
    <w:rsid w:val="141B290C"/>
    <w:rsid w:val="142B5A79"/>
    <w:rsid w:val="143D6000"/>
    <w:rsid w:val="14422F5C"/>
    <w:rsid w:val="14660458"/>
    <w:rsid w:val="14663C85"/>
    <w:rsid w:val="14751D21"/>
    <w:rsid w:val="1494015B"/>
    <w:rsid w:val="14A97BF1"/>
    <w:rsid w:val="14B80457"/>
    <w:rsid w:val="14D4003F"/>
    <w:rsid w:val="14E02D90"/>
    <w:rsid w:val="14EC623A"/>
    <w:rsid w:val="14FE273A"/>
    <w:rsid w:val="15002FA3"/>
    <w:rsid w:val="15052F93"/>
    <w:rsid w:val="15084453"/>
    <w:rsid w:val="15270F4B"/>
    <w:rsid w:val="154521D3"/>
    <w:rsid w:val="1547585D"/>
    <w:rsid w:val="155B0489"/>
    <w:rsid w:val="156A62BD"/>
    <w:rsid w:val="15936EBB"/>
    <w:rsid w:val="15954377"/>
    <w:rsid w:val="15AF66B6"/>
    <w:rsid w:val="15BC0AE7"/>
    <w:rsid w:val="15CD5BEA"/>
    <w:rsid w:val="15D2072A"/>
    <w:rsid w:val="15E95DD8"/>
    <w:rsid w:val="15EF40E1"/>
    <w:rsid w:val="15EF7DC4"/>
    <w:rsid w:val="15F4648E"/>
    <w:rsid w:val="15FB6BEB"/>
    <w:rsid w:val="1609639E"/>
    <w:rsid w:val="161271C4"/>
    <w:rsid w:val="1618338E"/>
    <w:rsid w:val="161B5856"/>
    <w:rsid w:val="16226F27"/>
    <w:rsid w:val="1625641E"/>
    <w:rsid w:val="16293D97"/>
    <w:rsid w:val="162C1B66"/>
    <w:rsid w:val="162E7762"/>
    <w:rsid w:val="164F6B27"/>
    <w:rsid w:val="1651252C"/>
    <w:rsid w:val="16573E2C"/>
    <w:rsid w:val="165D6609"/>
    <w:rsid w:val="16620247"/>
    <w:rsid w:val="16643844"/>
    <w:rsid w:val="16A14C20"/>
    <w:rsid w:val="16A23131"/>
    <w:rsid w:val="16B11D7D"/>
    <w:rsid w:val="16C070FF"/>
    <w:rsid w:val="16C3633E"/>
    <w:rsid w:val="16D33341"/>
    <w:rsid w:val="16DA229F"/>
    <w:rsid w:val="16F577B6"/>
    <w:rsid w:val="16FD3C1B"/>
    <w:rsid w:val="173B2130"/>
    <w:rsid w:val="17424BA7"/>
    <w:rsid w:val="17492EC5"/>
    <w:rsid w:val="17570969"/>
    <w:rsid w:val="175A0B0B"/>
    <w:rsid w:val="17657CF0"/>
    <w:rsid w:val="17876B99"/>
    <w:rsid w:val="178A40E4"/>
    <w:rsid w:val="179015A6"/>
    <w:rsid w:val="1790692B"/>
    <w:rsid w:val="179D05B9"/>
    <w:rsid w:val="179E4C6E"/>
    <w:rsid w:val="17A863FA"/>
    <w:rsid w:val="17BC3614"/>
    <w:rsid w:val="17BE4C81"/>
    <w:rsid w:val="17CB3DCC"/>
    <w:rsid w:val="17D04DA7"/>
    <w:rsid w:val="17D4779D"/>
    <w:rsid w:val="17E1613A"/>
    <w:rsid w:val="17F06755"/>
    <w:rsid w:val="17F15DC1"/>
    <w:rsid w:val="17F228C9"/>
    <w:rsid w:val="180741DD"/>
    <w:rsid w:val="18144605"/>
    <w:rsid w:val="181931B4"/>
    <w:rsid w:val="18240857"/>
    <w:rsid w:val="18255264"/>
    <w:rsid w:val="182619CF"/>
    <w:rsid w:val="182A5635"/>
    <w:rsid w:val="183A7515"/>
    <w:rsid w:val="183C554F"/>
    <w:rsid w:val="18477163"/>
    <w:rsid w:val="18513904"/>
    <w:rsid w:val="1856037E"/>
    <w:rsid w:val="18613EA9"/>
    <w:rsid w:val="1862578F"/>
    <w:rsid w:val="186A28B4"/>
    <w:rsid w:val="186C6FFD"/>
    <w:rsid w:val="18761C49"/>
    <w:rsid w:val="187A66B9"/>
    <w:rsid w:val="18962766"/>
    <w:rsid w:val="189C79D1"/>
    <w:rsid w:val="18C3452E"/>
    <w:rsid w:val="18C654B3"/>
    <w:rsid w:val="18CE2AC6"/>
    <w:rsid w:val="18CE4B3E"/>
    <w:rsid w:val="18D30408"/>
    <w:rsid w:val="18E64CA7"/>
    <w:rsid w:val="18F40BFB"/>
    <w:rsid w:val="18FA6F84"/>
    <w:rsid w:val="18FD0344"/>
    <w:rsid w:val="18FD476E"/>
    <w:rsid w:val="19011FEE"/>
    <w:rsid w:val="19075667"/>
    <w:rsid w:val="191428E1"/>
    <w:rsid w:val="19213DCB"/>
    <w:rsid w:val="1929708F"/>
    <w:rsid w:val="1934424D"/>
    <w:rsid w:val="194F11EC"/>
    <w:rsid w:val="194F7996"/>
    <w:rsid w:val="19576FA0"/>
    <w:rsid w:val="197861BB"/>
    <w:rsid w:val="19791BF9"/>
    <w:rsid w:val="19814180"/>
    <w:rsid w:val="199D3D41"/>
    <w:rsid w:val="19A52923"/>
    <w:rsid w:val="19B02206"/>
    <w:rsid w:val="19C26650"/>
    <w:rsid w:val="19E13EB4"/>
    <w:rsid w:val="19E42BA9"/>
    <w:rsid w:val="19FF51C5"/>
    <w:rsid w:val="1A060E90"/>
    <w:rsid w:val="1A06222A"/>
    <w:rsid w:val="1A0A5568"/>
    <w:rsid w:val="1A0B3D97"/>
    <w:rsid w:val="1A0D0ED3"/>
    <w:rsid w:val="1A113ECC"/>
    <w:rsid w:val="1A1D5A65"/>
    <w:rsid w:val="1A2F4A85"/>
    <w:rsid w:val="1A372CBC"/>
    <w:rsid w:val="1A3B0898"/>
    <w:rsid w:val="1A4E5E79"/>
    <w:rsid w:val="1A566EC3"/>
    <w:rsid w:val="1A59550C"/>
    <w:rsid w:val="1A6B2407"/>
    <w:rsid w:val="1A6D493D"/>
    <w:rsid w:val="1A8403D4"/>
    <w:rsid w:val="1A8F0349"/>
    <w:rsid w:val="1A8F2F91"/>
    <w:rsid w:val="1A906BD6"/>
    <w:rsid w:val="1AA930CA"/>
    <w:rsid w:val="1AB467FA"/>
    <w:rsid w:val="1AB836E5"/>
    <w:rsid w:val="1ABA2F48"/>
    <w:rsid w:val="1ABE55EE"/>
    <w:rsid w:val="1ACA6230"/>
    <w:rsid w:val="1ACE5993"/>
    <w:rsid w:val="1AD86198"/>
    <w:rsid w:val="1AE91C02"/>
    <w:rsid w:val="1AF347C3"/>
    <w:rsid w:val="1AFB0760"/>
    <w:rsid w:val="1AFC50D3"/>
    <w:rsid w:val="1B01155A"/>
    <w:rsid w:val="1B014DDE"/>
    <w:rsid w:val="1B046E0F"/>
    <w:rsid w:val="1B085797"/>
    <w:rsid w:val="1B1D33C8"/>
    <w:rsid w:val="1B263B54"/>
    <w:rsid w:val="1B27179A"/>
    <w:rsid w:val="1B385040"/>
    <w:rsid w:val="1B415BC7"/>
    <w:rsid w:val="1B4F4EDD"/>
    <w:rsid w:val="1B506DBE"/>
    <w:rsid w:val="1B5979EB"/>
    <w:rsid w:val="1B5E340F"/>
    <w:rsid w:val="1B602BF9"/>
    <w:rsid w:val="1B674850"/>
    <w:rsid w:val="1B713C33"/>
    <w:rsid w:val="1B777973"/>
    <w:rsid w:val="1B7D2002"/>
    <w:rsid w:val="1B7D22F8"/>
    <w:rsid w:val="1B8912DC"/>
    <w:rsid w:val="1BAD7475"/>
    <w:rsid w:val="1BBD2F92"/>
    <w:rsid w:val="1BC11BB6"/>
    <w:rsid w:val="1BC864B8"/>
    <w:rsid w:val="1BCD79A9"/>
    <w:rsid w:val="1BCF041A"/>
    <w:rsid w:val="1BD22E1B"/>
    <w:rsid w:val="1BD55725"/>
    <w:rsid w:val="1BD85D3B"/>
    <w:rsid w:val="1BE83DD7"/>
    <w:rsid w:val="1BE85FD5"/>
    <w:rsid w:val="1BEE0DC7"/>
    <w:rsid w:val="1BEF47DE"/>
    <w:rsid w:val="1BF1553B"/>
    <w:rsid w:val="1BFB7A2E"/>
    <w:rsid w:val="1BFC5537"/>
    <w:rsid w:val="1C0F5D73"/>
    <w:rsid w:val="1C1F5D30"/>
    <w:rsid w:val="1C294BD6"/>
    <w:rsid w:val="1C2B02AE"/>
    <w:rsid w:val="1C2D3246"/>
    <w:rsid w:val="1C37492B"/>
    <w:rsid w:val="1C384E5A"/>
    <w:rsid w:val="1C425CB4"/>
    <w:rsid w:val="1C47385B"/>
    <w:rsid w:val="1C592F0C"/>
    <w:rsid w:val="1C5C3D95"/>
    <w:rsid w:val="1C5D4285"/>
    <w:rsid w:val="1C6D1D0B"/>
    <w:rsid w:val="1C6E2EBD"/>
    <w:rsid w:val="1C742FD3"/>
    <w:rsid w:val="1C757302"/>
    <w:rsid w:val="1C800AD2"/>
    <w:rsid w:val="1C9C5C9F"/>
    <w:rsid w:val="1C9F7D02"/>
    <w:rsid w:val="1CA069CB"/>
    <w:rsid w:val="1CA86413"/>
    <w:rsid w:val="1CA96805"/>
    <w:rsid w:val="1CBF1D5E"/>
    <w:rsid w:val="1CBF6038"/>
    <w:rsid w:val="1CC435B3"/>
    <w:rsid w:val="1CCB1E4B"/>
    <w:rsid w:val="1CCF4917"/>
    <w:rsid w:val="1CE07ED4"/>
    <w:rsid w:val="1CEC7E01"/>
    <w:rsid w:val="1CFA7117"/>
    <w:rsid w:val="1CFB3D38"/>
    <w:rsid w:val="1D0017F9"/>
    <w:rsid w:val="1D0048A3"/>
    <w:rsid w:val="1D064F7B"/>
    <w:rsid w:val="1D0F11B2"/>
    <w:rsid w:val="1D315072"/>
    <w:rsid w:val="1D32054A"/>
    <w:rsid w:val="1D385A7B"/>
    <w:rsid w:val="1D3A413C"/>
    <w:rsid w:val="1D407BF3"/>
    <w:rsid w:val="1D481267"/>
    <w:rsid w:val="1D4D49A3"/>
    <w:rsid w:val="1D5372FD"/>
    <w:rsid w:val="1D5704BA"/>
    <w:rsid w:val="1D674B74"/>
    <w:rsid w:val="1D6B5D5F"/>
    <w:rsid w:val="1D735794"/>
    <w:rsid w:val="1D7E18EE"/>
    <w:rsid w:val="1D967667"/>
    <w:rsid w:val="1D9C5780"/>
    <w:rsid w:val="1D9C7F94"/>
    <w:rsid w:val="1DA0582D"/>
    <w:rsid w:val="1DA85D6E"/>
    <w:rsid w:val="1DA87B1E"/>
    <w:rsid w:val="1DB04B52"/>
    <w:rsid w:val="1DBA7555"/>
    <w:rsid w:val="1DD06D5A"/>
    <w:rsid w:val="1DFB7FBE"/>
    <w:rsid w:val="1E0171AE"/>
    <w:rsid w:val="1E1C04F3"/>
    <w:rsid w:val="1E1C3D76"/>
    <w:rsid w:val="1E2066F1"/>
    <w:rsid w:val="1E345B9A"/>
    <w:rsid w:val="1E37704E"/>
    <w:rsid w:val="1E4D5AF4"/>
    <w:rsid w:val="1E512F4B"/>
    <w:rsid w:val="1E807EE3"/>
    <w:rsid w:val="1E8505AF"/>
    <w:rsid w:val="1E8F0832"/>
    <w:rsid w:val="1E993340"/>
    <w:rsid w:val="1E9E072A"/>
    <w:rsid w:val="1EA6040A"/>
    <w:rsid w:val="1EAE2372"/>
    <w:rsid w:val="1EB06A16"/>
    <w:rsid w:val="1EC710E4"/>
    <w:rsid w:val="1EDB645A"/>
    <w:rsid w:val="1EE90DA2"/>
    <w:rsid w:val="1EED2EC4"/>
    <w:rsid w:val="1EEF1181"/>
    <w:rsid w:val="1EF264A0"/>
    <w:rsid w:val="1EF27135"/>
    <w:rsid w:val="1EF85FE8"/>
    <w:rsid w:val="1F1D5BD9"/>
    <w:rsid w:val="1F2A14C4"/>
    <w:rsid w:val="1F2E5389"/>
    <w:rsid w:val="1F443797"/>
    <w:rsid w:val="1F5025B3"/>
    <w:rsid w:val="1F530A44"/>
    <w:rsid w:val="1F531875"/>
    <w:rsid w:val="1F5664A4"/>
    <w:rsid w:val="1F583452"/>
    <w:rsid w:val="1F5E51AA"/>
    <w:rsid w:val="1F6742E5"/>
    <w:rsid w:val="1F79092B"/>
    <w:rsid w:val="1F7C634F"/>
    <w:rsid w:val="1F8232BD"/>
    <w:rsid w:val="1FA52578"/>
    <w:rsid w:val="1FA74DEA"/>
    <w:rsid w:val="1FA90F7F"/>
    <w:rsid w:val="1FA91164"/>
    <w:rsid w:val="1FB3433C"/>
    <w:rsid w:val="1FB82152"/>
    <w:rsid w:val="1FC43D88"/>
    <w:rsid w:val="1FCD386B"/>
    <w:rsid w:val="1FD229FF"/>
    <w:rsid w:val="1FDE6000"/>
    <w:rsid w:val="1FE458E0"/>
    <w:rsid w:val="1FEC12B2"/>
    <w:rsid w:val="1FF84368"/>
    <w:rsid w:val="1FF90A03"/>
    <w:rsid w:val="200F6027"/>
    <w:rsid w:val="20125215"/>
    <w:rsid w:val="201B7E04"/>
    <w:rsid w:val="201D6B89"/>
    <w:rsid w:val="202D7796"/>
    <w:rsid w:val="202E2300"/>
    <w:rsid w:val="20394FEA"/>
    <w:rsid w:val="20432AAD"/>
    <w:rsid w:val="20515881"/>
    <w:rsid w:val="20582550"/>
    <w:rsid w:val="205A68C6"/>
    <w:rsid w:val="20673BAF"/>
    <w:rsid w:val="206C5534"/>
    <w:rsid w:val="20754DB1"/>
    <w:rsid w:val="207E22D6"/>
    <w:rsid w:val="20862EEB"/>
    <w:rsid w:val="208D3278"/>
    <w:rsid w:val="209443FF"/>
    <w:rsid w:val="20964ECF"/>
    <w:rsid w:val="20A7561E"/>
    <w:rsid w:val="20BF26D8"/>
    <w:rsid w:val="20C45A02"/>
    <w:rsid w:val="20C70EE1"/>
    <w:rsid w:val="20D81670"/>
    <w:rsid w:val="20DA2975"/>
    <w:rsid w:val="20E33285"/>
    <w:rsid w:val="20EA02BE"/>
    <w:rsid w:val="21001530"/>
    <w:rsid w:val="210202B6"/>
    <w:rsid w:val="210459B8"/>
    <w:rsid w:val="21060429"/>
    <w:rsid w:val="21124CCD"/>
    <w:rsid w:val="2114667B"/>
    <w:rsid w:val="211B435F"/>
    <w:rsid w:val="21295409"/>
    <w:rsid w:val="213216EA"/>
    <w:rsid w:val="21492140"/>
    <w:rsid w:val="21505E37"/>
    <w:rsid w:val="215E28C5"/>
    <w:rsid w:val="21654EDF"/>
    <w:rsid w:val="216613C8"/>
    <w:rsid w:val="218E6661"/>
    <w:rsid w:val="21927F16"/>
    <w:rsid w:val="21931DA4"/>
    <w:rsid w:val="21A172DF"/>
    <w:rsid w:val="21B300DA"/>
    <w:rsid w:val="21B95179"/>
    <w:rsid w:val="21C328F3"/>
    <w:rsid w:val="21C6058A"/>
    <w:rsid w:val="21D96688"/>
    <w:rsid w:val="21DE0F1E"/>
    <w:rsid w:val="21DF7B6A"/>
    <w:rsid w:val="21E91D8A"/>
    <w:rsid w:val="220B779B"/>
    <w:rsid w:val="22112672"/>
    <w:rsid w:val="22156E7A"/>
    <w:rsid w:val="221D1696"/>
    <w:rsid w:val="221F1065"/>
    <w:rsid w:val="222604E5"/>
    <w:rsid w:val="22295B1A"/>
    <w:rsid w:val="223D0F38"/>
    <w:rsid w:val="224A3273"/>
    <w:rsid w:val="224F3562"/>
    <w:rsid w:val="225678E3"/>
    <w:rsid w:val="22704B18"/>
    <w:rsid w:val="22710470"/>
    <w:rsid w:val="22766951"/>
    <w:rsid w:val="22837A72"/>
    <w:rsid w:val="22954E49"/>
    <w:rsid w:val="22997D66"/>
    <w:rsid w:val="229A12D1"/>
    <w:rsid w:val="229C488C"/>
    <w:rsid w:val="22A56719"/>
    <w:rsid w:val="22A667D5"/>
    <w:rsid w:val="22BD03C1"/>
    <w:rsid w:val="22C76081"/>
    <w:rsid w:val="22C93EA2"/>
    <w:rsid w:val="22CB1E9A"/>
    <w:rsid w:val="22CD02E9"/>
    <w:rsid w:val="22E614A2"/>
    <w:rsid w:val="22EC14A9"/>
    <w:rsid w:val="22EE0D5B"/>
    <w:rsid w:val="22F658FA"/>
    <w:rsid w:val="22F828B8"/>
    <w:rsid w:val="22FD3574"/>
    <w:rsid w:val="230279FC"/>
    <w:rsid w:val="23065B7F"/>
    <w:rsid w:val="23197A48"/>
    <w:rsid w:val="23304533"/>
    <w:rsid w:val="23306573"/>
    <w:rsid w:val="234207E5"/>
    <w:rsid w:val="23531D85"/>
    <w:rsid w:val="235544E7"/>
    <w:rsid w:val="237D787C"/>
    <w:rsid w:val="23813B4D"/>
    <w:rsid w:val="23822143"/>
    <w:rsid w:val="23B2388E"/>
    <w:rsid w:val="23C04937"/>
    <w:rsid w:val="23D111F7"/>
    <w:rsid w:val="23D46F59"/>
    <w:rsid w:val="23E65961"/>
    <w:rsid w:val="23EB2A55"/>
    <w:rsid w:val="23EE4181"/>
    <w:rsid w:val="23EF4452"/>
    <w:rsid w:val="23F505B9"/>
    <w:rsid w:val="23F76CB5"/>
    <w:rsid w:val="23FA7481"/>
    <w:rsid w:val="23FB0857"/>
    <w:rsid w:val="242A2C76"/>
    <w:rsid w:val="24346E74"/>
    <w:rsid w:val="243D5AC7"/>
    <w:rsid w:val="2443168D"/>
    <w:rsid w:val="245356F2"/>
    <w:rsid w:val="24573048"/>
    <w:rsid w:val="24700322"/>
    <w:rsid w:val="247571FC"/>
    <w:rsid w:val="248B3D08"/>
    <w:rsid w:val="2499461A"/>
    <w:rsid w:val="249A2DDD"/>
    <w:rsid w:val="24A91031"/>
    <w:rsid w:val="24AD2030"/>
    <w:rsid w:val="24C40E3F"/>
    <w:rsid w:val="24C5505A"/>
    <w:rsid w:val="24C56376"/>
    <w:rsid w:val="24CB53DB"/>
    <w:rsid w:val="24E942AA"/>
    <w:rsid w:val="24F90D64"/>
    <w:rsid w:val="24FF5C9F"/>
    <w:rsid w:val="25131BC7"/>
    <w:rsid w:val="2528529C"/>
    <w:rsid w:val="253B63A2"/>
    <w:rsid w:val="2545348F"/>
    <w:rsid w:val="254A4327"/>
    <w:rsid w:val="254F3ACF"/>
    <w:rsid w:val="255375F2"/>
    <w:rsid w:val="25580FEE"/>
    <w:rsid w:val="256F7793"/>
    <w:rsid w:val="25720EF9"/>
    <w:rsid w:val="25760785"/>
    <w:rsid w:val="25776207"/>
    <w:rsid w:val="25AA2320"/>
    <w:rsid w:val="25B924F3"/>
    <w:rsid w:val="25C65979"/>
    <w:rsid w:val="25CB5C91"/>
    <w:rsid w:val="25D40B1F"/>
    <w:rsid w:val="25F470F2"/>
    <w:rsid w:val="25F73515"/>
    <w:rsid w:val="26066D6F"/>
    <w:rsid w:val="26133E87"/>
    <w:rsid w:val="2619006A"/>
    <w:rsid w:val="26353C1F"/>
    <w:rsid w:val="265A3813"/>
    <w:rsid w:val="265D2286"/>
    <w:rsid w:val="265E5200"/>
    <w:rsid w:val="26652C5E"/>
    <w:rsid w:val="266579BB"/>
    <w:rsid w:val="26675B0F"/>
    <w:rsid w:val="266E549A"/>
    <w:rsid w:val="267654FB"/>
    <w:rsid w:val="26800C37"/>
    <w:rsid w:val="269F6C1A"/>
    <w:rsid w:val="26A676CF"/>
    <w:rsid w:val="26AA03E1"/>
    <w:rsid w:val="26B3683C"/>
    <w:rsid w:val="26BB7B52"/>
    <w:rsid w:val="26C960BD"/>
    <w:rsid w:val="26D22CEB"/>
    <w:rsid w:val="26E04502"/>
    <w:rsid w:val="26ED37EA"/>
    <w:rsid w:val="26FA487D"/>
    <w:rsid w:val="270B2D9A"/>
    <w:rsid w:val="27114CA3"/>
    <w:rsid w:val="27163BB0"/>
    <w:rsid w:val="27305558"/>
    <w:rsid w:val="2737797E"/>
    <w:rsid w:val="273C4734"/>
    <w:rsid w:val="273C623D"/>
    <w:rsid w:val="27511431"/>
    <w:rsid w:val="27526877"/>
    <w:rsid w:val="27564E18"/>
    <w:rsid w:val="276521AF"/>
    <w:rsid w:val="27665A32"/>
    <w:rsid w:val="27780D12"/>
    <w:rsid w:val="277B4352"/>
    <w:rsid w:val="277D7855"/>
    <w:rsid w:val="278D52F1"/>
    <w:rsid w:val="27A66657"/>
    <w:rsid w:val="27AC3AF2"/>
    <w:rsid w:val="27B01C3A"/>
    <w:rsid w:val="27C54D89"/>
    <w:rsid w:val="27CB75C9"/>
    <w:rsid w:val="27D80E82"/>
    <w:rsid w:val="27D91823"/>
    <w:rsid w:val="27DB021B"/>
    <w:rsid w:val="27E53D82"/>
    <w:rsid w:val="27E91931"/>
    <w:rsid w:val="27E97C38"/>
    <w:rsid w:val="27F12D3C"/>
    <w:rsid w:val="27F36EAE"/>
    <w:rsid w:val="28017918"/>
    <w:rsid w:val="2818104C"/>
    <w:rsid w:val="281B210D"/>
    <w:rsid w:val="28316FFE"/>
    <w:rsid w:val="28516DCA"/>
    <w:rsid w:val="2855533A"/>
    <w:rsid w:val="28661C5C"/>
    <w:rsid w:val="286C74DE"/>
    <w:rsid w:val="287D7CB2"/>
    <w:rsid w:val="2887358B"/>
    <w:rsid w:val="288F4374"/>
    <w:rsid w:val="28963BA5"/>
    <w:rsid w:val="28AA2846"/>
    <w:rsid w:val="28AA6FC3"/>
    <w:rsid w:val="28B2406E"/>
    <w:rsid w:val="28B44D43"/>
    <w:rsid w:val="28BC592D"/>
    <w:rsid w:val="28CB1F49"/>
    <w:rsid w:val="28E107A2"/>
    <w:rsid w:val="28E23FDD"/>
    <w:rsid w:val="28E26CDE"/>
    <w:rsid w:val="28FA1EE9"/>
    <w:rsid w:val="290B0F77"/>
    <w:rsid w:val="290D1266"/>
    <w:rsid w:val="290E718F"/>
    <w:rsid w:val="291E4D83"/>
    <w:rsid w:val="29300521"/>
    <w:rsid w:val="29323A24"/>
    <w:rsid w:val="293E265C"/>
    <w:rsid w:val="29410833"/>
    <w:rsid w:val="294D71C8"/>
    <w:rsid w:val="29532FCD"/>
    <w:rsid w:val="29581409"/>
    <w:rsid w:val="295B4BE8"/>
    <w:rsid w:val="29622927"/>
    <w:rsid w:val="296B4E82"/>
    <w:rsid w:val="29747D10"/>
    <w:rsid w:val="297F41D4"/>
    <w:rsid w:val="29986C4B"/>
    <w:rsid w:val="29B30938"/>
    <w:rsid w:val="29B336C0"/>
    <w:rsid w:val="29B85A2F"/>
    <w:rsid w:val="29C2436F"/>
    <w:rsid w:val="29C64297"/>
    <w:rsid w:val="29C66A5D"/>
    <w:rsid w:val="29D85B7D"/>
    <w:rsid w:val="29DA5136"/>
    <w:rsid w:val="2A1663D3"/>
    <w:rsid w:val="2A1A67B5"/>
    <w:rsid w:val="2A1F5C2B"/>
    <w:rsid w:val="2A207121"/>
    <w:rsid w:val="2A345E9E"/>
    <w:rsid w:val="2A3742F0"/>
    <w:rsid w:val="2A3C7759"/>
    <w:rsid w:val="2A415DDF"/>
    <w:rsid w:val="2A475AEA"/>
    <w:rsid w:val="2A485607"/>
    <w:rsid w:val="2A571C29"/>
    <w:rsid w:val="2A575E9C"/>
    <w:rsid w:val="2A750BB8"/>
    <w:rsid w:val="2A811501"/>
    <w:rsid w:val="2A880A39"/>
    <w:rsid w:val="2A8A6743"/>
    <w:rsid w:val="2A9E3F7B"/>
    <w:rsid w:val="2AA1167C"/>
    <w:rsid w:val="2AAA6A26"/>
    <w:rsid w:val="2AB52C82"/>
    <w:rsid w:val="2ABD7A6C"/>
    <w:rsid w:val="2AC65F8E"/>
    <w:rsid w:val="2AC94DBF"/>
    <w:rsid w:val="2ACA2F66"/>
    <w:rsid w:val="2ACC07B7"/>
    <w:rsid w:val="2ADA635E"/>
    <w:rsid w:val="2AF17D63"/>
    <w:rsid w:val="2AFE7817"/>
    <w:rsid w:val="2B02041C"/>
    <w:rsid w:val="2B0970D9"/>
    <w:rsid w:val="2B0E0252"/>
    <w:rsid w:val="2B0E521B"/>
    <w:rsid w:val="2B107731"/>
    <w:rsid w:val="2B122C35"/>
    <w:rsid w:val="2B190BB3"/>
    <w:rsid w:val="2B3B50FE"/>
    <w:rsid w:val="2B3D3C8E"/>
    <w:rsid w:val="2B46348F"/>
    <w:rsid w:val="2B500D68"/>
    <w:rsid w:val="2B5F2D34"/>
    <w:rsid w:val="2B661EF3"/>
    <w:rsid w:val="2B680238"/>
    <w:rsid w:val="2B68577E"/>
    <w:rsid w:val="2B8042FE"/>
    <w:rsid w:val="2B8B0835"/>
    <w:rsid w:val="2B93402A"/>
    <w:rsid w:val="2B964513"/>
    <w:rsid w:val="2BAF7B86"/>
    <w:rsid w:val="2BB03C7B"/>
    <w:rsid w:val="2BB36041"/>
    <w:rsid w:val="2BC56683"/>
    <w:rsid w:val="2BD561F6"/>
    <w:rsid w:val="2BE34EB3"/>
    <w:rsid w:val="2C104E90"/>
    <w:rsid w:val="2C1231A3"/>
    <w:rsid w:val="2C1D65BB"/>
    <w:rsid w:val="2C2E2107"/>
    <w:rsid w:val="2C402859"/>
    <w:rsid w:val="2C4F70B4"/>
    <w:rsid w:val="2C5A4FAB"/>
    <w:rsid w:val="2C5E06D8"/>
    <w:rsid w:val="2C686C87"/>
    <w:rsid w:val="2C7A09BE"/>
    <w:rsid w:val="2C905D31"/>
    <w:rsid w:val="2C9D00EE"/>
    <w:rsid w:val="2CC6260E"/>
    <w:rsid w:val="2CCA108C"/>
    <w:rsid w:val="2CCE38FB"/>
    <w:rsid w:val="2CDF2790"/>
    <w:rsid w:val="2D0D7577"/>
    <w:rsid w:val="2D102F33"/>
    <w:rsid w:val="2D1603E8"/>
    <w:rsid w:val="2D170868"/>
    <w:rsid w:val="2D1C1D90"/>
    <w:rsid w:val="2D323F34"/>
    <w:rsid w:val="2D364384"/>
    <w:rsid w:val="2D4C0361"/>
    <w:rsid w:val="2D5269E7"/>
    <w:rsid w:val="2D615DA1"/>
    <w:rsid w:val="2D663901"/>
    <w:rsid w:val="2D6867C3"/>
    <w:rsid w:val="2D68763E"/>
    <w:rsid w:val="2D6973AD"/>
    <w:rsid w:val="2D6A4F2E"/>
    <w:rsid w:val="2D6B1B0F"/>
    <w:rsid w:val="2D737641"/>
    <w:rsid w:val="2D74241F"/>
    <w:rsid w:val="2D7A141E"/>
    <w:rsid w:val="2D7D66AA"/>
    <w:rsid w:val="2D8845BA"/>
    <w:rsid w:val="2D8E0DCA"/>
    <w:rsid w:val="2D990460"/>
    <w:rsid w:val="2DA41834"/>
    <w:rsid w:val="2DB53A02"/>
    <w:rsid w:val="2DC40AB0"/>
    <w:rsid w:val="2DDA5646"/>
    <w:rsid w:val="2DDD3639"/>
    <w:rsid w:val="2DF51A73"/>
    <w:rsid w:val="2DF95EFB"/>
    <w:rsid w:val="2E03680A"/>
    <w:rsid w:val="2E2B36D0"/>
    <w:rsid w:val="2E330818"/>
    <w:rsid w:val="2E462A70"/>
    <w:rsid w:val="2E6739AE"/>
    <w:rsid w:val="2E6F29F9"/>
    <w:rsid w:val="2E733BBD"/>
    <w:rsid w:val="2E797FE4"/>
    <w:rsid w:val="2E8F1C72"/>
    <w:rsid w:val="2EA259A4"/>
    <w:rsid w:val="2EA77318"/>
    <w:rsid w:val="2EA94A1A"/>
    <w:rsid w:val="2EAE6CA3"/>
    <w:rsid w:val="2EB31DCF"/>
    <w:rsid w:val="2EBC11B4"/>
    <w:rsid w:val="2EE12975"/>
    <w:rsid w:val="2EE84046"/>
    <w:rsid w:val="2EF36840"/>
    <w:rsid w:val="2F0902B7"/>
    <w:rsid w:val="2F1041B4"/>
    <w:rsid w:val="2F1E395E"/>
    <w:rsid w:val="2F260327"/>
    <w:rsid w:val="2F26630C"/>
    <w:rsid w:val="2F2A769E"/>
    <w:rsid w:val="2F2F3DCA"/>
    <w:rsid w:val="2F306F53"/>
    <w:rsid w:val="2F3B560E"/>
    <w:rsid w:val="2F3C256B"/>
    <w:rsid w:val="2F401A95"/>
    <w:rsid w:val="2F473C04"/>
    <w:rsid w:val="2F4A34F0"/>
    <w:rsid w:val="2F4E3898"/>
    <w:rsid w:val="2F5064AC"/>
    <w:rsid w:val="2F5904D7"/>
    <w:rsid w:val="2F593718"/>
    <w:rsid w:val="2F6C5DDD"/>
    <w:rsid w:val="2F731EE4"/>
    <w:rsid w:val="2F881900"/>
    <w:rsid w:val="2FAA475A"/>
    <w:rsid w:val="2FAC0024"/>
    <w:rsid w:val="2FAD3985"/>
    <w:rsid w:val="2FAE28A9"/>
    <w:rsid w:val="2FB41D31"/>
    <w:rsid w:val="2FBB13DF"/>
    <w:rsid w:val="2FCA35A6"/>
    <w:rsid w:val="2FE50B74"/>
    <w:rsid w:val="2FE840B2"/>
    <w:rsid w:val="30032B42"/>
    <w:rsid w:val="30042C81"/>
    <w:rsid w:val="30052AD8"/>
    <w:rsid w:val="30125C6F"/>
    <w:rsid w:val="30133FEC"/>
    <w:rsid w:val="30164F71"/>
    <w:rsid w:val="30180474"/>
    <w:rsid w:val="30183CF7"/>
    <w:rsid w:val="30185377"/>
    <w:rsid w:val="301A3977"/>
    <w:rsid w:val="30232088"/>
    <w:rsid w:val="302D5AE7"/>
    <w:rsid w:val="30314C29"/>
    <w:rsid w:val="30355826"/>
    <w:rsid w:val="304944C6"/>
    <w:rsid w:val="304E5939"/>
    <w:rsid w:val="305A65CC"/>
    <w:rsid w:val="305F494E"/>
    <w:rsid w:val="30721F45"/>
    <w:rsid w:val="30796DCE"/>
    <w:rsid w:val="307A17D2"/>
    <w:rsid w:val="30832AA8"/>
    <w:rsid w:val="30837B23"/>
    <w:rsid w:val="30B17E3D"/>
    <w:rsid w:val="30B77D25"/>
    <w:rsid w:val="30C21B7E"/>
    <w:rsid w:val="30C7141A"/>
    <w:rsid w:val="30C87B0C"/>
    <w:rsid w:val="30CB3B8D"/>
    <w:rsid w:val="30EE23FE"/>
    <w:rsid w:val="30F545DF"/>
    <w:rsid w:val="3105406A"/>
    <w:rsid w:val="31086150"/>
    <w:rsid w:val="310B6995"/>
    <w:rsid w:val="311F6918"/>
    <w:rsid w:val="31382129"/>
    <w:rsid w:val="313A515C"/>
    <w:rsid w:val="313D71ED"/>
    <w:rsid w:val="314865E7"/>
    <w:rsid w:val="3157018E"/>
    <w:rsid w:val="31570E00"/>
    <w:rsid w:val="31586882"/>
    <w:rsid w:val="31594303"/>
    <w:rsid w:val="31607511"/>
    <w:rsid w:val="316676FD"/>
    <w:rsid w:val="316E3672"/>
    <w:rsid w:val="316F42A9"/>
    <w:rsid w:val="317177AC"/>
    <w:rsid w:val="31740730"/>
    <w:rsid w:val="318752F3"/>
    <w:rsid w:val="31894483"/>
    <w:rsid w:val="31895097"/>
    <w:rsid w:val="318A21CC"/>
    <w:rsid w:val="31937A56"/>
    <w:rsid w:val="319E3340"/>
    <w:rsid w:val="319F1AE3"/>
    <w:rsid w:val="31A4347E"/>
    <w:rsid w:val="31A62204"/>
    <w:rsid w:val="31AF1618"/>
    <w:rsid w:val="31BD65A6"/>
    <w:rsid w:val="31C569E8"/>
    <w:rsid w:val="31E548B9"/>
    <w:rsid w:val="31ED7853"/>
    <w:rsid w:val="31F43101"/>
    <w:rsid w:val="31F63288"/>
    <w:rsid w:val="31F7103D"/>
    <w:rsid w:val="31FA5795"/>
    <w:rsid w:val="32082833"/>
    <w:rsid w:val="320D21BE"/>
    <w:rsid w:val="320D62EC"/>
    <w:rsid w:val="32291158"/>
    <w:rsid w:val="322F0E63"/>
    <w:rsid w:val="323F587B"/>
    <w:rsid w:val="32406B7F"/>
    <w:rsid w:val="325D3F31"/>
    <w:rsid w:val="325F6AEC"/>
    <w:rsid w:val="32697D44"/>
    <w:rsid w:val="327071D1"/>
    <w:rsid w:val="32817BAB"/>
    <w:rsid w:val="328949F5"/>
    <w:rsid w:val="328C2E30"/>
    <w:rsid w:val="32940EED"/>
    <w:rsid w:val="329515C7"/>
    <w:rsid w:val="329C5C14"/>
    <w:rsid w:val="329E18B8"/>
    <w:rsid w:val="32AA2763"/>
    <w:rsid w:val="32C43BB4"/>
    <w:rsid w:val="32D2680E"/>
    <w:rsid w:val="32D41317"/>
    <w:rsid w:val="32DD28CF"/>
    <w:rsid w:val="32E02A4A"/>
    <w:rsid w:val="32E31C0C"/>
    <w:rsid w:val="32E33927"/>
    <w:rsid w:val="32ED7DBC"/>
    <w:rsid w:val="32F20BA1"/>
    <w:rsid w:val="32F87AAA"/>
    <w:rsid w:val="331D532B"/>
    <w:rsid w:val="331E5BF9"/>
    <w:rsid w:val="33291357"/>
    <w:rsid w:val="333B42A0"/>
    <w:rsid w:val="333C354C"/>
    <w:rsid w:val="3345272C"/>
    <w:rsid w:val="3345642D"/>
    <w:rsid w:val="33540C46"/>
    <w:rsid w:val="33605473"/>
    <w:rsid w:val="33627F5C"/>
    <w:rsid w:val="33650012"/>
    <w:rsid w:val="3368727C"/>
    <w:rsid w:val="336D257A"/>
    <w:rsid w:val="336E0D3D"/>
    <w:rsid w:val="337172AC"/>
    <w:rsid w:val="337A1E12"/>
    <w:rsid w:val="33AC3853"/>
    <w:rsid w:val="33B53EC5"/>
    <w:rsid w:val="33B87FBE"/>
    <w:rsid w:val="33BB56B2"/>
    <w:rsid w:val="33CB4108"/>
    <w:rsid w:val="33CD6C47"/>
    <w:rsid w:val="33D72119"/>
    <w:rsid w:val="33FD2AF7"/>
    <w:rsid w:val="34073141"/>
    <w:rsid w:val="34094B83"/>
    <w:rsid w:val="34126A7A"/>
    <w:rsid w:val="341720EA"/>
    <w:rsid w:val="34197B66"/>
    <w:rsid w:val="341B2B39"/>
    <w:rsid w:val="341D6126"/>
    <w:rsid w:val="342A79A4"/>
    <w:rsid w:val="342E63AB"/>
    <w:rsid w:val="343B4426"/>
    <w:rsid w:val="343C7DD2"/>
    <w:rsid w:val="34862B94"/>
    <w:rsid w:val="34882D57"/>
    <w:rsid w:val="348F514A"/>
    <w:rsid w:val="34902BCC"/>
    <w:rsid w:val="349B5B36"/>
    <w:rsid w:val="34AB7C10"/>
    <w:rsid w:val="34C51801"/>
    <w:rsid w:val="34C630A6"/>
    <w:rsid w:val="34CE6CFC"/>
    <w:rsid w:val="34D01549"/>
    <w:rsid w:val="34DB0FEF"/>
    <w:rsid w:val="35045109"/>
    <w:rsid w:val="350548F5"/>
    <w:rsid w:val="3507280B"/>
    <w:rsid w:val="351F0DF2"/>
    <w:rsid w:val="35397B62"/>
    <w:rsid w:val="35472710"/>
    <w:rsid w:val="354F6405"/>
    <w:rsid w:val="355F1FA0"/>
    <w:rsid w:val="35651F0B"/>
    <w:rsid w:val="356838A1"/>
    <w:rsid w:val="356C6CD7"/>
    <w:rsid w:val="357013A0"/>
    <w:rsid w:val="35765ED3"/>
    <w:rsid w:val="3588525A"/>
    <w:rsid w:val="35A1313E"/>
    <w:rsid w:val="35A35F0C"/>
    <w:rsid w:val="35AC4B87"/>
    <w:rsid w:val="35AE7FF5"/>
    <w:rsid w:val="35B12CA3"/>
    <w:rsid w:val="35B64ED5"/>
    <w:rsid w:val="35C205A6"/>
    <w:rsid w:val="35C461B8"/>
    <w:rsid w:val="35D12527"/>
    <w:rsid w:val="35DB5B64"/>
    <w:rsid w:val="360C6689"/>
    <w:rsid w:val="36122B11"/>
    <w:rsid w:val="36136A29"/>
    <w:rsid w:val="361671F3"/>
    <w:rsid w:val="361F6B5B"/>
    <w:rsid w:val="36325B28"/>
    <w:rsid w:val="3639269E"/>
    <w:rsid w:val="363A5186"/>
    <w:rsid w:val="363E00BC"/>
    <w:rsid w:val="36454179"/>
    <w:rsid w:val="36545D30"/>
    <w:rsid w:val="36697971"/>
    <w:rsid w:val="368848E4"/>
    <w:rsid w:val="368C564F"/>
    <w:rsid w:val="36940D18"/>
    <w:rsid w:val="36B21F50"/>
    <w:rsid w:val="36B9654B"/>
    <w:rsid w:val="36BC067C"/>
    <w:rsid w:val="36BE318C"/>
    <w:rsid w:val="36C71F27"/>
    <w:rsid w:val="36D37903"/>
    <w:rsid w:val="36E72644"/>
    <w:rsid w:val="36E94025"/>
    <w:rsid w:val="36FB6771"/>
    <w:rsid w:val="370255F0"/>
    <w:rsid w:val="370F4A1F"/>
    <w:rsid w:val="37203C45"/>
    <w:rsid w:val="37381FB7"/>
    <w:rsid w:val="373D5E8D"/>
    <w:rsid w:val="3748403E"/>
    <w:rsid w:val="374A6DE3"/>
    <w:rsid w:val="37514B9A"/>
    <w:rsid w:val="376F7781"/>
    <w:rsid w:val="37712C84"/>
    <w:rsid w:val="3773049B"/>
    <w:rsid w:val="37770A23"/>
    <w:rsid w:val="377F604B"/>
    <w:rsid w:val="37921C28"/>
    <w:rsid w:val="379E228C"/>
    <w:rsid w:val="37BB7DB0"/>
    <w:rsid w:val="37C676E7"/>
    <w:rsid w:val="37CA1607"/>
    <w:rsid w:val="37DF45AB"/>
    <w:rsid w:val="37E37D28"/>
    <w:rsid w:val="37F3584F"/>
    <w:rsid w:val="37FE18BF"/>
    <w:rsid w:val="380037ED"/>
    <w:rsid w:val="380331B1"/>
    <w:rsid w:val="38145D11"/>
    <w:rsid w:val="381E631D"/>
    <w:rsid w:val="38373C47"/>
    <w:rsid w:val="383B3F89"/>
    <w:rsid w:val="38442871"/>
    <w:rsid w:val="38443880"/>
    <w:rsid w:val="38481D4C"/>
    <w:rsid w:val="38636287"/>
    <w:rsid w:val="388138AD"/>
    <w:rsid w:val="38881B73"/>
    <w:rsid w:val="388B3264"/>
    <w:rsid w:val="388D3844"/>
    <w:rsid w:val="389313C3"/>
    <w:rsid w:val="38945683"/>
    <w:rsid w:val="38A02646"/>
    <w:rsid w:val="38B90A1D"/>
    <w:rsid w:val="38C57CB8"/>
    <w:rsid w:val="38D33D6A"/>
    <w:rsid w:val="38D57736"/>
    <w:rsid w:val="38DD2FC1"/>
    <w:rsid w:val="38E048A9"/>
    <w:rsid w:val="38ED59F4"/>
    <w:rsid w:val="38EE3475"/>
    <w:rsid w:val="38EF29FE"/>
    <w:rsid w:val="38F305CA"/>
    <w:rsid w:val="38FF0673"/>
    <w:rsid w:val="390501E9"/>
    <w:rsid w:val="390B5237"/>
    <w:rsid w:val="390C2A26"/>
    <w:rsid w:val="3920060D"/>
    <w:rsid w:val="39267FAD"/>
    <w:rsid w:val="393670ED"/>
    <w:rsid w:val="394609B2"/>
    <w:rsid w:val="39527E58"/>
    <w:rsid w:val="395D4846"/>
    <w:rsid w:val="39637FE0"/>
    <w:rsid w:val="396543B9"/>
    <w:rsid w:val="39704250"/>
    <w:rsid w:val="39867BC4"/>
    <w:rsid w:val="39902C7F"/>
    <w:rsid w:val="39974975"/>
    <w:rsid w:val="39A2421E"/>
    <w:rsid w:val="39A63461"/>
    <w:rsid w:val="39A660DC"/>
    <w:rsid w:val="39AB6C14"/>
    <w:rsid w:val="39AD23E6"/>
    <w:rsid w:val="39B07E10"/>
    <w:rsid w:val="39B47E9C"/>
    <w:rsid w:val="39BC1544"/>
    <w:rsid w:val="39E47A18"/>
    <w:rsid w:val="39F17820"/>
    <w:rsid w:val="39FE691F"/>
    <w:rsid w:val="3A0117FD"/>
    <w:rsid w:val="3A0506EB"/>
    <w:rsid w:val="3A1409D3"/>
    <w:rsid w:val="3A15294C"/>
    <w:rsid w:val="3A300675"/>
    <w:rsid w:val="3A341E78"/>
    <w:rsid w:val="3A526936"/>
    <w:rsid w:val="3A55071F"/>
    <w:rsid w:val="3A642065"/>
    <w:rsid w:val="3A705B70"/>
    <w:rsid w:val="3A751FF8"/>
    <w:rsid w:val="3A757781"/>
    <w:rsid w:val="3A88022A"/>
    <w:rsid w:val="3AAB0D49"/>
    <w:rsid w:val="3AB73E40"/>
    <w:rsid w:val="3AC415DE"/>
    <w:rsid w:val="3ACA7503"/>
    <w:rsid w:val="3AD34590"/>
    <w:rsid w:val="3AD72F96"/>
    <w:rsid w:val="3B013DDA"/>
    <w:rsid w:val="3B086FE8"/>
    <w:rsid w:val="3B173D7F"/>
    <w:rsid w:val="3B1C6F9E"/>
    <w:rsid w:val="3B1F5FD8"/>
    <w:rsid w:val="3B3336B0"/>
    <w:rsid w:val="3B3870A8"/>
    <w:rsid w:val="3B5366F9"/>
    <w:rsid w:val="3B570ADF"/>
    <w:rsid w:val="3B675AC3"/>
    <w:rsid w:val="3B6D6E35"/>
    <w:rsid w:val="3B763781"/>
    <w:rsid w:val="3B7A6022"/>
    <w:rsid w:val="3B7B092E"/>
    <w:rsid w:val="3B8B05C8"/>
    <w:rsid w:val="3BA46E66"/>
    <w:rsid w:val="3BAA4FA2"/>
    <w:rsid w:val="3BAB233E"/>
    <w:rsid w:val="3BD329B1"/>
    <w:rsid w:val="3BE962B1"/>
    <w:rsid w:val="3BF218C0"/>
    <w:rsid w:val="3BF246D5"/>
    <w:rsid w:val="3BF317A6"/>
    <w:rsid w:val="3BF33692"/>
    <w:rsid w:val="3BF66C71"/>
    <w:rsid w:val="3C023065"/>
    <w:rsid w:val="3C08655F"/>
    <w:rsid w:val="3C0D3A8C"/>
    <w:rsid w:val="3C122D1E"/>
    <w:rsid w:val="3C19122D"/>
    <w:rsid w:val="3C1A2E28"/>
    <w:rsid w:val="3C2B16D6"/>
    <w:rsid w:val="3C3205D9"/>
    <w:rsid w:val="3C3732A5"/>
    <w:rsid w:val="3C3A6989"/>
    <w:rsid w:val="3C464471"/>
    <w:rsid w:val="3C520284"/>
    <w:rsid w:val="3C5345D6"/>
    <w:rsid w:val="3C585A10"/>
    <w:rsid w:val="3C6B6C2F"/>
    <w:rsid w:val="3C8342D6"/>
    <w:rsid w:val="3CB0609F"/>
    <w:rsid w:val="3CB2111D"/>
    <w:rsid w:val="3CB835C9"/>
    <w:rsid w:val="3CC629A1"/>
    <w:rsid w:val="3CCA24CC"/>
    <w:rsid w:val="3CD165D4"/>
    <w:rsid w:val="3CD176A4"/>
    <w:rsid w:val="3CDA4CE5"/>
    <w:rsid w:val="3CEB55B2"/>
    <w:rsid w:val="3CF125EE"/>
    <w:rsid w:val="3CFF021C"/>
    <w:rsid w:val="3D057D27"/>
    <w:rsid w:val="3D085EDC"/>
    <w:rsid w:val="3D1260E6"/>
    <w:rsid w:val="3D203209"/>
    <w:rsid w:val="3D292D62"/>
    <w:rsid w:val="3D2C1E19"/>
    <w:rsid w:val="3D3E08DB"/>
    <w:rsid w:val="3D5511D0"/>
    <w:rsid w:val="3D56682D"/>
    <w:rsid w:val="3D636707"/>
    <w:rsid w:val="3D6B67D2"/>
    <w:rsid w:val="3D7B3A01"/>
    <w:rsid w:val="3D947997"/>
    <w:rsid w:val="3D9D4198"/>
    <w:rsid w:val="3DA32CD6"/>
    <w:rsid w:val="3DC271E1"/>
    <w:rsid w:val="3DCD1469"/>
    <w:rsid w:val="3DD81385"/>
    <w:rsid w:val="3DE970A0"/>
    <w:rsid w:val="3DF60B3C"/>
    <w:rsid w:val="3E165168"/>
    <w:rsid w:val="3E2F3F92"/>
    <w:rsid w:val="3E37661F"/>
    <w:rsid w:val="3E3D21F3"/>
    <w:rsid w:val="3E5776B4"/>
    <w:rsid w:val="3E644A5F"/>
    <w:rsid w:val="3E79568B"/>
    <w:rsid w:val="3E923129"/>
    <w:rsid w:val="3E9E476F"/>
    <w:rsid w:val="3EC1075A"/>
    <w:rsid w:val="3EC22666"/>
    <w:rsid w:val="3EC42287"/>
    <w:rsid w:val="3ECA2BC2"/>
    <w:rsid w:val="3ED77E38"/>
    <w:rsid w:val="3EE17638"/>
    <w:rsid w:val="3EE72F28"/>
    <w:rsid w:val="3EE97FF5"/>
    <w:rsid w:val="3EEF16A4"/>
    <w:rsid w:val="3EF92BD3"/>
    <w:rsid w:val="3EFC2E84"/>
    <w:rsid w:val="3F051328"/>
    <w:rsid w:val="3F0A4990"/>
    <w:rsid w:val="3F1332B5"/>
    <w:rsid w:val="3F1A6C22"/>
    <w:rsid w:val="3F222322"/>
    <w:rsid w:val="3F2548AA"/>
    <w:rsid w:val="3F297A2D"/>
    <w:rsid w:val="3F3D6455"/>
    <w:rsid w:val="3F3E3056"/>
    <w:rsid w:val="3F41554B"/>
    <w:rsid w:val="3F470123"/>
    <w:rsid w:val="3F4B59E3"/>
    <w:rsid w:val="3F562A99"/>
    <w:rsid w:val="3F602F93"/>
    <w:rsid w:val="3F61340A"/>
    <w:rsid w:val="3F690816"/>
    <w:rsid w:val="3F713035"/>
    <w:rsid w:val="3F777DC6"/>
    <w:rsid w:val="3F7C4BA3"/>
    <w:rsid w:val="3F7D74B7"/>
    <w:rsid w:val="3F7F07A8"/>
    <w:rsid w:val="3F813355"/>
    <w:rsid w:val="3F8B25E1"/>
    <w:rsid w:val="3F9B22EA"/>
    <w:rsid w:val="3FA20DFB"/>
    <w:rsid w:val="3FA21C75"/>
    <w:rsid w:val="3FA43613"/>
    <w:rsid w:val="3FA937FE"/>
    <w:rsid w:val="3FAB2D9B"/>
    <w:rsid w:val="3FB13CDF"/>
    <w:rsid w:val="3FB923A9"/>
    <w:rsid w:val="3FC0057E"/>
    <w:rsid w:val="3FD249C2"/>
    <w:rsid w:val="3FDF47C0"/>
    <w:rsid w:val="3FE478DE"/>
    <w:rsid w:val="3FF23303"/>
    <w:rsid w:val="3FF41041"/>
    <w:rsid w:val="3FF92C09"/>
    <w:rsid w:val="3FFC5807"/>
    <w:rsid w:val="3FFE5548"/>
    <w:rsid w:val="40042C13"/>
    <w:rsid w:val="40045412"/>
    <w:rsid w:val="40066116"/>
    <w:rsid w:val="401157AC"/>
    <w:rsid w:val="401663B0"/>
    <w:rsid w:val="402729A1"/>
    <w:rsid w:val="402A5051"/>
    <w:rsid w:val="402C4A12"/>
    <w:rsid w:val="40333762"/>
    <w:rsid w:val="403D5640"/>
    <w:rsid w:val="4045162B"/>
    <w:rsid w:val="404C01F4"/>
    <w:rsid w:val="40644850"/>
    <w:rsid w:val="406903B9"/>
    <w:rsid w:val="4088347D"/>
    <w:rsid w:val="40926FFF"/>
    <w:rsid w:val="40A06315"/>
    <w:rsid w:val="40A76572"/>
    <w:rsid w:val="40BB1D94"/>
    <w:rsid w:val="40C94510"/>
    <w:rsid w:val="40CF5D75"/>
    <w:rsid w:val="40E47D03"/>
    <w:rsid w:val="40EC0003"/>
    <w:rsid w:val="40F70C60"/>
    <w:rsid w:val="40F70F22"/>
    <w:rsid w:val="410E3664"/>
    <w:rsid w:val="411A640A"/>
    <w:rsid w:val="412D7DC5"/>
    <w:rsid w:val="413F7D20"/>
    <w:rsid w:val="415C0FFE"/>
    <w:rsid w:val="416A04F3"/>
    <w:rsid w:val="417515C4"/>
    <w:rsid w:val="417813B0"/>
    <w:rsid w:val="4180266E"/>
    <w:rsid w:val="418522CF"/>
    <w:rsid w:val="419B1A30"/>
    <w:rsid w:val="419B5489"/>
    <w:rsid w:val="419D156E"/>
    <w:rsid w:val="41B37882"/>
    <w:rsid w:val="41BD3269"/>
    <w:rsid w:val="41BF2EFD"/>
    <w:rsid w:val="41EC3DB8"/>
    <w:rsid w:val="41F60E45"/>
    <w:rsid w:val="41F768C6"/>
    <w:rsid w:val="41F9564C"/>
    <w:rsid w:val="41FD6251"/>
    <w:rsid w:val="4200575A"/>
    <w:rsid w:val="420B2E12"/>
    <w:rsid w:val="420D52FC"/>
    <w:rsid w:val="42123A64"/>
    <w:rsid w:val="42254916"/>
    <w:rsid w:val="42325426"/>
    <w:rsid w:val="423B3BDF"/>
    <w:rsid w:val="423F438F"/>
    <w:rsid w:val="42436D64"/>
    <w:rsid w:val="424B4F9B"/>
    <w:rsid w:val="4262136F"/>
    <w:rsid w:val="4262143A"/>
    <w:rsid w:val="42633F63"/>
    <w:rsid w:val="42644CFC"/>
    <w:rsid w:val="42760E86"/>
    <w:rsid w:val="4278399C"/>
    <w:rsid w:val="429607F4"/>
    <w:rsid w:val="42964ED3"/>
    <w:rsid w:val="42A46A07"/>
    <w:rsid w:val="42A664C9"/>
    <w:rsid w:val="42AC2A88"/>
    <w:rsid w:val="42B61AD9"/>
    <w:rsid w:val="42B754F6"/>
    <w:rsid w:val="42C22B17"/>
    <w:rsid w:val="42C32D8E"/>
    <w:rsid w:val="42C43E4A"/>
    <w:rsid w:val="42EF5A89"/>
    <w:rsid w:val="42F17DE3"/>
    <w:rsid w:val="43116279"/>
    <w:rsid w:val="431D412A"/>
    <w:rsid w:val="431E3557"/>
    <w:rsid w:val="43207BF5"/>
    <w:rsid w:val="433958D4"/>
    <w:rsid w:val="435145A3"/>
    <w:rsid w:val="436141D4"/>
    <w:rsid w:val="43683698"/>
    <w:rsid w:val="43734F23"/>
    <w:rsid w:val="437A6645"/>
    <w:rsid w:val="438837D9"/>
    <w:rsid w:val="43AD4B99"/>
    <w:rsid w:val="43B71677"/>
    <w:rsid w:val="43BF1735"/>
    <w:rsid w:val="43D21348"/>
    <w:rsid w:val="43D32954"/>
    <w:rsid w:val="43D663AA"/>
    <w:rsid w:val="43E86974"/>
    <w:rsid w:val="43EE07D1"/>
    <w:rsid w:val="440509D8"/>
    <w:rsid w:val="440670B9"/>
    <w:rsid w:val="44122A54"/>
    <w:rsid w:val="44127486"/>
    <w:rsid w:val="44167CF1"/>
    <w:rsid w:val="44170F04"/>
    <w:rsid w:val="4423370E"/>
    <w:rsid w:val="4424632B"/>
    <w:rsid w:val="4431076F"/>
    <w:rsid w:val="443E0203"/>
    <w:rsid w:val="443F2387"/>
    <w:rsid w:val="444C6D9A"/>
    <w:rsid w:val="445F6EA3"/>
    <w:rsid w:val="446812D0"/>
    <w:rsid w:val="44687568"/>
    <w:rsid w:val="447D53DA"/>
    <w:rsid w:val="448B2102"/>
    <w:rsid w:val="449213C0"/>
    <w:rsid w:val="44A05848"/>
    <w:rsid w:val="44A66CC7"/>
    <w:rsid w:val="44BB5E0D"/>
    <w:rsid w:val="44BF04AC"/>
    <w:rsid w:val="44C6485B"/>
    <w:rsid w:val="44D47F78"/>
    <w:rsid w:val="44E74A1A"/>
    <w:rsid w:val="44F341EC"/>
    <w:rsid w:val="44F55D49"/>
    <w:rsid w:val="45010BC3"/>
    <w:rsid w:val="45096B0E"/>
    <w:rsid w:val="451664AB"/>
    <w:rsid w:val="451F03F8"/>
    <w:rsid w:val="452934DF"/>
    <w:rsid w:val="454462E0"/>
    <w:rsid w:val="455517CB"/>
    <w:rsid w:val="455A36D4"/>
    <w:rsid w:val="456A63C1"/>
    <w:rsid w:val="456E643F"/>
    <w:rsid w:val="456F374B"/>
    <w:rsid w:val="457B748C"/>
    <w:rsid w:val="458062A0"/>
    <w:rsid w:val="45884444"/>
    <w:rsid w:val="45892025"/>
    <w:rsid w:val="459E201D"/>
    <w:rsid w:val="45AD56DD"/>
    <w:rsid w:val="45B56078"/>
    <w:rsid w:val="45C53BEC"/>
    <w:rsid w:val="45E14C32"/>
    <w:rsid w:val="45E735EE"/>
    <w:rsid w:val="45EE77CB"/>
    <w:rsid w:val="45FC1DF0"/>
    <w:rsid w:val="460C040C"/>
    <w:rsid w:val="46121293"/>
    <w:rsid w:val="46224B5F"/>
    <w:rsid w:val="46233919"/>
    <w:rsid w:val="46264190"/>
    <w:rsid w:val="462C75E7"/>
    <w:rsid w:val="462C77DD"/>
    <w:rsid w:val="4630299B"/>
    <w:rsid w:val="46304007"/>
    <w:rsid w:val="46512F2D"/>
    <w:rsid w:val="465C457C"/>
    <w:rsid w:val="46633298"/>
    <w:rsid w:val="46662510"/>
    <w:rsid w:val="46697A42"/>
    <w:rsid w:val="46944DAD"/>
    <w:rsid w:val="46A22BC2"/>
    <w:rsid w:val="46AB452A"/>
    <w:rsid w:val="46B97B18"/>
    <w:rsid w:val="46C05C6C"/>
    <w:rsid w:val="46D6454D"/>
    <w:rsid w:val="46D77B0A"/>
    <w:rsid w:val="46D8110B"/>
    <w:rsid w:val="46D90781"/>
    <w:rsid w:val="46DA68F8"/>
    <w:rsid w:val="46E25ADA"/>
    <w:rsid w:val="46F55BFC"/>
    <w:rsid w:val="47075B52"/>
    <w:rsid w:val="47106043"/>
    <w:rsid w:val="47144FF0"/>
    <w:rsid w:val="473D2970"/>
    <w:rsid w:val="475C411F"/>
    <w:rsid w:val="476D1ECB"/>
    <w:rsid w:val="477B1BE5"/>
    <w:rsid w:val="47815802"/>
    <w:rsid w:val="47850D93"/>
    <w:rsid w:val="47931F51"/>
    <w:rsid w:val="47981D85"/>
    <w:rsid w:val="479D5E13"/>
    <w:rsid w:val="479F1710"/>
    <w:rsid w:val="47B05746"/>
    <w:rsid w:val="47B57ACB"/>
    <w:rsid w:val="47DA45E6"/>
    <w:rsid w:val="47DC6836"/>
    <w:rsid w:val="47EF01B5"/>
    <w:rsid w:val="47FD5F9D"/>
    <w:rsid w:val="480F0EBE"/>
    <w:rsid w:val="481F6185"/>
    <w:rsid w:val="48344275"/>
    <w:rsid w:val="483B158F"/>
    <w:rsid w:val="484822CF"/>
    <w:rsid w:val="485C5346"/>
    <w:rsid w:val="48680D74"/>
    <w:rsid w:val="48686BDB"/>
    <w:rsid w:val="486B5F90"/>
    <w:rsid w:val="486C0D5D"/>
    <w:rsid w:val="486E6BD1"/>
    <w:rsid w:val="48726EDC"/>
    <w:rsid w:val="48873479"/>
    <w:rsid w:val="488904F4"/>
    <w:rsid w:val="488E2A5A"/>
    <w:rsid w:val="488F58C9"/>
    <w:rsid w:val="489134F8"/>
    <w:rsid w:val="48975B58"/>
    <w:rsid w:val="48992E5E"/>
    <w:rsid w:val="489A4163"/>
    <w:rsid w:val="48A10108"/>
    <w:rsid w:val="48A17458"/>
    <w:rsid w:val="48A84141"/>
    <w:rsid w:val="48AA71B4"/>
    <w:rsid w:val="48B27220"/>
    <w:rsid w:val="48BF3D66"/>
    <w:rsid w:val="48C3195D"/>
    <w:rsid w:val="48C8020B"/>
    <w:rsid w:val="48CF365E"/>
    <w:rsid w:val="48D33F11"/>
    <w:rsid w:val="48E424CF"/>
    <w:rsid w:val="48EB16FF"/>
    <w:rsid w:val="492A3415"/>
    <w:rsid w:val="492E569F"/>
    <w:rsid w:val="493D0FBF"/>
    <w:rsid w:val="49421B3D"/>
    <w:rsid w:val="494A174C"/>
    <w:rsid w:val="494E087D"/>
    <w:rsid w:val="495245DA"/>
    <w:rsid w:val="49590540"/>
    <w:rsid w:val="49597C34"/>
    <w:rsid w:val="49624B79"/>
    <w:rsid w:val="49636A72"/>
    <w:rsid w:val="496B7702"/>
    <w:rsid w:val="498B1E56"/>
    <w:rsid w:val="499275C2"/>
    <w:rsid w:val="49927F9A"/>
    <w:rsid w:val="49972CE9"/>
    <w:rsid w:val="49A452DD"/>
    <w:rsid w:val="49A71AE5"/>
    <w:rsid w:val="49BA504E"/>
    <w:rsid w:val="49C91C9A"/>
    <w:rsid w:val="49CE3A51"/>
    <w:rsid w:val="49D84CA2"/>
    <w:rsid w:val="49E65187"/>
    <w:rsid w:val="49FB156F"/>
    <w:rsid w:val="4A0458AE"/>
    <w:rsid w:val="4A097A10"/>
    <w:rsid w:val="4A290614"/>
    <w:rsid w:val="4A2A6F30"/>
    <w:rsid w:val="4A2A70DA"/>
    <w:rsid w:val="4A2C37FE"/>
    <w:rsid w:val="4A4628E8"/>
    <w:rsid w:val="4A493FFE"/>
    <w:rsid w:val="4A4D2488"/>
    <w:rsid w:val="4A532A70"/>
    <w:rsid w:val="4A557D4A"/>
    <w:rsid w:val="4A584F28"/>
    <w:rsid w:val="4A6820CB"/>
    <w:rsid w:val="4A6D602B"/>
    <w:rsid w:val="4A70531A"/>
    <w:rsid w:val="4A8E2CDD"/>
    <w:rsid w:val="4A93262E"/>
    <w:rsid w:val="4AA217EF"/>
    <w:rsid w:val="4AE6633A"/>
    <w:rsid w:val="4AE74670"/>
    <w:rsid w:val="4AEE787E"/>
    <w:rsid w:val="4AF455AA"/>
    <w:rsid w:val="4AF70E3F"/>
    <w:rsid w:val="4AFC6B94"/>
    <w:rsid w:val="4AFE0BFF"/>
    <w:rsid w:val="4B0B0B2B"/>
    <w:rsid w:val="4B0B1F82"/>
    <w:rsid w:val="4B0D4548"/>
    <w:rsid w:val="4B134E01"/>
    <w:rsid w:val="4B1A19C7"/>
    <w:rsid w:val="4B39377F"/>
    <w:rsid w:val="4B3969F9"/>
    <w:rsid w:val="4B5070AA"/>
    <w:rsid w:val="4B607556"/>
    <w:rsid w:val="4B7602B2"/>
    <w:rsid w:val="4B9E0031"/>
    <w:rsid w:val="4BB12E79"/>
    <w:rsid w:val="4BC36AA9"/>
    <w:rsid w:val="4BC61AE0"/>
    <w:rsid w:val="4BCA23EA"/>
    <w:rsid w:val="4BD1785D"/>
    <w:rsid w:val="4BD402A1"/>
    <w:rsid w:val="4BD40DF5"/>
    <w:rsid w:val="4BE95C1C"/>
    <w:rsid w:val="4BF4581D"/>
    <w:rsid w:val="4BF60026"/>
    <w:rsid w:val="4BF835B4"/>
    <w:rsid w:val="4C0A1A04"/>
    <w:rsid w:val="4C0E7CD6"/>
    <w:rsid w:val="4C183021"/>
    <w:rsid w:val="4C203473"/>
    <w:rsid w:val="4C244078"/>
    <w:rsid w:val="4C260043"/>
    <w:rsid w:val="4C286690"/>
    <w:rsid w:val="4C30370D"/>
    <w:rsid w:val="4C346885"/>
    <w:rsid w:val="4C361DBE"/>
    <w:rsid w:val="4C396827"/>
    <w:rsid w:val="4C3E3E7E"/>
    <w:rsid w:val="4C524F47"/>
    <w:rsid w:val="4C7212DC"/>
    <w:rsid w:val="4C791583"/>
    <w:rsid w:val="4C7B64DE"/>
    <w:rsid w:val="4C804C6C"/>
    <w:rsid w:val="4C8D5859"/>
    <w:rsid w:val="4C9D62C0"/>
    <w:rsid w:val="4CA26DF3"/>
    <w:rsid w:val="4CAD655A"/>
    <w:rsid w:val="4CC56CAE"/>
    <w:rsid w:val="4CCE04F4"/>
    <w:rsid w:val="4CD7191D"/>
    <w:rsid w:val="4CD953AD"/>
    <w:rsid w:val="4CF15D4A"/>
    <w:rsid w:val="4D2968C7"/>
    <w:rsid w:val="4D297F11"/>
    <w:rsid w:val="4D3D0736"/>
    <w:rsid w:val="4D4C1C61"/>
    <w:rsid w:val="4D502899"/>
    <w:rsid w:val="4D563D74"/>
    <w:rsid w:val="4D72759D"/>
    <w:rsid w:val="4D7315B2"/>
    <w:rsid w:val="4D7746A5"/>
    <w:rsid w:val="4D8130F7"/>
    <w:rsid w:val="4D8701DC"/>
    <w:rsid w:val="4D88409F"/>
    <w:rsid w:val="4D895B16"/>
    <w:rsid w:val="4DAB449F"/>
    <w:rsid w:val="4DAC766E"/>
    <w:rsid w:val="4DB10AAF"/>
    <w:rsid w:val="4DB22F21"/>
    <w:rsid w:val="4DBB737A"/>
    <w:rsid w:val="4DDF0002"/>
    <w:rsid w:val="4DE230D4"/>
    <w:rsid w:val="4DE83B68"/>
    <w:rsid w:val="4DEA1C7A"/>
    <w:rsid w:val="4DF6754B"/>
    <w:rsid w:val="4E0163DB"/>
    <w:rsid w:val="4E022012"/>
    <w:rsid w:val="4E101C09"/>
    <w:rsid w:val="4E1229AB"/>
    <w:rsid w:val="4E1605F3"/>
    <w:rsid w:val="4E1857AC"/>
    <w:rsid w:val="4E233868"/>
    <w:rsid w:val="4E283848"/>
    <w:rsid w:val="4E300C55"/>
    <w:rsid w:val="4E3B5FFC"/>
    <w:rsid w:val="4E504D36"/>
    <w:rsid w:val="4E543413"/>
    <w:rsid w:val="4E56581C"/>
    <w:rsid w:val="4E5F6938"/>
    <w:rsid w:val="4E634927"/>
    <w:rsid w:val="4E6A7B35"/>
    <w:rsid w:val="4E7B76CF"/>
    <w:rsid w:val="4E8165B5"/>
    <w:rsid w:val="4E844DE3"/>
    <w:rsid w:val="4E914B66"/>
    <w:rsid w:val="4E954179"/>
    <w:rsid w:val="4E962380"/>
    <w:rsid w:val="4E9A7F0C"/>
    <w:rsid w:val="4EB20F2D"/>
    <w:rsid w:val="4EC76ACA"/>
    <w:rsid w:val="4EC77ECE"/>
    <w:rsid w:val="4ED06C37"/>
    <w:rsid w:val="4ED66E64"/>
    <w:rsid w:val="4EE221C2"/>
    <w:rsid w:val="4EEF7CB4"/>
    <w:rsid w:val="4F045706"/>
    <w:rsid w:val="4F0464CD"/>
    <w:rsid w:val="4F09038B"/>
    <w:rsid w:val="4F096D62"/>
    <w:rsid w:val="4F0C70AD"/>
    <w:rsid w:val="4F3746AF"/>
    <w:rsid w:val="4F573F3A"/>
    <w:rsid w:val="4F5E33BD"/>
    <w:rsid w:val="4F6D1D07"/>
    <w:rsid w:val="4F6E4D2C"/>
    <w:rsid w:val="4F7E1BFB"/>
    <w:rsid w:val="4FAF6B47"/>
    <w:rsid w:val="4FB43FF8"/>
    <w:rsid w:val="4FB91F5A"/>
    <w:rsid w:val="4FBF3087"/>
    <w:rsid w:val="4FDD6CA1"/>
    <w:rsid w:val="4FEA2984"/>
    <w:rsid w:val="4FFA0CE3"/>
    <w:rsid w:val="4FFB79E6"/>
    <w:rsid w:val="500245BC"/>
    <w:rsid w:val="50044053"/>
    <w:rsid w:val="501216AE"/>
    <w:rsid w:val="501B64CF"/>
    <w:rsid w:val="50224E87"/>
    <w:rsid w:val="50282F8E"/>
    <w:rsid w:val="503E322A"/>
    <w:rsid w:val="504273BB"/>
    <w:rsid w:val="504F0C4F"/>
    <w:rsid w:val="50537B08"/>
    <w:rsid w:val="50541EBB"/>
    <w:rsid w:val="5057485D"/>
    <w:rsid w:val="50590833"/>
    <w:rsid w:val="505B02E5"/>
    <w:rsid w:val="50701184"/>
    <w:rsid w:val="50732E17"/>
    <w:rsid w:val="50973E37"/>
    <w:rsid w:val="509F6C44"/>
    <w:rsid w:val="50AA309A"/>
    <w:rsid w:val="50AE44EC"/>
    <w:rsid w:val="50B9287D"/>
    <w:rsid w:val="50BE3E58"/>
    <w:rsid w:val="50C24B59"/>
    <w:rsid w:val="50C416FE"/>
    <w:rsid w:val="50C50C71"/>
    <w:rsid w:val="50D259A5"/>
    <w:rsid w:val="50D878AE"/>
    <w:rsid w:val="50E67EC9"/>
    <w:rsid w:val="50EF668F"/>
    <w:rsid w:val="50EF74D3"/>
    <w:rsid w:val="50F5242C"/>
    <w:rsid w:val="51014F1E"/>
    <w:rsid w:val="511F2EFD"/>
    <w:rsid w:val="51217F46"/>
    <w:rsid w:val="5125780B"/>
    <w:rsid w:val="51263156"/>
    <w:rsid w:val="513D003F"/>
    <w:rsid w:val="51436F5E"/>
    <w:rsid w:val="515526FB"/>
    <w:rsid w:val="515736A2"/>
    <w:rsid w:val="515B773B"/>
    <w:rsid w:val="515E57AB"/>
    <w:rsid w:val="515F688E"/>
    <w:rsid w:val="51616E4C"/>
    <w:rsid w:val="517819B6"/>
    <w:rsid w:val="519252DC"/>
    <w:rsid w:val="51A33B38"/>
    <w:rsid w:val="51A45CFD"/>
    <w:rsid w:val="51A87F87"/>
    <w:rsid w:val="51B76F1C"/>
    <w:rsid w:val="51BA07AE"/>
    <w:rsid w:val="51D75253"/>
    <w:rsid w:val="51EF02F3"/>
    <w:rsid w:val="52213FCC"/>
    <w:rsid w:val="5232476F"/>
    <w:rsid w:val="52340A1C"/>
    <w:rsid w:val="52381134"/>
    <w:rsid w:val="52402510"/>
    <w:rsid w:val="524974D0"/>
    <w:rsid w:val="524B119C"/>
    <w:rsid w:val="52510691"/>
    <w:rsid w:val="525D019F"/>
    <w:rsid w:val="526679BE"/>
    <w:rsid w:val="52842E00"/>
    <w:rsid w:val="528A6CCD"/>
    <w:rsid w:val="52A87CCA"/>
    <w:rsid w:val="52AA3393"/>
    <w:rsid w:val="52BA32C7"/>
    <w:rsid w:val="52C45877"/>
    <w:rsid w:val="52CC5679"/>
    <w:rsid w:val="52DB37FC"/>
    <w:rsid w:val="52F2095C"/>
    <w:rsid w:val="52FE315E"/>
    <w:rsid w:val="53041CE3"/>
    <w:rsid w:val="531A3179"/>
    <w:rsid w:val="531B2AA4"/>
    <w:rsid w:val="5325207B"/>
    <w:rsid w:val="53345605"/>
    <w:rsid w:val="53366494"/>
    <w:rsid w:val="534A6E44"/>
    <w:rsid w:val="534F2503"/>
    <w:rsid w:val="535977E8"/>
    <w:rsid w:val="53655F2D"/>
    <w:rsid w:val="5368532D"/>
    <w:rsid w:val="536E65EE"/>
    <w:rsid w:val="53760707"/>
    <w:rsid w:val="537D707B"/>
    <w:rsid w:val="538C6236"/>
    <w:rsid w:val="538D6EA3"/>
    <w:rsid w:val="53973F76"/>
    <w:rsid w:val="539C16BB"/>
    <w:rsid w:val="53A71A54"/>
    <w:rsid w:val="53A854CE"/>
    <w:rsid w:val="53B0035C"/>
    <w:rsid w:val="53C86210"/>
    <w:rsid w:val="53DA59D8"/>
    <w:rsid w:val="53DC24A5"/>
    <w:rsid w:val="53EC3451"/>
    <w:rsid w:val="53FD045B"/>
    <w:rsid w:val="53FE5EDD"/>
    <w:rsid w:val="54163D02"/>
    <w:rsid w:val="5417350F"/>
    <w:rsid w:val="54222A67"/>
    <w:rsid w:val="545400D4"/>
    <w:rsid w:val="545B29F3"/>
    <w:rsid w:val="545C6276"/>
    <w:rsid w:val="5462262B"/>
    <w:rsid w:val="54745B1B"/>
    <w:rsid w:val="548F1F48"/>
    <w:rsid w:val="54930210"/>
    <w:rsid w:val="549B6A74"/>
    <w:rsid w:val="549E50CC"/>
    <w:rsid w:val="54B33601"/>
    <w:rsid w:val="54BB1B13"/>
    <w:rsid w:val="54C02717"/>
    <w:rsid w:val="54C036F7"/>
    <w:rsid w:val="54D64CB1"/>
    <w:rsid w:val="54D8774C"/>
    <w:rsid w:val="54E8234E"/>
    <w:rsid w:val="54ED7587"/>
    <w:rsid w:val="54F55170"/>
    <w:rsid w:val="54F6754B"/>
    <w:rsid w:val="54F833EB"/>
    <w:rsid w:val="550046A7"/>
    <w:rsid w:val="550823A4"/>
    <w:rsid w:val="55093E11"/>
    <w:rsid w:val="55253741"/>
    <w:rsid w:val="55296CF6"/>
    <w:rsid w:val="553E4D85"/>
    <w:rsid w:val="554D0D12"/>
    <w:rsid w:val="554D4275"/>
    <w:rsid w:val="555064AE"/>
    <w:rsid w:val="5557453D"/>
    <w:rsid w:val="555A5CB6"/>
    <w:rsid w:val="555F0F94"/>
    <w:rsid w:val="558235BC"/>
    <w:rsid w:val="558746DF"/>
    <w:rsid w:val="55921982"/>
    <w:rsid w:val="55930A6E"/>
    <w:rsid w:val="55BF5E00"/>
    <w:rsid w:val="55E27377"/>
    <w:rsid w:val="55EA3C8C"/>
    <w:rsid w:val="55EC1E85"/>
    <w:rsid w:val="55F1427C"/>
    <w:rsid w:val="55F7666E"/>
    <w:rsid w:val="55FC469E"/>
    <w:rsid w:val="560E6542"/>
    <w:rsid w:val="56106BC1"/>
    <w:rsid w:val="561564BD"/>
    <w:rsid w:val="56283F7E"/>
    <w:rsid w:val="56330AB6"/>
    <w:rsid w:val="563D39D4"/>
    <w:rsid w:val="56440388"/>
    <w:rsid w:val="56462116"/>
    <w:rsid w:val="56497CB7"/>
    <w:rsid w:val="565A24B9"/>
    <w:rsid w:val="565C59BC"/>
    <w:rsid w:val="56694CD1"/>
    <w:rsid w:val="566A6AB7"/>
    <w:rsid w:val="566D36D8"/>
    <w:rsid w:val="56831772"/>
    <w:rsid w:val="56893008"/>
    <w:rsid w:val="568E440C"/>
    <w:rsid w:val="568F1608"/>
    <w:rsid w:val="56A75E3B"/>
    <w:rsid w:val="56A80F98"/>
    <w:rsid w:val="56B961EB"/>
    <w:rsid w:val="56DD775B"/>
    <w:rsid w:val="56EA11DA"/>
    <w:rsid w:val="56F271B4"/>
    <w:rsid w:val="56F6281B"/>
    <w:rsid w:val="56F65B9C"/>
    <w:rsid w:val="56F810BD"/>
    <w:rsid w:val="570B7237"/>
    <w:rsid w:val="571C5DFA"/>
    <w:rsid w:val="57255B67"/>
    <w:rsid w:val="572645B5"/>
    <w:rsid w:val="5728031E"/>
    <w:rsid w:val="57316C99"/>
    <w:rsid w:val="574064C4"/>
    <w:rsid w:val="57624867"/>
    <w:rsid w:val="577333DC"/>
    <w:rsid w:val="57794DE8"/>
    <w:rsid w:val="57824D56"/>
    <w:rsid w:val="578F76A4"/>
    <w:rsid w:val="579E50CE"/>
    <w:rsid w:val="57C5420B"/>
    <w:rsid w:val="57CC08F9"/>
    <w:rsid w:val="57D26340"/>
    <w:rsid w:val="57EF5034"/>
    <w:rsid w:val="57FE791B"/>
    <w:rsid w:val="58131AB9"/>
    <w:rsid w:val="58246325"/>
    <w:rsid w:val="58252A48"/>
    <w:rsid w:val="58273E97"/>
    <w:rsid w:val="583C4C28"/>
    <w:rsid w:val="5843585C"/>
    <w:rsid w:val="584D616C"/>
    <w:rsid w:val="584D6C9A"/>
    <w:rsid w:val="58537566"/>
    <w:rsid w:val="58636B34"/>
    <w:rsid w:val="58721869"/>
    <w:rsid w:val="588456CE"/>
    <w:rsid w:val="58984549"/>
    <w:rsid w:val="589907E9"/>
    <w:rsid w:val="589D0177"/>
    <w:rsid w:val="589E0471"/>
    <w:rsid w:val="58A23677"/>
    <w:rsid w:val="58B06573"/>
    <w:rsid w:val="58BA230F"/>
    <w:rsid w:val="58C625B2"/>
    <w:rsid w:val="58CA793A"/>
    <w:rsid w:val="58D71BE5"/>
    <w:rsid w:val="58EA214B"/>
    <w:rsid w:val="58F01CB6"/>
    <w:rsid w:val="59043EF6"/>
    <w:rsid w:val="590828A6"/>
    <w:rsid w:val="590A5625"/>
    <w:rsid w:val="593266B1"/>
    <w:rsid w:val="59353EEB"/>
    <w:rsid w:val="594C608F"/>
    <w:rsid w:val="59537C18"/>
    <w:rsid w:val="595508EF"/>
    <w:rsid w:val="595E3F92"/>
    <w:rsid w:val="596646BA"/>
    <w:rsid w:val="59797C84"/>
    <w:rsid w:val="597F55E4"/>
    <w:rsid w:val="598900F2"/>
    <w:rsid w:val="598B62B7"/>
    <w:rsid w:val="599D4473"/>
    <w:rsid w:val="59AC4362"/>
    <w:rsid w:val="59BB6E7A"/>
    <w:rsid w:val="59BC3DC4"/>
    <w:rsid w:val="59C63627"/>
    <w:rsid w:val="59D05DBD"/>
    <w:rsid w:val="59DC32A9"/>
    <w:rsid w:val="59EA6E92"/>
    <w:rsid w:val="59F32B7D"/>
    <w:rsid w:val="5A005354"/>
    <w:rsid w:val="5A16017A"/>
    <w:rsid w:val="5A3A56FD"/>
    <w:rsid w:val="5A6352D8"/>
    <w:rsid w:val="5A6F74CA"/>
    <w:rsid w:val="5A720392"/>
    <w:rsid w:val="5A7B708F"/>
    <w:rsid w:val="5A836061"/>
    <w:rsid w:val="5A90513F"/>
    <w:rsid w:val="5A917EEA"/>
    <w:rsid w:val="5A9B37A9"/>
    <w:rsid w:val="5AA708CA"/>
    <w:rsid w:val="5AAD24FE"/>
    <w:rsid w:val="5AAD49D1"/>
    <w:rsid w:val="5AB133D7"/>
    <w:rsid w:val="5AB93DB8"/>
    <w:rsid w:val="5ABA5BD2"/>
    <w:rsid w:val="5AC15FB7"/>
    <w:rsid w:val="5AD70A9D"/>
    <w:rsid w:val="5ADF41D9"/>
    <w:rsid w:val="5AE020C5"/>
    <w:rsid w:val="5AE4182E"/>
    <w:rsid w:val="5AF120F7"/>
    <w:rsid w:val="5B065B3A"/>
    <w:rsid w:val="5B0D3AF1"/>
    <w:rsid w:val="5B195385"/>
    <w:rsid w:val="5B2E1AA7"/>
    <w:rsid w:val="5B4829E8"/>
    <w:rsid w:val="5B4E0681"/>
    <w:rsid w:val="5B507A5E"/>
    <w:rsid w:val="5B666B5B"/>
    <w:rsid w:val="5B713816"/>
    <w:rsid w:val="5B7C3DA5"/>
    <w:rsid w:val="5B9E6242"/>
    <w:rsid w:val="5BA55298"/>
    <w:rsid w:val="5BB12B41"/>
    <w:rsid w:val="5BB23CE8"/>
    <w:rsid w:val="5BBC0522"/>
    <w:rsid w:val="5BC17AD2"/>
    <w:rsid w:val="5BEA226D"/>
    <w:rsid w:val="5BF01B65"/>
    <w:rsid w:val="5BF628F6"/>
    <w:rsid w:val="5BF71D14"/>
    <w:rsid w:val="5BF75536"/>
    <w:rsid w:val="5C1804EC"/>
    <w:rsid w:val="5C206591"/>
    <w:rsid w:val="5C2A3CF5"/>
    <w:rsid w:val="5C2D13C8"/>
    <w:rsid w:val="5C2D6E33"/>
    <w:rsid w:val="5C3A4B89"/>
    <w:rsid w:val="5C3A75EF"/>
    <w:rsid w:val="5C4034F8"/>
    <w:rsid w:val="5C494970"/>
    <w:rsid w:val="5C4D0D1E"/>
    <w:rsid w:val="5C4F1837"/>
    <w:rsid w:val="5C523A46"/>
    <w:rsid w:val="5C615EAA"/>
    <w:rsid w:val="5C65653D"/>
    <w:rsid w:val="5C6E1048"/>
    <w:rsid w:val="5C7255B7"/>
    <w:rsid w:val="5C78403D"/>
    <w:rsid w:val="5C7D4C4C"/>
    <w:rsid w:val="5C825851"/>
    <w:rsid w:val="5C851572"/>
    <w:rsid w:val="5C8567D6"/>
    <w:rsid w:val="5C877959"/>
    <w:rsid w:val="5CA546CA"/>
    <w:rsid w:val="5CC262F2"/>
    <w:rsid w:val="5CDB4FE6"/>
    <w:rsid w:val="5CE7252E"/>
    <w:rsid w:val="5CF4041F"/>
    <w:rsid w:val="5CF91629"/>
    <w:rsid w:val="5CFD09FD"/>
    <w:rsid w:val="5CFD5E23"/>
    <w:rsid w:val="5CFF6845"/>
    <w:rsid w:val="5CFF6898"/>
    <w:rsid w:val="5D004237"/>
    <w:rsid w:val="5D1A0C34"/>
    <w:rsid w:val="5D1A3226"/>
    <w:rsid w:val="5D290CDA"/>
    <w:rsid w:val="5D292B67"/>
    <w:rsid w:val="5D37407B"/>
    <w:rsid w:val="5D4B2D1B"/>
    <w:rsid w:val="5D4F1722"/>
    <w:rsid w:val="5D5E1D3C"/>
    <w:rsid w:val="5D6D63E8"/>
    <w:rsid w:val="5D734CB6"/>
    <w:rsid w:val="5D816384"/>
    <w:rsid w:val="5DA62DCE"/>
    <w:rsid w:val="5DBB20D6"/>
    <w:rsid w:val="5DC21A60"/>
    <w:rsid w:val="5DD15EC1"/>
    <w:rsid w:val="5DD56885"/>
    <w:rsid w:val="5DE55498"/>
    <w:rsid w:val="5DF325D4"/>
    <w:rsid w:val="5DFB763C"/>
    <w:rsid w:val="5E0D2FD9"/>
    <w:rsid w:val="5E1D0E75"/>
    <w:rsid w:val="5E3D6054"/>
    <w:rsid w:val="5E3D71AC"/>
    <w:rsid w:val="5E3F587A"/>
    <w:rsid w:val="5E406E43"/>
    <w:rsid w:val="5E414D94"/>
    <w:rsid w:val="5E677FF0"/>
    <w:rsid w:val="5E6C05F1"/>
    <w:rsid w:val="5E782489"/>
    <w:rsid w:val="5E86154B"/>
    <w:rsid w:val="5E865022"/>
    <w:rsid w:val="5E866129"/>
    <w:rsid w:val="5E9D11FB"/>
    <w:rsid w:val="5EBC2484"/>
    <w:rsid w:val="5ECA6A10"/>
    <w:rsid w:val="5ECC0E3F"/>
    <w:rsid w:val="5ED967ED"/>
    <w:rsid w:val="5EE87235"/>
    <w:rsid w:val="5EF14C2E"/>
    <w:rsid w:val="5EF35656"/>
    <w:rsid w:val="5F0012E5"/>
    <w:rsid w:val="5F122687"/>
    <w:rsid w:val="5F220723"/>
    <w:rsid w:val="5F236AB4"/>
    <w:rsid w:val="5F2D55BF"/>
    <w:rsid w:val="5F2D7F83"/>
    <w:rsid w:val="5F304A98"/>
    <w:rsid w:val="5F435F59"/>
    <w:rsid w:val="5F4945A0"/>
    <w:rsid w:val="5F5A5D1F"/>
    <w:rsid w:val="5F5B1C32"/>
    <w:rsid w:val="5F695277"/>
    <w:rsid w:val="5F6973A4"/>
    <w:rsid w:val="5F76153A"/>
    <w:rsid w:val="5F7E77B8"/>
    <w:rsid w:val="5F7F3960"/>
    <w:rsid w:val="5F8300AF"/>
    <w:rsid w:val="5F9109D7"/>
    <w:rsid w:val="5F9369B1"/>
    <w:rsid w:val="5F946558"/>
    <w:rsid w:val="5F9C5FD6"/>
    <w:rsid w:val="5F9F4BFD"/>
    <w:rsid w:val="5FA07A06"/>
    <w:rsid w:val="5FAB10F0"/>
    <w:rsid w:val="5FBA7419"/>
    <w:rsid w:val="5FC70EB1"/>
    <w:rsid w:val="5FD26DFB"/>
    <w:rsid w:val="5FD42745"/>
    <w:rsid w:val="5FE145BC"/>
    <w:rsid w:val="5FE22C7D"/>
    <w:rsid w:val="5FE307E1"/>
    <w:rsid w:val="60005AC2"/>
    <w:rsid w:val="60144795"/>
    <w:rsid w:val="601554B0"/>
    <w:rsid w:val="601D7C8D"/>
    <w:rsid w:val="603B48C4"/>
    <w:rsid w:val="60491867"/>
    <w:rsid w:val="605E48A8"/>
    <w:rsid w:val="606D5864"/>
    <w:rsid w:val="60731DE2"/>
    <w:rsid w:val="607C76DB"/>
    <w:rsid w:val="6093187E"/>
    <w:rsid w:val="609C0CD5"/>
    <w:rsid w:val="60A56DBD"/>
    <w:rsid w:val="60CC56C9"/>
    <w:rsid w:val="60CF15B4"/>
    <w:rsid w:val="60EF1B5A"/>
    <w:rsid w:val="60F2020F"/>
    <w:rsid w:val="60F91A59"/>
    <w:rsid w:val="60FD0F2E"/>
    <w:rsid w:val="61094D40"/>
    <w:rsid w:val="6113501C"/>
    <w:rsid w:val="611B1568"/>
    <w:rsid w:val="612046DE"/>
    <w:rsid w:val="61227E69"/>
    <w:rsid w:val="6124336C"/>
    <w:rsid w:val="61300493"/>
    <w:rsid w:val="613B7FE6"/>
    <w:rsid w:val="613D6446"/>
    <w:rsid w:val="614177A7"/>
    <w:rsid w:val="614D4530"/>
    <w:rsid w:val="614E5189"/>
    <w:rsid w:val="615C602B"/>
    <w:rsid w:val="615E3CC6"/>
    <w:rsid w:val="615F5FA5"/>
    <w:rsid w:val="61643334"/>
    <w:rsid w:val="61663BFD"/>
    <w:rsid w:val="616D4A65"/>
    <w:rsid w:val="616E2585"/>
    <w:rsid w:val="6173198A"/>
    <w:rsid w:val="61842D04"/>
    <w:rsid w:val="618A159D"/>
    <w:rsid w:val="61970601"/>
    <w:rsid w:val="61981E94"/>
    <w:rsid w:val="619F606B"/>
    <w:rsid w:val="61A03FBA"/>
    <w:rsid w:val="61B42F2C"/>
    <w:rsid w:val="61C21F70"/>
    <w:rsid w:val="61DE18A1"/>
    <w:rsid w:val="61DF3160"/>
    <w:rsid w:val="61E559A8"/>
    <w:rsid w:val="61E72464"/>
    <w:rsid w:val="61EA78B2"/>
    <w:rsid w:val="61EE0117"/>
    <w:rsid w:val="61F43F64"/>
    <w:rsid w:val="61F66272"/>
    <w:rsid w:val="61FB3034"/>
    <w:rsid w:val="620E45EE"/>
    <w:rsid w:val="62136EFE"/>
    <w:rsid w:val="621E6E07"/>
    <w:rsid w:val="621F3456"/>
    <w:rsid w:val="6225413A"/>
    <w:rsid w:val="623153B9"/>
    <w:rsid w:val="62321F4F"/>
    <w:rsid w:val="62356A2C"/>
    <w:rsid w:val="62376EF8"/>
    <w:rsid w:val="623A49E8"/>
    <w:rsid w:val="624102C0"/>
    <w:rsid w:val="62412473"/>
    <w:rsid w:val="624B0BD0"/>
    <w:rsid w:val="6252408A"/>
    <w:rsid w:val="62544814"/>
    <w:rsid w:val="625A0D9B"/>
    <w:rsid w:val="626065BE"/>
    <w:rsid w:val="626E2089"/>
    <w:rsid w:val="62755297"/>
    <w:rsid w:val="628132A8"/>
    <w:rsid w:val="62834531"/>
    <w:rsid w:val="629C2F58"/>
    <w:rsid w:val="62AC6B95"/>
    <w:rsid w:val="62AF475E"/>
    <w:rsid w:val="62B110FF"/>
    <w:rsid w:val="630A196B"/>
    <w:rsid w:val="63161B01"/>
    <w:rsid w:val="631A3EBD"/>
    <w:rsid w:val="633E4CE0"/>
    <w:rsid w:val="63546E84"/>
    <w:rsid w:val="6360297F"/>
    <w:rsid w:val="63614155"/>
    <w:rsid w:val="63623C1B"/>
    <w:rsid w:val="63695A0F"/>
    <w:rsid w:val="63776434"/>
    <w:rsid w:val="63845454"/>
    <w:rsid w:val="638770AE"/>
    <w:rsid w:val="63B80D8E"/>
    <w:rsid w:val="63C60DB6"/>
    <w:rsid w:val="63C73D48"/>
    <w:rsid w:val="63CD7BCE"/>
    <w:rsid w:val="63DC3F44"/>
    <w:rsid w:val="63E269DF"/>
    <w:rsid w:val="6404691F"/>
    <w:rsid w:val="640B3EA2"/>
    <w:rsid w:val="640C6632"/>
    <w:rsid w:val="64260BBC"/>
    <w:rsid w:val="64292796"/>
    <w:rsid w:val="64400947"/>
    <w:rsid w:val="64426B0C"/>
    <w:rsid w:val="6444706F"/>
    <w:rsid w:val="645038A3"/>
    <w:rsid w:val="64533CCC"/>
    <w:rsid w:val="64534828"/>
    <w:rsid w:val="64611A80"/>
    <w:rsid w:val="647C0EA9"/>
    <w:rsid w:val="647F5F6E"/>
    <w:rsid w:val="648D2B22"/>
    <w:rsid w:val="648F3388"/>
    <w:rsid w:val="649B4C1C"/>
    <w:rsid w:val="64C76D65"/>
    <w:rsid w:val="64D047EB"/>
    <w:rsid w:val="64DF271C"/>
    <w:rsid w:val="64EC5212"/>
    <w:rsid w:val="65011907"/>
    <w:rsid w:val="65015DB8"/>
    <w:rsid w:val="650F00BB"/>
    <w:rsid w:val="65107773"/>
    <w:rsid w:val="65162090"/>
    <w:rsid w:val="651A0D6E"/>
    <w:rsid w:val="652E5074"/>
    <w:rsid w:val="65322645"/>
    <w:rsid w:val="653803EC"/>
    <w:rsid w:val="653E1378"/>
    <w:rsid w:val="654C212F"/>
    <w:rsid w:val="654C33CD"/>
    <w:rsid w:val="655B731D"/>
    <w:rsid w:val="65783306"/>
    <w:rsid w:val="659044B9"/>
    <w:rsid w:val="65993884"/>
    <w:rsid w:val="659B79E0"/>
    <w:rsid w:val="65A778D6"/>
    <w:rsid w:val="65AE2B0B"/>
    <w:rsid w:val="65B920BA"/>
    <w:rsid w:val="65C21F5C"/>
    <w:rsid w:val="65C8121B"/>
    <w:rsid w:val="65CC11A4"/>
    <w:rsid w:val="65D750BB"/>
    <w:rsid w:val="65DB001A"/>
    <w:rsid w:val="65F44A89"/>
    <w:rsid w:val="66194D21"/>
    <w:rsid w:val="661E19BD"/>
    <w:rsid w:val="661F72F9"/>
    <w:rsid w:val="662302DE"/>
    <w:rsid w:val="662832D6"/>
    <w:rsid w:val="66283CBD"/>
    <w:rsid w:val="662C0359"/>
    <w:rsid w:val="662C40AE"/>
    <w:rsid w:val="662E75B1"/>
    <w:rsid w:val="66331AB6"/>
    <w:rsid w:val="6651439D"/>
    <w:rsid w:val="66551A50"/>
    <w:rsid w:val="66603393"/>
    <w:rsid w:val="6668660D"/>
    <w:rsid w:val="666C4195"/>
    <w:rsid w:val="667C2E02"/>
    <w:rsid w:val="66857FC0"/>
    <w:rsid w:val="66A222A9"/>
    <w:rsid w:val="66B61026"/>
    <w:rsid w:val="66BC2EF0"/>
    <w:rsid w:val="66C866A8"/>
    <w:rsid w:val="66CB4EB1"/>
    <w:rsid w:val="66D04BBC"/>
    <w:rsid w:val="66D60796"/>
    <w:rsid w:val="66DB514B"/>
    <w:rsid w:val="66F4529F"/>
    <w:rsid w:val="66FF395B"/>
    <w:rsid w:val="67015602"/>
    <w:rsid w:val="67034E2F"/>
    <w:rsid w:val="6705645C"/>
    <w:rsid w:val="670833DF"/>
    <w:rsid w:val="670D346F"/>
    <w:rsid w:val="670D57A1"/>
    <w:rsid w:val="67184FB0"/>
    <w:rsid w:val="671F493B"/>
    <w:rsid w:val="67205C40"/>
    <w:rsid w:val="672A074E"/>
    <w:rsid w:val="672F0459"/>
    <w:rsid w:val="67375865"/>
    <w:rsid w:val="673770F1"/>
    <w:rsid w:val="673C6C4A"/>
    <w:rsid w:val="673F044F"/>
    <w:rsid w:val="6747152C"/>
    <w:rsid w:val="67487CFE"/>
    <w:rsid w:val="674A3CAC"/>
    <w:rsid w:val="6766511E"/>
    <w:rsid w:val="67714745"/>
    <w:rsid w:val="67742E19"/>
    <w:rsid w:val="677862CF"/>
    <w:rsid w:val="677B5616"/>
    <w:rsid w:val="677E01D8"/>
    <w:rsid w:val="67897F5B"/>
    <w:rsid w:val="678B74EE"/>
    <w:rsid w:val="67A0618E"/>
    <w:rsid w:val="67AF598F"/>
    <w:rsid w:val="67BA390A"/>
    <w:rsid w:val="67D72E41"/>
    <w:rsid w:val="67E506A8"/>
    <w:rsid w:val="67E7494F"/>
    <w:rsid w:val="67E95011"/>
    <w:rsid w:val="67F74119"/>
    <w:rsid w:val="681258C8"/>
    <w:rsid w:val="68194A8A"/>
    <w:rsid w:val="682754FB"/>
    <w:rsid w:val="682B3B74"/>
    <w:rsid w:val="682D5A8F"/>
    <w:rsid w:val="683059FB"/>
    <w:rsid w:val="68334803"/>
    <w:rsid w:val="68341791"/>
    <w:rsid w:val="684A4429"/>
    <w:rsid w:val="684D2BDE"/>
    <w:rsid w:val="685366DB"/>
    <w:rsid w:val="685F0B4B"/>
    <w:rsid w:val="686D4D4C"/>
    <w:rsid w:val="6878544A"/>
    <w:rsid w:val="68852F89"/>
    <w:rsid w:val="689B512C"/>
    <w:rsid w:val="68A70F3F"/>
    <w:rsid w:val="68B97F60"/>
    <w:rsid w:val="68BC2252"/>
    <w:rsid w:val="68CA1908"/>
    <w:rsid w:val="68D07B85"/>
    <w:rsid w:val="68D11D83"/>
    <w:rsid w:val="68DA2D35"/>
    <w:rsid w:val="68DF4877"/>
    <w:rsid w:val="68E07128"/>
    <w:rsid w:val="68EB61B0"/>
    <w:rsid w:val="68EF0D62"/>
    <w:rsid w:val="6903080C"/>
    <w:rsid w:val="6904534C"/>
    <w:rsid w:val="69074C44"/>
    <w:rsid w:val="690E1135"/>
    <w:rsid w:val="69161E1B"/>
    <w:rsid w:val="692325E9"/>
    <w:rsid w:val="692338D6"/>
    <w:rsid w:val="692A245B"/>
    <w:rsid w:val="69314711"/>
    <w:rsid w:val="69416490"/>
    <w:rsid w:val="6949723D"/>
    <w:rsid w:val="694B0A00"/>
    <w:rsid w:val="6956170B"/>
    <w:rsid w:val="696476EA"/>
    <w:rsid w:val="697C42C7"/>
    <w:rsid w:val="698F4115"/>
    <w:rsid w:val="69AE5356"/>
    <w:rsid w:val="69B63582"/>
    <w:rsid w:val="69B70C82"/>
    <w:rsid w:val="69B94190"/>
    <w:rsid w:val="69BD4E67"/>
    <w:rsid w:val="69C24C55"/>
    <w:rsid w:val="69C6142E"/>
    <w:rsid w:val="69CF4224"/>
    <w:rsid w:val="69CF6CB3"/>
    <w:rsid w:val="69D151A9"/>
    <w:rsid w:val="69E01F40"/>
    <w:rsid w:val="69E456EE"/>
    <w:rsid w:val="69E553F0"/>
    <w:rsid w:val="69E63729"/>
    <w:rsid w:val="69EE6CD8"/>
    <w:rsid w:val="69F14501"/>
    <w:rsid w:val="69F71B66"/>
    <w:rsid w:val="69F74019"/>
    <w:rsid w:val="69FD524C"/>
    <w:rsid w:val="6A015CF8"/>
    <w:rsid w:val="6A030378"/>
    <w:rsid w:val="6A070583"/>
    <w:rsid w:val="6A1542F9"/>
    <w:rsid w:val="6A18753D"/>
    <w:rsid w:val="6A514438"/>
    <w:rsid w:val="6A541EFF"/>
    <w:rsid w:val="6A602C18"/>
    <w:rsid w:val="6A6436F1"/>
    <w:rsid w:val="6A6F052B"/>
    <w:rsid w:val="6A786B94"/>
    <w:rsid w:val="6A820FEF"/>
    <w:rsid w:val="6A911D64"/>
    <w:rsid w:val="6A95076A"/>
    <w:rsid w:val="6A9A625B"/>
    <w:rsid w:val="6A9F48FD"/>
    <w:rsid w:val="6AA27A80"/>
    <w:rsid w:val="6AC47A80"/>
    <w:rsid w:val="6AC92214"/>
    <w:rsid w:val="6ACE1BC9"/>
    <w:rsid w:val="6AE42E8D"/>
    <w:rsid w:val="6AEC5B61"/>
    <w:rsid w:val="6AF10FB6"/>
    <w:rsid w:val="6AFD6E95"/>
    <w:rsid w:val="6AFE51B6"/>
    <w:rsid w:val="6AFE7836"/>
    <w:rsid w:val="6B0777A4"/>
    <w:rsid w:val="6B1103EE"/>
    <w:rsid w:val="6B110A87"/>
    <w:rsid w:val="6B1732C2"/>
    <w:rsid w:val="6B1B6445"/>
    <w:rsid w:val="6B1C292C"/>
    <w:rsid w:val="6B1F0FF5"/>
    <w:rsid w:val="6B2E7D95"/>
    <w:rsid w:val="6B33736F"/>
    <w:rsid w:val="6B514FA1"/>
    <w:rsid w:val="6B570C72"/>
    <w:rsid w:val="6B6F7737"/>
    <w:rsid w:val="6B883794"/>
    <w:rsid w:val="6B915FB1"/>
    <w:rsid w:val="6B953B90"/>
    <w:rsid w:val="6B9F2CF5"/>
    <w:rsid w:val="6BA96FAE"/>
    <w:rsid w:val="6BB56B11"/>
    <w:rsid w:val="6BBE682B"/>
    <w:rsid w:val="6BCC1AEC"/>
    <w:rsid w:val="6BCC23D0"/>
    <w:rsid w:val="6BDF157D"/>
    <w:rsid w:val="6BE33C8F"/>
    <w:rsid w:val="6BEA75F2"/>
    <w:rsid w:val="6BFA38B5"/>
    <w:rsid w:val="6C066DA8"/>
    <w:rsid w:val="6C093DE4"/>
    <w:rsid w:val="6C0F1F37"/>
    <w:rsid w:val="6C213774"/>
    <w:rsid w:val="6C253F89"/>
    <w:rsid w:val="6C262F85"/>
    <w:rsid w:val="6C305F8D"/>
    <w:rsid w:val="6C3315DE"/>
    <w:rsid w:val="6C386720"/>
    <w:rsid w:val="6C3D0B43"/>
    <w:rsid w:val="6C442E08"/>
    <w:rsid w:val="6C4551DE"/>
    <w:rsid w:val="6C4C605E"/>
    <w:rsid w:val="6C577652"/>
    <w:rsid w:val="6C770900"/>
    <w:rsid w:val="6C791C04"/>
    <w:rsid w:val="6C7B29FF"/>
    <w:rsid w:val="6C7C0019"/>
    <w:rsid w:val="6C817071"/>
    <w:rsid w:val="6CB368C4"/>
    <w:rsid w:val="6CBB234A"/>
    <w:rsid w:val="6CC11FF9"/>
    <w:rsid w:val="6CC328D3"/>
    <w:rsid w:val="6CD50C99"/>
    <w:rsid w:val="6CE547B7"/>
    <w:rsid w:val="6CEC7009"/>
    <w:rsid w:val="6CED0661"/>
    <w:rsid w:val="6CEF50C6"/>
    <w:rsid w:val="6CF444F2"/>
    <w:rsid w:val="6D144001"/>
    <w:rsid w:val="6D1832F8"/>
    <w:rsid w:val="6D2C2ECB"/>
    <w:rsid w:val="6D403BCC"/>
    <w:rsid w:val="6D477913"/>
    <w:rsid w:val="6D4B63D3"/>
    <w:rsid w:val="6D5923A3"/>
    <w:rsid w:val="6D6B45A4"/>
    <w:rsid w:val="6D781A24"/>
    <w:rsid w:val="6D7E3DCF"/>
    <w:rsid w:val="6D85303B"/>
    <w:rsid w:val="6D9C2C61"/>
    <w:rsid w:val="6DA35E6F"/>
    <w:rsid w:val="6DA87746"/>
    <w:rsid w:val="6DB0227E"/>
    <w:rsid w:val="6DBF61E6"/>
    <w:rsid w:val="6DC54CA4"/>
    <w:rsid w:val="6DD51EC1"/>
    <w:rsid w:val="6DE71DDB"/>
    <w:rsid w:val="6DEC6AD1"/>
    <w:rsid w:val="6DF06959"/>
    <w:rsid w:val="6E270186"/>
    <w:rsid w:val="6E302AA9"/>
    <w:rsid w:val="6E360FC5"/>
    <w:rsid w:val="6E437F76"/>
    <w:rsid w:val="6E444059"/>
    <w:rsid w:val="6E47011F"/>
    <w:rsid w:val="6E4A10CB"/>
    <w:rsid w:val="6E605DCC"/>
    <w:rsid w:val="6E606222"/>
    <w:rsid w:val="6E6404AB"/>
    <w:rsid w:val="6E8509E0"/>
    <w:rsid w:val="6E895938"/>
    <w:rsid w:val="6E8E6A28"/>
    <w:rsid w:val="6E912701"/>
    <w:rsid w:val="6E9B31DF"/>
    <w:rsid w:val="6E9D11E8"/>
    <w:rsid w:val="6E9E738B"/>
    <w:rsid w:val="6EAA1288"/>
    <w:rsid w:val="6EBF1ABE"/>
    <w:rsid w:val="6EC9068C"/>
    <w:rsid w:val="6ECB12E1"/>
    <w:rsid w:val="6ED118E4"/>
    <w:rsid w:val="6EE32EFC"/>
    <w:rsid w:val="6EE97503"/>
    <w:rsid w:val="6EF36A95"/>
    <w:rsid w:val="6EF46828"/>
    <w:rsid w:val="6EFC7A1F"/>
    <w:rsid w:val="6EFE0172"/>
    <w:rsid w:val="6F082177"/>
    <w:rsid w:val="6F0845F7"/>
    <w:rsid w:val="6F0F517C"/>
    <w:rsid w:val="6F261FF7"/>
    <w:rsid w:val="6F31663C"/>
    <w:rsid w:val="6F33475B"/>
    <w:rsid w:val="6F4C749A"/>
    <w:rsid w:val="6F551A91"/>
    <w:rsid w:val="6F5B773E"/>
    <w:rsid w:val="6F5D55BD"/>
    <w:rsid w:val="6F7F6B03"/>
    <w:rsid w:val="6F900CCA"/>
    <w:rsid w:val="6F9C6AF5"/>
    <w:rsid w:val="6FA71BB0"/>
    <w:rsid w:val="6FA82487"/>
    <w:rsid w:val="6FB16865"/>
    <w:rsid w:val="6FB92F47"/>
    <w:rsid w:val="6FCA22F4"/>
    <w:rsid w:val="6FEA7C98"/>
    <w:rsid w:val="70065279"/>
    <w:rsid w:val="700B361C"/>
    <w:rsid w:val="701562D0"/>
    <w:rsid w:val="701658F3"/>
    <w:rsid w:val="701B41D3"/>
    <w:rsid w:val="702005E1"/>
    <w:rsid w:val="703629DD"/>
    <w:rsid w:val="70396510"/>
    <w:rsid w:val="70441872"/>
    <w:rsid w:val="704D7FCB"/>
    <w:rsid w:val="70595F23"/>
    <w:rsid w:val="705A50E3"/>
    <w:rsid w:val="70724B85"/>
    <w:rsid w:val="70745C8D"/>
    <w:rsid w:val="70810710"/>
    <w:rsid w:val="708D1B23"/>
    <w:rsid w:val="70BF7006"/>
    <w:rsid w:val="70C93B81"/>
    <w:rsid w:val="70CF2C59"/>
    <w:rsid w:val="70ED2970"/>
    <w:rsid w:val="710818F5"/>
    <w:rsid w:val="71100639"/>
    <w:rsid w:val="7121654E"/>
    <w:rsid w:val="712E093E"/>
    <w:rsid w:val="71336FC4"/>
    <w:rsid w:val="713B7C54"/>
    <w:rsid w:val="71531504"/>
    <w:rsid w:val="71581782"/>
    <w:rsid w:val="715F5203"/>
    <w:rsid w:val="7164762C"/>
    <w:rsid w:val="716B5226"/>
    <w:rsid w:val="716E2CA0"/>
    <w:rsid w:val="71712AF0"/>
    <w:rsid w:val="7172232C"/>
    <w:rsid w:val="71780774"/>
    <w:rsid w:val="717B6210"/>
    <w:rsid w:val="718608C4"/>
    <w:rsid w:val="71A43E00"/>
    <w:rsid w:val="71B85D87"/>
    <w:rsid w:val="71C72DCB"/>
    <w:rsid w:val="71D25D9E"/>
    <w:rsid w:val="71D276F0"/>
    <w:rsid w:val="71DA016C"/>
    <w:rsid w:val="71DA5D1C"/>
    <w:rsid w:val="71DD5BC6"/>
    <w:rsid w:val="71EF4C7B"/>
    <w:rsid w:val="71F03A4A"/>
    <w:rsid w:val="71FE61D4"/>
    <w:rsid w:val="720B1A73"/>
    <w:rsid w:val="720E03B9"/>
    <w:rsid w:val="722F123C"/>
    <w:rsid w:val="723F3FFF"/>
    <w:rsid w:val="72434C03"/>
    <w:rsid w:val="724A559C"/>
    <w:rsid w:val="72594BA8"/>
    <w:rsid w:val="725B3A27"/>
    <w:rsid w:val="725D447B"/>
    <w:rsid w:val="726760BC"/>
    <w:rsid w:val="726E554E"/>
    <w:rsid w:val="72732C92"/>
    <w:rsid w:val="727800FA"/>
    <w:rsid w:val="729D6597"/>
    <w:rsid w:val="72A33D23"/>
    <w:rsid w:val="72AB74A6"/>
    <w:rsid w:val="72BB0409"/>
    <w:rsid w:val="72D1430C"/>
    <w:rsid w:val="72EF55CF"/>
    <w:rsid w:val="72EF71BD"/>
    <w:rsid w:val="72FB11A0"/>
    <w:rsid w:val="731568CD"/>
    <w:rsid w:val="731E366D"/>
    <w:rsid w:val="731F4DF9"/>
    <w:rsid w:val="73202042"/>
    <w:rsid w:val="73206B70"/>
    <w:rsid w:val="732272C6"/>
    <w:rsid w:val="732E0084"/>
    <w:rsid w:val="73321717"/>
    <w:rsid w:val="7334340A"/>
    <w:rsid w:val="73375F08"/>
    <w:rsid w:val="733B519B"/>
    <w:rsid w:val="73487469"/>
    <w:rsid w:val="73497E44"/>
    <w:rsid w:val="734A79B4"/>
    <w:rsid w:val="734E0475"/>
    <w:rsid w:val="73536321"/>
    <w:rsid w:val="7363503D"/>
    <w:rsid w:val="73704370"/>
    <w:rsid w:val="73794C80"/>
    <w:rsid w:val="737E1108"/>
    <w:rsid w:val="738023E3"/>
    <w:rsid w:val="739B3080"/>
    <w:rsid w:val="739D268D"/>
    <w:rsid w:val="739D3D0A"/>
    <w:rsid w:val="73A25E44"/>
    <w:rsid w:val="73A6484A"/>
    <w:rsid w:val="73AD2B1B"/>
    <w:rsid w:val="73AD3938"/>
    <w:rsid w:val="73C238DB"/>
    <w:rsid w:val="73D22C96"/>
    <w:rsid w:val="73DC6F23"/>
    <w:rsid w:val="73DF06AC"/>
    <w:rsid w:val="73E07659"/>
    <w:rsid w:val="73E73361"/>
    <w:rsid w:val="73F34ADC"/>
    <w:rsid w:val="73F80DD1"/>
    <w:rsid w:val="74150362"/>
    <w:rsid w:val="742471C6"/>
    <w:rsid w:val="742E5091"/>
    <w:rsid w:val="743C5B1C"/>
    <w:rsid w:val="744A36CD"/>
    <w:rsid w:val="745558E8"/>
    <w:rsid w:val="745C3EBD"/>
    <w:rsid w:val="745D264D"/>
    <w:rsid w:val="74715218"/>
    <w:rsid w:val="74745F3C"/>
    <w:rsid w:val="74767FEB"/>
    <w:rsid w:val="74774264"/>
    <w:rsid w:val="747C6B76"/>
    <w:rsid w:val="7485024D"/>
    <w:rsid w:val="7490224A"/>
    <w:rsid w:val="74996CFC"/>
    <w:rsid w:val="749E0A85"/>
    <w:rsid w:val="74A06AEE"/>
    <w:rsid w:val="74B82A0F"/>
    <w:rsid w:val="74CF7F89"/>
    <w:rsid w:val="74D91BFE"/>
    <w:rsid w:val="74DE1D39"/>
    <w:rsid w:val="74F65471"/>
    <w:rsid w:val="74FC2BFE"/>
    <w:rsid w:val="751876D6"/>
    <w:rsid w:val="751B2469"/>
    <w:rsid w:val="75264D42"/>
    <w:rsid w:val="752F0398"/>
    <w:rsid w:val="753507D9"/>
    <w:rsid w:val="753871DF"/>
    <w:rsid w:val="7541206D"/>
    <w:rsid w:val="755E303F"/>
    <w:rsid w:val="75707629"/>
    <w:rsid w:val="758115AD"/>
    <w:rsid w:val="7581661C"/>
    <w:rsid w:val="758557AB"/>
    <w:rsid w:val="758F436B"/>
    <w:rsid w:val="75A028A4"/>
    <w:rsid w:val="75A864CC"/>
    <w:rsid w:val="75AC0961"/>
    <w:rsid w:val="75BC2A4D"/>
    <w:rsid w:val="75C422BB"/>
    <w:rsid w:val="75C84140"/>
    <w:rsid w:val="75CF2FA5"/>
    <w:rsid w:val="75CF4184"/>
    <w:rsid w:val="75D85A64"/>
    <w:rsid w:val="75FC14DC"/>
    <w:rsid w:val="760124EA"/>
    <w:rsid w:val="760E13BF"/>
    <w:rsid w:val="7614009B"/>
    <w:rsid w:val="763A0087"/>
    <w:rsid w:val="764B251F"/>
    <w:rsid w:val="76906433"/>
    <w:rsid w:val="769A0AB3"/>
    <w:rsid w:val="76AD4B2F"/>
    <w:rsid w:val="76B77650"/>
    <w:rsid w:val="76B963D7"/>
    <w:rsid w:val="76C159E1"/>
    <w:rsid w:val="76C8536C"/>
    <w:rsid w:val="76E208D8"/>
    <w:rsid w:val="76E27971"/>
    <w:rsid w:val="76FD17F0"/>
    <w:rsid w:val="77144CF9"/>
    <w:rsid w:val="7749029C"/>
    <w:rsid w:val="774C2906"/>
    <w:rsid w:val="77556D2E"/>
    <w:rsid w:val="775D13EC"/>
    <w:rsid w:val="775F789B"/>
    <w:rsid w:val="776F4EA2"/>
    <w:rsid w:val="77795CAB"/>
    <w:rsid w:val="778A6D59"/>
    <w:rsid w:val="778D0F94"/>
    <w:rsid w:val="7795123D"/>
    <w:rsid w:val="779B46EE"/>
    <w:rsid w:val="779E66FB"/>
    <w:rsid w:val="77AE799C"/>
    <w:rsid w:val="77B465E1"/>
    <w:rsid w:val="77B513B5"/>
    <w:rsid w:val="77B5369A"/>
    <w:rsid w:val="77C40E2B"/>
    <w:rsid w:val="77CB1717"/>
    <w:rsid w:val="77D01422"/>
    <w:rsid w:val="77E21287"/>
    <w:rsid w:val="77EE09D2"/>
    <w:rsid w:val="77FE114A"/>
    <w:rsid w:val="78067660"/>
    <w:rsid w:val="78137FB4"/>
    <w:rsid w:val="78181816"/>
    <w:rsid w:val="782E6C34"/>
    <w:rsid w:val="78363FA0"/>
    <w:rsid w:val="783B524E"/>
    <w:rsid w:val="784524F1"/>
    <w:rsid w:val="78485BAD"/>
    <w:rsid w:val="784E0E6E"/>
    <w:rsid w:val="78501970"/>
    <w:rsid w:val="786945A3"/>
    <w:rsid w:val="786E17EE"/>
    <w:rsid w:val="787E3966"/>
    <w:rsid w:val="788151FF"/>
    <w:rsid w:val="78A32E3B"/>
    <w:rsid w:val="78B05347"/>
    <w:rsid w:val="78B70657"/>
    <w:rsid w:val="78C82F5C"/>
    <w:rsid w:val="78CC6D3B"/>
    <w:rsid w:val="78EA0F39"/>
    <w:rsid w:val="78F63F6D"/>
    <w:rsid w:val="78FA7C0B"/>
    <w:rsid w:val="78FF4092"/>
    <w:rsid w:val="78FF4FA5"/>
    <w:rsid w:val="791A48BC"/>
    <w:rsid w:val="791C44A7"/>
    <w:rsid w:val="792F3ADD"/>
    <w:rsid w:val="79346A66"/>
    <w:rsid w:val="79384FC1"/>
    <w:rsid w:val="793E7A5B"/>
    <w:rsid w:val="793F1E47"/>
    <w:rsid w:val="79463247"/>
    <w:rsid w:val="795B5E7C"/>
    <w:rsid w:val="795D242E"/>
    <w:rsid w:val="796840CC"/>
    <w:rsid w:val="796B61D0"/>
    <w:rsid w:val="797B19B6"/>
    <w:rsid w:val="798442EB"/>
    <w:rsid w:val="798D0377"/>
    <w:rsid w:val="799871D8"/>
    <w:rsid w:val="799B610F"/>
    <w:rsid w:val="79A1389B"/>
    <w:rsid w:val="79A2131D"/>
    <w:rsid w:val="79C16145"/>
    <w:rsid w:val="79D62A71"/>
    <w:rsid w:val="79E60B9A"/>
    <w:rsid w:val="79EC2A16"/>
    <w:rsid w:val="79EC54CE"/>
    <w:rsid w:val="79F25620"/>
    <w:rsid w:val="79FF654E"/>
    <w:rsid w:val="7A023C5F"/>
    <w:rsid w:val="7A09243C"/>
    <w:rsid w:val="7A106440"/>
    <w:rsid w:val="7A3A0A8F"/>
    <w:rsid w:val="7A3C3A9A"/>
    <w:rsid w:val="7A4543A9"/>
    <w:rsid w:val="7A461C59"/>
    <w:rsid w:val="7A57547E"/>
    <w:rsid w:val="7A5A5248"/>
    <w:rsid w:val="7A5C074B"/>
    <w:rsid w:val="7A68455E"/>
    <w:rsid w:val="7A6F067F"/>
    <w:rsid w:val="7A74710C"/>
    <w:rsid w:val="7A7A46D8"/>
    <w:rsid w:val="7A7C40FB"/>
    <w:rsid w:val="7A7E288C"/>
    <w:rsid w:val="7A8115BD"/>
    <w:rsid w:val="7A8160D6"/>
    <w:rsid w:val="7A817FC1"/>
    <w:rsid w:val="7A8A5D97"/>
    <w:rsid w:val="7A8E0021"/>
    <w:rsid w:val="7A8F5AA2"/>
    <w:rsid w:val="7A9E4A38"/>
    <w:rsid w:val="7A9F4348"/>
    <w:rsid w:val="7AA46D59"/>
    <w:rsid w:val="7AAA62CC"/>
    <w:rsid w:val="7AAD2509"/>
    <w:rsid w:val="7AAD2AD4"/>
    <w:rsid w:val="7AAF5FD7"/>
    <w:rsid w:val="7AB42F70"/>
    <w:rsid w:val="7ABD1E3B"/>
    <w:rsid w:val="7ABF29EE"/>
    <w:rsid w:val="7AC00470"/>
    <w:rsid w:val="7ACD1D04"/>
    <w:rsid w:val="7AF31F44"/>
    <w:rsid w:val="7B016CDB"/>
    <w:rsid w:val="7B074467"/>
    <w:rsid w:val="7B0B1FD7"/>
    <w:rsid w:val="7B1E10AC"/>
    <w:rsid w:val="7B285A44"/>
    <w:rsid w:val="7B304424"/>
    <w:rsid w:val="7B5C60F0"/>
    <w:rsid w:val="7B6D32BC"/>
    <w:rsid w:val="7B7152CA"/>
    <w:rsid w:val="7B783A3C"/>
    <w:rsid w:val="7B791344"/>
    <w:rsid w:val="7B814F27"/>
    <w:rsid w:val="7B84359F"/>
    <w:rsid w:val="7B85284A"/>
    <w:rsid w:val="7B9D3683"/>
    <w:rsid w:val="7BAA0770"/>
    <w:rsid w:val="7BBF00AB"/>
    <w:rsid w:val="7BC20D32"/>
    <w:rsid w:val="7BC55B1F"/>
    <w:rsid w:val="7BDD53DE"/>
    <w:rsid w:val="7BE2606A"/>
    <w:rsid w:val="7BEA6C58"/>
    <w:rsid w:val="7BF238AD"/>
    <w:rsid w:val="7C0171C5"/>
    <w:rsid w:val="7C0403CE"/>
    <w:rsid w:val="7C181D26"/>
    <w:rsid w:val="7C1D0525"/>
    <w:rsid w:val="7C1F69E3"/>
    <w:rsid w:val="7C336153"/>
    <w:rsid w:val="7C3C31DF"/>
    <w:rsid w:val="7C4E0530"/>
    <w:rsid w:val="7C59087D"/>
    <w:rsid w:val="7C5D3714"/>
    <w:rsid w:val="7C6F6381"/>
    <w:rsid w:val="7C7B6547"/>
    <w:rsid w:val="7C877DDC"/>
    <w:rsid w:val="7C9603F6"/>
    <w:rsid w:val="7C991366"/>
    <w:rsid w:val="7C9F2B8C"/>
    <w:rsid w:val="7CA037C0"/>
    <w:rsid w:val="7CA17645"/>
    <w:rsid w:val="7CAE0C6C"/>
    <w:rsid w:val="7CCA3D48"/>
    <w:rsid w:val="7CD10A6B"/>
    <w:rsid w:val="7CDE7868"/>
    <w:rsid w:val="7CE65A1C"/>
    <w:rsid w:val="7CF53F64"/>
    <w:rsid w:val="7D1172B5"/>
    <w:rsid w:val="7D1C17D9"/>
    <w:rsid w:val="7D223BDE"/>
    <w:rsid w:val="7D3149F1"/>
    <w:rsid w:val="7D382F85"/>
    <w:rsid w:val="7D3A1399"/>
    <w:rsid w:val="7D3B0B84"/>
    <w:rsid w:val="7D560DA6"/>
    <w:rsid w:val="7D585851"/>
    <w:rsid w:val="7D771929"/>
    <w:rsid w:val="7D817FF3"/>
    <w:rsid w:val="7D85227D"/>
    <w:rsid w:val="7D917A1B"/>
    <w:rsid w:val="7DA2707B"/>
    <w:rsid w:val="7DA84DB9"/>
    <w:rsid w:val="7DA941AD"/>
    <w:rsid w:val="7DAB46BB"/>
    <w:rsid w:val="7DBB32A3"/>
    <w:rsid w:val="7DBE1712"/>
    <w:rsid w:val="7DC34404"/>
    <w:rsid w:val="7DCF5B74"/>
    <w:rsid w:val="7DD31FFC"/>
    <w:rsid w:val="7DD505D2"/>
    <w:rsid w:val="7DE16B35"/>
    <w:rsid w:val="7DF1615D"/>
    <w:rsid w:val="7E034D49"/>
    <w:rsid w:val="7E1D48FA"/>
    <w:rsid w:val="7E202EE1"/>
    <w:rsid w:val="7E252D66"/>
    <w:rsid w:val="7E33111C"/>
    <w:rsid w:val="7E342745"/>
    <w:rsid w:val="7E485225"/>
    <w:rsid w:val="7E4B4EB1"/>
    <w:rsid w:val="7E635974"/>
    <w:rsid w:val="7E6A7F71"/>
    <w:rsid w:val="7E7104EF"/>
    <w:rsid w:val="7E7B245C"/>
    <w:rsid w:val="7E860D3C"/>
    <w:rsid w:val="7E9446FA"/>
    <w:rsid w:val="7EA67DD6"/>
    <w:rsid w:val="7EB85AF2"/>
    <w:rsid w:val="7EBA221C"/>
    <w:rsid w:val="7EC87BC4"/>
    <w:rsid w:val="7ED14137"/>
    <w:rsid w:val="7EDE33A7"/>
    <w:rsid w:val="7EE271AE"/>
    <w:rsid w:val="7EED59CA"/>
    <w:rsid w:val="7EF35CD7"/>
    <w:rsid w:val="7F0246CF"/>
    <w:rsid w:val="7F0C765B"/>
    <w:rsid w:val="7F101397"/>
    <w:rsid w:val="7F184976"/>
    <w:rsid w:val="7F190115"/>
    <w:rsid w:val="7F1F19C9"/>
    <w:rsid w:val="7F440F59"/>
    <w:rsid w:val="7F572178"/>
    <w:rsid w:val="7F5E29D5"/>
    <w:rsid w:val="7F600061"/>
    <w:rsid w:val="7F7431D6"/>
    <w:rsid w:val="7F750A76"/>
    <w:rsid w:val="7F814B85"/>
    <w:rsid w:val="7F9160AD"/>
    <w:rsid w:val="7F9702C8"/>
    <w:rsid w:val="7F997A62"/>
    <w:rsid w:val="7FAF6FFD"/>
    <w:rsid w:val="7FB715AC"/>
    <w:rsid w:val="7FBA2EE6"/>
    <w:rsid w:val="7FC86FB4"/>
    <w:rsid w:val="7FD53269"/>
    <w:rsid w:val="7FDB7880"/>
    <w:rsid w:val="7FE63FE5"/>
    <w:rsid w:val="7FF83F00"/>
    <w:rsid w:val="7FFA3D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Calibri" w:hAnsi="Calibri" w:eastAsia="宋体" w:cs="黑体"/>
      <w:kern w:val="2"/>
      <w:sz w:val="21"/>
      <w:szCs w:val="22"/>
      <w:lang w:val="en-US" w:eastAsia="zh-CN" w:bidi="ar-SA"/>
    </w:rPr>
  </w:style>
  <w:style w:type="paragraph" w:styleId="3">
    <w:name w:val="heading 1"/>
    <w:basedOn w:val="1"/>
    <w:next w:val="1"/>
    <w:link w:val="49"/>
    <w:qFormat/>
    <w:uiPriority w:val="0"/>
    <w:pPr>
      <w:keepNext/>
      <w:keepLines/>
      <w:spacing w:before="340" w:beforeLines="0" w:after="330" w:afterLines="0" w:line="576" w:lineRule="auto"/>
      <w:jc w:val="both"/>
      <w:outlineLvl w:val="0"/>
    </w:pPr>
    <w:rPr>
      <w:rFonts w:ascii="Times New Roman" w:hAnsi="Times New Roman" w:cs="Times New Roman"/>
      <w:b/>
      <w:bCs/>
      <w:kern w:val="44"/>
      <w:sz w:val="20"/>
      <w:szCs w:val="20"/>
    </w:rPr>
  </w:style>
  <w:style w:type="paragraph" w:styleId="4">
    <w:name w:val="heading 2"/>
    <w:basedOn w:val="1"/>
    <w:next w:val="1"/>
    <w:link w:val="50"/>
    <w:qFormat/>
    <w:uiPriority w:val="0"/>
    <w:pPr>
      <w:keepNext/>
      <w:keepLines/>
      <w:spacing w:before="260" w:beforeLines="0" w:after="260" w:afterLines="0" w:line="413" w:lineRule="auto"/>
      <w:jc w:val="both"/>
      <w:outlineLvl w:val="1"/>
    </w:pPr>
    <w:rPr>
      <w:rFonts w:ascii="Arial" w:hAnsi="Arial" w:eastAsia="黑体" w:cs="Times New Roman"/>
      <w:b/>
      <w:bCs/>
      <w:kern w:val="0"/>
      <w:sz w:val="20"/>
      <w:szCs w:val="20"/>
    </w:rPr>
  </w:style>
  <w:style w:type="paragraph" w:styleId="5">
    <w:name w:val="heading 3"/>
    <w:basedOn w:val="1"/>
    <w:next w:val="1"/>
    <w:link w:val="51"/>
    <w:qFormat/>
    <w:uiPriority w:val="0"/>
    <w:pPr>
      <w:keepNext/>
      <w:keepLines/>
      <w:spacing w:before="260" w:beforeLines="0" w:after="260" w:afterLines="0" w:line="413" w:lineRule="auto"/>
      <w:jc w:val="both"/>
      <w:outlineLvl w:val="2"/>
    </w:pPr>
    <w:rPr>
      <w:rFonts w:ascii="Times New Roman" w:hAnsi="Times New Roman" w:cs="Times New Roman"/>
      <w:b/>
      <w:bCs/>
      <w:kern w:val="0"/>
      <w:sz w:val="20"/>
      <w:szCs w:val="20"/>
    </w:rPr>
  </w:style>
  <w:style w:type="paragraph" w:styleId="6">
    <w:name w:val="heading 4"/>
    <w:basedOn w:val="1"/>
    <w:next w:val="1"/>
    <w:link w:val="52"/>
    <w:qFormat/>
    <w:uiPriority w:val="0"/>
    <w:pPr>
      <w:keepNext/>
      <w:tabs>
        <w:tab w:val="left" w:pos="2880"/>
      </w:tabs>
      <w:adjustRightInd w:val="0"/>
      <w:snapToGrid w:val="0"/>
      <w:spacing w:before="156" w:beforeLines="50" w:after="0" w:afterLines="0" w:line="300" w:lineRule="auto"/>
      <w:ind w:left="2880" w:hanging="360"/>
      <w:jc w:val="both"/>
      <w:outlineLvl w:val="3"/>
    </w:pPr>
    <w:rPr>
      <w:rFonts w:ascii="宋体" w:hAnsi="宋体" w:cs="Times New Roman"/>
      <w:b/>
      <w:bCs/>
      <w:color w:val="000000"/>
      <w:kern w:val="0"/>
      <w:sz w:val="20"/>
      <w:szCs w:val="20"/>
    </w:rPr>
  </w:style>
  <w:style w:type="paragraph" w:styleId="7">
    <w:name w:val="heading 5"/>
    <w:basedOn w:val="1"/>
    <w:next w:val="1"/>
    <w:link w:val="53"/>
    <w:qFormat/>
    <w:uiPriority w:val="0"/>
    <w:pPr>
      <w:keepNext/>
      <w:keepLines/>
      <w:spacing w:before="280" w:beforeLines="0" w:after="290" w:afterLines="0" w:line="372" w:lineRule="auto"/>
      <w:jc w:val="both"/>
      <w:outlineLvl w:val="4"/>
    </w:pPr>
    <w:rPr>
      <w:rFonts w:ascii="Times New Roman" w:hAnsi="Times New Roman" w:cs="Times New Roman"/>
      <w:b/>
      <w:bCs/>
      <w:kern w:val="0"/>
      <w:sz w:val="20"/>
      <w:szCs w:val="20"/>
    </w:rPr>
  </w:style>
  <w:style w:type="paragraph" w:styleId="8">
    <w:name w:val="heading 6"/>
    <w:basedOn w:val="1"/>
    <w:next w:val="1"/>
    <w:link w:val="54"/>
    <w:qFormat/>
    <w:uiPriority w:val="0"/>
    <w:pPr>
      <w:keepNext/>
      <w:keepLines/>
      <w:spacing w:before="240" w:beforeLines="0" w:after="64" w:afterLines="0" w:line="320" w:lineRule="auto"/>
      <w:jc w:val="both"/>
      <w:outlineLvl w:val="5"/>
    </w:pPr>
    <w:rPr>
      <w:rFonts w:ascii="Arial" w:hAnsi="Arial" w:eastAsia="黑体" w:cs="Times New Roman"/>
      <w:b/>
      <w:bCs/>
      <w:kern w:val="0"/>
      <w:sz w:val="24"/>
      <w:szCs w:val="24"/>
    </w:rPr>
  </w:style>
  <w:style w:type="paragraph" w:styleId="9">
    <w:name w:val="heading 7"/>
    <w:basedOn w:val="1"/>
    <w:next w:val="10"/>
    <w:link w:val="55"/>
    <w:qFormat/>
    <w:uiPriority w:val="0"/>
    <w:pPr>
      <w:keepNext/>
      <w:keepLines/>
      <w:adjustRightInd w:val="0"/>
      <w:snapToGrid w:val="0"/>
      <w:spacing w:before="240" w:beforeLines="0" w:after="40" w:afterLines="0" w:line="460" w:lineRule="exact"/>
      <w:ind w:firstLine="482"/>
      <w:jc w:val="both"/>
      <w:textAlignment w:val="baseline"/>
      <w:outlineLvl w:val="6"/>
    </w:pPr>
    <w:rPr>
      <w:rFonts w:ascii="Times New Roman" w:hAnsi="Times New Roman" w:eastAsia="楷体_GB2312" w:cs="Times New Roman"/>
      <w:b/>
      <w:bCs/>
      <w:kern w:val="24"/>
      <w:sz w:val="20"/>
      <w:szCs w:val="20"/>
    </w:rPr>
  </w:style>
  <w:style w:type="paragraph" w:styleId="11">
    <w:name w:val="heading 8"/>
    <w:basedOn w:val="1"/>
    <w:next w:val="10"/>
    <w:link w:val="57"/>
    <w:qFormat/>
    <w:uiPriority w:val="0"/>
    <w:pPr>
      <w:keepNext/>
      <w:keepLines/>
      <w:adjustRightInd w:val="0"/>
      <w:snapToGrid w:val="0"/>
      <w:spacing w:before="120" w:beforeLines="0" w:after="20" w:afterLines="0" w:line="460" w:lineRule="exact"/>
      <w:ind w:firstLine="482"/>
      <w:jc w:val="both"/>
      <w:textAlignment w:val="baseline"/>
      <w:outlineLvl w:val="7"/>
    </w:pPr>
    <w:rPr>
      <w:rFonts w:ascii="Times New Roman" w:hAnsi="Times New Roman" w:eastAsia="楷体_GB2312" w:cs="Times New Roman"/>
      <w:kern w:val="24"/>
      <w:sz w:val="20"/>
      <w:szCs w:val="20"/>
    </w:rPr>
  </w:style>
  <w:style w:type="paragraph" w:styleId="12">
    <w:name w:val="heading 9"/>
    <w:basedOn w:val="1"/>
    <w:next w:val="10"/>
    <w:link w:val="58"/>
    <w:qFormat/>
    <w:uiPriority w:val="0"/>
    <w:pPr>
      <w:keepNext/>
      <w:keepLines/>
      <w:adjustRightInd w:val="0"/>
      <w:snapToGrid w:val="0"/>
      <w:spacing w:before="40" w:beforeLines="0" w:after="20" w:afterLines="0" w:line="460" w:lineRule="exact"/>
      <w:ind w:firstLine="482"/>
      <w:jc w:val="both"/>
      <w:textAlignment w:val="baseline"/>
      <w:outlineLvl w:val="8"/>
    </w:pPr>
    <w:rPr>
      <w:rFonts w:ascii="Times New Roman" w:hAnsi="Times New Roman" w:eastAsia="楷体_GB2312" w:cs="Times New Roman"/>
      <w:kern w:val="24"/>
      <w:sz w:val="20"/>
      <w:szCs w:val="20"/>
    </w:rPr>
  </w:style>
  <w:style w:type="character" w:default="1" w:styleId="43">
    <w:name w:val="Default Paragraph Font"/>
    <w:qFormat/>
    <w:uiPriority w:val="0"/>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kern w:val="0"/>
      <w:sz w:val="20"/>
      <w:szCs w:val="20"/>
    </w:rPr>
  </w:style>
  <w:style w:type="paragraph" w:customStyle="1" w:styleId="10">
    <w:name w:val="Normal Indent"/>
    <w:basedOn w:val="1"/>
    <w:link w:val="56"/>
    <w:uiPriority w:val="0"/>
    <w:pPr>
      <w:ind w:firstLine="420" w:firstLineChars="200"/>
    </w:pPr>
  </w:style>
  <w:style w:type="paragraph" w:styleId="13">
    <w:name w:val="toc 7"/>
    <w:basedOn w:val="1"/>
    <w:next w:val="1"/>
    <w:uiPriority w:val="0"/>
    <w:pPr>
      <w:spacing w:after="0" w:afterLines="0" w:line="240" w:lineRule="auto"/>
      <w:ind w:left="2520" w:leftChars="1200"/>
      <w:jc w:val="both"/>
    </w:pPr>
  </w:style>
  <w:style w:type="paragraph" w:styleId="14">
    <w:name w:val="Document Map"/>
    <w:basedOn w:val="1"/>
    <w:link w:val="59"/>
    <w:unhideWhenUsed/>
    <w:uiPriority w:val="99"/>
    <w:rPr>
      <w:rFonts w:ascii="宋体"/>
      <w:sz w:val="18"/>
      <w:szCs w:val="18"/>
    </w:rPr>
  </w:style>
  <w:style w:type="paragraph" w:styleId="15">
    <w:name w:val="annotation text"/>
    <w:basedOn w:val="1"/>
    <w:link w:val="60"/>
    <w:qFormat/>
    <w:uiPriority w:val="0"/>
  </w:style>
  <w:style w:type="paragraph" w:styleId="16">
    <w:name w:val="Body Text"/>
    <w:basedOn w:val="1"/>
    <w:link w:val="61"/>
    <w:uiPriority w:val="0"/>
    <w:pPr>
      <w:spacing w:after="120" w:afterLines="0"/>
    </w:pPr>
  </w:style>
  <w:style w:type="paragraph" w:styleId="17">
    <w:name w:val="Body Text Indent"/>
    <w:basedOn w:val="1"/>
    <w:unhideWhenUsed/>
    <w:qFormat/>
    <w:uiPriority w:val="99"/>
    <w:pPr>
      <w:spacing w:after="120"/>
      <w:ind w:left="420" w:leftChars="200"/>
    </w:pPr>
  </w:style>
  <w:style w:type="paragraph" w:styleId="18">
    <w:name w:val="toc 5"/>
    <w:basedOn w:val="1"/>
    <w:next w:val="1"/>
    <w:uiPriority w:val="0"/>
    <w:pPr>
      <w:spacing w:after="0" w:afterLines="0" w:line="240" w:lineRule="auto"/>
      <w:ind w:left="1680" w:leftChars="800"/>
      <w:jc w:val="both"/>
    </w:pPr>
  </w:style>
  <w:style w:type="paragraph" w:styleId="19">
    <w:name w:val="toc 3"/>
    <w:basedOn w:val="1"/>
    <w:next w:val="1"/>
    <w:uiPriority w:val="0"/>
    <w:pPr>
      <w:widowControl/>
      <w:spacing w:after="100" w:afterLines="0"/>
      <w:ind w:left="440"/>
    </w:pPr>
    <w:rPr>
      <w:kern w:val="0"/>
      <w:sz w:val="22"/>
    </w:rPr>
  </w:style>
  <w:style w:type="paragraph" w:styleId="20">
    <w:name w:val="Plain Text"/>
    <w:basedOn w:val="1"/>
    <w:link w:val="62"/>
    <w:qFormat/>
    <w:uiPriority w:val="0"/>
    <w:rPr>
      <w:rFonts w:ascii="宋体" w:hAnsi="Courier New" w:cs="Times New Roman"/>
      <w:kern w:val="0"/>
      <w:sz w:val="20"/>
      <w:szCs w:val="21"/>
    </w:rPr>
  </w:style>
  <w:style w:type="paragraph" w:styleId="21">
    <w:name w:val="toc 8"/>
    <w:basedOn w:val="1"/>
    <w:next w:val="1"/>
    <w:uiPriority w:val="0"/>
    <w:pPr>
      <w:spacing w:after="0" w:afterLines="0" w:line="240" w:lineRule="auto"/>
      <w:ind w:left="2940" w:leftChars="1400"/>
      <w:jc w:val="both"/>
    </w:pPr>
  </w:style>
  <w:style w:type="paragraph" w:styleId="22">
    <w:name w:val="endnote text"/>
    <w:basedOn w:val="1"/>
    <w:link w:val="63"/>
    <w:uiPriority w:val="0"/>
    <w:pPr>
      <w:snapToGrid w:val="0"/>
      <w:spacing w:after="0" w:afterLines="0" w:line="240" w:lineRule="auto"/>
    </w:pPr>
    <w:rPr>
      <w:rFonts w:ascii="Times New Roman" w:hAnsi="Times New Roman" w:cs="Times New Roman"/>
      <w:kern w:val="0"/>
      <w:sz w:val="20"/>
      <w:szCs w:val="20"/>
    </w:rPr>
  </w:style>
  <w:style w:type="paragraph" w:styleId="23">
    <w:name w:val="Balloon Text"/>
    <w:basedOn w:val="1"/>
    <w:link w:val="64"/>
    <w:uiPriority w:val="0"/>
    <w:pPr>
      <w:spacing w:after="0" w:afterLines="0" w:line="240" w:lineRule="auto"/>
    </w:pPr>
    <w:rPr>
      <w:rFonts w:ascii="Times New Roman" w:hAnsi="Times New Roman" w:cs="Times New Roman"/>
      <w:kern w:val="0"/>
      <w:sz w:val="18"/>
      <w:szCs w:val="18"/>
    </w:rPr>
  </w:style>
  <w:style w:type="paragraph" w:styleId="24">
    <w:name w:val="footer"/>
    <w:basedOn w:val="1"/>
    <w:link w:val="65"/>
    <w:uiPriority w:val="0"/>
    <w:pPr>
      <w:tabs>
        <w:tab w:val="center" w:pos="4153"/>
        <w:tab w:val="right" w:pos="8306"/>
      </w:tabs>
      <w:snapToGrid w:val="0"/>
      <w:spacing w:line="240" w:lineRule="auto"/>
    </w:pPr>
    <w:rPr>
      <w:rFonts w:ascii="Times New Roman" w:hAnsi="Times New Roman" w:cs="Times New Roman"/>
      <w:kern w:val="0"/>
      <w:sz w:val="18"/>
      <w:szCs w:val="18"/>
    </w:rPr>
  </w:style>
  <w:style w:type="paragraph" w:styleId="25">
    <w:name w:val="header"/>
    <w:basedOn w:val="1"/>
    <w:link w:val="66"/>
    <w:uiPriority w:val="0"/>
    <w:pPr>
      <w:pBdr>
        <w:bottom w:val="single" w:color="auto" w:sz="6" w:space="1"/>
      </w:pBdr>
      <w:tabs>
        <w:tab w:val="center" w:pos="4153"/>
        <w:tab w:val="right" w:pos="8306"/>
      </w:tabs>
      <w:snapToGrid w:val="0"/>
      <w:spacing w:line="240" w:lineRule="auto"/>
      <w:jc w:val="center"/>
    </w:pPr>
    <w:rPr>
      <w:rFonts w:ascii="Times New Roman" w:hAnsi="Times New Roman" w:cs="Times New Roman"/>
      <w:kern w:val="0"/>
      <w:sz w:val="18"/>
      <w:szCs w:val="18"/>
    </w:rPr>
  </w:style>
  <w:style w:type="paragraph" w:styleId="26">
    <w:name w:val="toc 1"/>
    <w:basedOn w:val="1"/>
    <w:next w:val="1"/>
    <w:qFormat/>
    <w:uiPriority w:val="0"/>
    <w:pPr>
      <w:widowControl/>
      <w:spacing w:after="100" w:afterLines="0"/>
    </w:pPr>
    <w:rPr>
      <w:kern w:val="0"/>
      <w:sz w:val="22"/>
    </w:rPr>
  </w:style>
  <w:style w:type="paragraph" w:styleId="27">
    <w:name w:val="toc 4"/>
    <w:basedOn w:val="1"/>
    <w:next w:val="1"/>
    <w:uiPriority w:val="0"/>
    <w:pPr>
      <w:spacing w:after="0" w:afterLines="0" w:line="240" w:lineRule="auto"/>
      <w:ind w:left="1260" w:leftChars="600"/>
      <w:jc w:val="both"/>
    </w:pPr>
  </w:style>
  <w:style w:type="paragraph" w:styleId="28">
    <w:name w:val="index heading"/>
    <w:basedOn w:val="1"/>
    <w:next w:val="29"/>
    <w:qFormat/>
    <w:uiPriority w:val="0"/>
    <w:pPr>
      <w:spacing w:before="120" w:after="120"/>
      <w:jc w:val="center"/>
    </w:pPr>
    <w:rPr>
      <w:rFonts w:ascii="Calibri" w:hAnsi="Calibri"/>
      <w:b/>
      <w:bCs/>
      <w:iCs/>
      <w:szCs w:val="20"/>
    </w:rPr>
  </w:style>
  <w:style w:type="paragraph" w:styleId="29">
    <w:name w:val="index 1"/>
    <w:basedOn w:val="1"/>
    <w:next w:val="30"/>
    <w:qFormat/>
    <w:uiPriority w:val="0"/>
    <w:pPr>
      <w:tabs>
        <w:tab w:val="right" w:leader="dot" w:pos="9299"/>
      </w:tabs>
      <w:jc w:val="left"/>
    </w:pPr>
    <w:rPr>
      <w:rFonts w:ascii="宋体"/>
      <w:szCs w:val="21"/>
    </w:rPr>
  </w:style>
  <w:style w:type="paragraph" w:customStyle="1" w:styleId="3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Subtitle"/>
    <w:basedOn w:val="1"/>
    <w:link w:val="67"/>
    <w:qFormat/>
    <w:uiPriority w:val="0"/>
    <w:pPr>
      <w:spacing w:before="240" w:beforeLines="0" w:after="60" w:afterLines="0" w:line="312" w:lineRule="auto"/>
      <w:jc w:val="center"/>
      <w:outlineLvl w:val="1"/>
    </w:pPr>
    <w:rPr>
      <w:rFonts w:ascii="Arial" w:hAnsi="Arial" w:cs="Times New Roman"/>
      <w:b/>
      <w:bCs/>
      <w:kern w:val="28"/>
      <w:sz w:val="32"/>
      <w:szCs w:val="32"/>
    </w:rPr>
  </w:style>
  <w:style w:type="paragraph" w:styleId="32">
    <w:name w:val="footnote text"/>
    <w:basedOn w:val="1"/>
    <w:link w:val="68"/>
    <w:qFormat/>
    <w:uiPriority w:val="0"/>
    <w:pPr>
      <w:snapToGrid w:val="0"/>
      <w:spacing w:after="0" w:afterLines="0" w:line="240" w:lineRule="auto"/>
    </w:pPr>
    <w:rPr>
      <w:rFonts w:ascii="Times New Roman" w:hAnsi="Times New Roman" w:cs="Times New Roman"/>
      <w:kern w:val="0"/>
      <w:sz w:val="18"/>
      <w:szCs w:val="18"/>
    </w:rPr>
  </w:style>
  <w:style w:type="paragraph" w:styleId="33">
    <w:name w:val="toc 6"/>
    <w:basedOn w:val="1"/>
    <w:next w:val="1"/>
    <w:qFormat/>
    <w:uiPriority w:val="0"/>
    <w:pPr>
      <w:spacing w:after="0" w:afterLines="0" w:line="240" w:lineRule="auto"/>
      <w:ind w:left="2100" w:leftChars="1000"/>
      <w:jc w:val="both"/>
    </w:pPr>
  </w:style>
  <w:style w:type="paragraph" w:styleId="34">
    <w:name w:val="toc 2"/>
    <w:basedOn w:val="1"/>
    <w:next w:val="1"/>
    <w:qFormat/>
    <w:uiPriority w:val="0"/>
    <w:pPr>
      <w:widowControl/>
      <w:spacing w:after="100" w:afterLines="0"/>
      <w:ind w:left="220"/>
    </w:pPr>
    <w:rPr>
      <w:kern w:val="0"/>
      <w:sz w:val="22"/>
    </w:rPr>
  </w:style>
  <w:style w:type="paragraph" w:styleId="35">
    <w:name w:val="toc 9"/>
    <w:basedOn w:val="1"/>
    <w:next w:val="1"/>
    <w:uiPriority w:val="0"/>
    <w:pPr>
      <w:spacing w:after="0" w:afterLines="0" w:line="240" w:lineRule="auto"/>
      <w:ind w:left="3360" w:leftChars="1600"/>
      <w:jc w:val="both"/>
    </w:p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szCs w:val="24"/>
    </w:rPr>
  </w:style>
  <w:style w:type="paragraph" w:styleId="3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38">
    <w:name w:val="Title"/>
    <w:basedOn w:val="1"/>
    <w:next w:val="1"/>
    <w:link w:val="69"/>
    <w:qFormat/>
    <w:uiPriority w:val="0"/>
    <w:pPr>
      <w:spacing w:before="240" w:beforeLines="0" w:after="60" w:afterLines="0" w:line="240" w:lineRule="auto"/>
      <w:jc w:val="center"/>
      <w:outlineLvl w:val="0"/>
    </w:pPr>
    <w:rPr>
      <w:rFonts w:ascii="Cambria" w:hAnsi="Cambria" w:cs="Times New Roman"/>
      <w:b/>
      <w:bCs/>
      <w:kern w:val="0"/>
      <w:sz w:val="20"/>
      <w:szCs w:val="20"/>
    </w:rPr>
  </w:style>
  <w:style w:type="paragraph" w:styleId="39">
    <w:name w:val="annotation subject"/>
    <w:basedOn w:val="15"/>
    <w:next w:val="15"/>
    <w:link w:val="70"/>
    <w:unhideWhenUsed/>
    <w:qFormat/>
    <w:uiPriority w:val="99"/>
    <w:rPr>
      <w:rFonts w:cs="Times New Roman"/>
      <w:b/>
      <w:bCs/>
    </w:rPr>
  </w:style>
  <w:style w:type="paragraph" w:styleId="40">
    <w:name w:val="Body Text First Indent"/>
    <w:basedOn w:val="16"/>
    <w:link w:val="71"/>
    <w:unhideWhenUsed/>
    <w:uiPriority w:val="99"/>
    <w:pPr>
      <w:ind w:firstLine="420" w:firstLineChars="100"/>
    </w:pPr>
    <w:rPr>
      <w:rFonts w:cs="Times New Roman"/>
    </w:rPr>
  </w:style>
  <w:style w:type="table" w:styleId="42">
    <w:name w:val="Table Grid"/>
    <w:basedOn w:val="4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22"/>
    <w:rPr>
      <w:b/>
    </w:rPr>
  </w:style>
  <w:style w:type="character" w:styleId="45">
    <w:name w:val="page number"/>
    <w:basedOn w:val="43"/>
    <w:qFormat/>
    <w:uiPriority w:val="0"/>
  </w:style>
  <w:style w:type="character" w:styleId="46">
    <w:name w:val="Hyperlink"/>
    <w:qFormat/>
    <w:uiPriority w:val="0"/>
    <w:rPr>
      <w:color w:val="0000FF"/>
      <w:u w:val="single"/>
    </w:rPr>
  </w:style>
  <w:style w:type="character" w:styleId="47">
    <w:name w:val="annotation reference"/>
    <w:unhideWhenUsed/>
    <w:qFormat/>
    <w:uiPriority w:val="99"/>
    <w:rPr>
      <w:sz w:val="21"/>
      <w:szCs w:val="21"/>
    </w:rPr>
  </w:style>
  <w:style w:type="character" w:styleId="48">
    <w:name w:val="footnote reference"/>
    <w:basedOn w:val="43"/>
    <w:qFormat/>
    <w:uiPriority w:val="0"/>
    <w:rPr>
      <w:vertAlign w:val="superscript"/>
    </w:rPr>
  </w:style>
  <w:style w:type="character" w:customStyle="1" w:styleId="49">
    <w:name w:val="标题 1 Char"/>
    <w:link w:val="3"/>
    <w:uiPriority w:val="0"/>
    <w:rPr>
      <w:rFonts w:ascii="Times New Roman" w:hAnsi="Times New Roman" w:eastAsia="宋体" w:cs="Times New Roman"/>
      <w:b/>
      <w:bCs/>
      <w:kern w:val="44"/>
      <w:sz w:val="20"/>
      <w:szCs w:val="20"/>
    </w:rPr>
  </w:style>
  <w:style w:type="character" w:customStyle="1" w:styleId="50">
    <w:name w:val="标题 2 Char"/>
    <w:link w:val="4"/>
    <w:qFormat/>
    <w:uiPriority w:val="0"/>
    <w:rPr>
      <w:rFonts w:ascii="Arial" w:hAnsi="Arial" w:eastAsia="黑体" w:cs="Times New Roman"/>
      <w:b/>
      <w:bCs/>
      <w:kern w:val="0"/>
      <w:sz w:val="20"/>
      <w:szCs w:val="20"/>
    </w:rPr>
  </w:style>
  <w:style w:type="character" w:customStyle="1" w:styleId="51">
    <w:name w:val="标题 3 Char"/>
    <w:link w:val="5"/>
    <w:uiPriority w:val="0"/>
    <w:rPr>
      <w:rFonts w:ascii="Times New Roman" w:hAnsi="Times New Roman" w:eastAsia="宋体" w:cs="Times New Roman"/>
      <w:b/>
      <w:bCs/>
      <w:kern w:val="0"/>
      <w:sz w:val="20"/>
      <w:szCs w:val="20"/>
    </w:rPr>
  </w:style>
  <w:style w:type="character" w:customStyle="1" w:styleId="52">
    <w:name w:val="标题 4 Char"/>
    <w:link w:val="6"/>
    <w:qFormat/>
    <w:uiPriority w:val="0"/>
    <w:rPr>
      <w:rFonts w:ascii="宋体" w:hAnsi="宋体" w:eastAsia="宋体" w:cs="Times New Roman"/>
      <w:b/>
      <w:bCs/>
      <w:color w:val="000000"/>
      <w:kern w:val="0"/>
      <w:sz w:val="20"/>
      <w:szCs w:val="20"/>
    </w:rPr>
  </w:style>
  <w:style w:type="character" w:customStyle="1" w:styleId="53">
    <w:name w:val="标题 5 Char"/>
    <w:link w:val="7"/>
    <w:qFormat/>
    <w:uiPriority w:val="0"/>
    <w:rPr>
      <w:rFonts w:ascii="Times New Roman" w:hAnsi="Times New Roman" w:eastAsia="宋体" w:cs="Times New Roman"/>
      <w:b/>
      <w:bCs/>
      <w:kern w:val="0"/>
      <w:sz w:val="20"/>
      <w:szCs w:val="20"/>
    </w:rPr>
  </w:style>
  <w:style w:type="character" w:customStyle="1" w:styleId="54">
    <w:name w:val="标题 6 Char"/>
    <w:link w:val="8"/>
    <w:qFormat/>
    <w:uiPriority w:val="0"/>
    <w:rPr>
      <w:rFonts w:ascii="Arial" w:hAnsi="Arial" w:eastAsia="黑体" w:cs="Times New Roman"/>
      <w:b/>
      <w:bCs/>
      <w:kern w:val="0"/>
      <w:sz w:val="24"/>
      <w:szCs w:val="24"/>
    </w:rPr>
  </w:style>
  <w:style w:type="character" w:customStyle="1" w:styleId="55">
    <w:name w:val="标题 7 Char"/>
    <w:link w:val="9"/>
    <w:uiPriority w:val="0"/>
    <w:rPr>
      <w:rFonts w:ascii="Times New Roman" w:hAnsi="Times New Roman" w:eastAsia="楷体_GB2312" w:cs="Times New Roman"/>
      <w:b/>
      <w:bCs/>
      <w:kern w:val="24"/>
      <w:sz w:val="20"/>
      <w:szCs w:val="20"/>
    </w:rPr>
  </w:style>
  <w:style w:type="character" w:customStyle="1" w:styleId="56">
    <w:name w:val="正文缩进 Char"/>
    <w:link w:val="10"/>
    <w:qFormat/>
    <w:uiPriority w:val="0"/>
  </w:style>
  <w:style w:type="character" w:customStyle="1" w:styleId="57">
    <w:name w:val="标题 8 Char"/>
    <w:link w:val="11"/>
    <w:qFormat/>
    <w:uiPriority w:val="0"/>
    <w:rPr>
      <w:rFonts w:ascii="Times New Roman" w:hAnsi="Times New Roman" w:eastAsia="楷体_GB2312" w:cs="Times New Roman"/>
      <w:kern w:val="24"/>
      <w:sz w:val="20"/>
      <w:szCs w:val="20"/>
    </w:rPr>
  </w:style>
  <w:style w:type="character" w:customStyle="1" w:styleId="58">
    <w:name w:val="标题 9 Char"/>
    <w:link w:val="12"/>
    <w:uiPriority w:val="0"/>
    <w:rPr>
      <w:rFonts w:ascii="Times New Roman" w:hAnsi="Times New Roman" w:eastAsia="楷体_GB2312" w:cs="Times New Roman"/>
      <w:kern w:val="24"/>
      <w:sz w:val="20"/>
      <w:szCs w:val="20"/>
    </w:rPr>
  </w:style>
  <w:style w:type="character" w:customStyle="1" w:styleId="59">
    <w:name w:val="文档结构图 Char1"/>
    <w:basedOn w:val="43"/>
    <w:link w:val="14"/>
    <w:semiHidden/>
    <w:uiPriority w:val="99"/>
    <w:rPr>
      <w:rFonts w:ascii="宋体" w:hAnsi="Calibri" w:cs="黑体"/>
      <w:kern w:val="2"/>
      <w:sz w:val="18"/>
      <w:szCs w:val="18"/>
    </w:rPr>
  </w:style>
  <w:style w:type="character" w:customStyle="1" w:styleId="60">
    <w:name w:val="批注文字 Char"/>
    <w:basedOn w:val="43"/>
    <w:link w:val="15"/>
    <w:uiPriority w:val="0"/>
  </w:style>
  <w:style w:type="character" w:customStyle="1" w:styleId="61">
    <w:name w:val="正文文本 Char"/>
    <w:basedOn w:val="43"/>
    <w:link w:val="16"/>
    <w:qFormat/>
    <w:uiPriority w:val="0"/>
  </w:style>
  <w:style w:type="character" w:customStyle="1" w:styleId="62">
    <w:name w:val="纯文本 Char"/>
    <w:link w:val="20"/>
    <w:uiPriority w:val="0"/>
    <w:rPr>
      <w:rFonts w:ascii="宋体" w:hAnsi="Courier New" w:eastAsia="宋体" w:cs="Courier New"/>
      <w:szCs w:val="21"/>
    </w:rPr>
  </w:style>
  <w:style w:type="character" w:customStyle="1" w:styleId="63">
    <w:name w:val="尾注文本 Char"/>
    <w:link w:val="22"/>
    <w:uiPriority w:val="0"/>
    <w:rPr>
      <w:rFonts w:ascii="Times New Roman" w:hAnsi="Times New Roman" w:eastAsia="宋体" w:cs="Times New Roman"/>
      <w:kern w:val="0"/>
      <w:sz w:val="20"/>
      <w:szCs w:val="20"/>
    </w:rPr>
  </w:style>
  <w:style w:type="character" w:customStyle="1" w:styleId="64">
    <w:name w:val="批注框文本 Char"/>
    <w:link w:val="23"/>
    <w:uiPriority w:val="0"/>
    <w:rPr>
      <w:sz w:val="18"/>
      <w:szCs w:val="18"/>
    </w:rPr>
  </w:style>
  <w:style w:type="character" w:customStyle="1" w:styleId="65">
    <w:name w:val="页脚 Char"/>
    <w:link w:val="24"/>
    <w:uiPriority w:val="0"/>
    <w:rPr>
      <w:sz w:val="18"/>
      <w:szCs w:val="18"/>
    </w:rPr>
  </w:style>
  <w:style w:type="character" w:customStyle="1" w:styleId="66">
    <w:name w:val="页眉 Char"/>
    <w:link w:val="25"/>
    <w:uiPriority w:val="0"/>
    <w:rPr>
      <w:sz w:val="18"/>
      <w:szCs w:val="18"/>
    </w:rPr>
  </w:style>
  <w:style w:type="character" w:customStyle="1" w:styleId="67">
    <w:name w:val="副标题 Char"/>
    <w:link w:val="31"/>
    <w:uiPriority w:val="0"/>
    <w:rPr>
      <w:rFonts w:ascii="Arial" w:hAnsi="Arial" w:eastAsia="宋体" w:cs="Times New Roman"/>
      <w:b/>
      <w:bCs/>
      <w:kern w:val="28"/>
      <w:sz w:val="32"/>
      <w:szCs w:val="32"/>
    </w:rPr>
  </w:style>
  <w:style w:type="character" w:customStyle="1" w:styleId="68">
    <w:name w:val="脚注文本 Char"/>
    <w:link w:val="32"/>
    <w:uiPriority w:val="0"/>
    <w:rPr>
      <w:rFonts w:ascii="Times New Roman" w:hAnsi="Times New Roman" w:eastAsia="宋体" w:cs="Times New Roman"/>
      <w:kern w:val="0"/>
      <w:sz w:val="18"/>
      <w:szCs w:val="18"/>
    </w:rPr>
  </w:style>
  <w:style w:type="character" w:customStyle="1" w:styleId="69">
    <w:name w:val="标题 Char"/>
    <w:link w:val="38"/>
    <w:uiPriority w:val="0"/>
    <w:rPr>
      <w:rFonts w:ascii="Cambria" w:hAnsi="Cambria" w:eastAsia="宋体" w:cs="Times New Roman"/>
      <w:b/>
      <w:bCs/>
      <w:kern w:val="0"/>
      <w:sz w:val="20"/>
      <w:szCs w:val="20"/>
    </w:rPr>
  </w:style>
  <w:style w:type="character" w:customStyle="1" w:styleId="70">
    <w:name w:val="批注主题 Char1"/>
    <w:link w:val="39"/>
    <w:semiHidden/>
    <w:uiPriority w:val="99"/>
    <w:rPr>
      <w:rFonts w:ascii="Calibri" w:hAnsi="Calibri" w:cs="黑体"/>
      <w:b/>
      <w:bCs/>
      <w:kern w:val="2"/>
      <w:sz w:val="21"/>
      <w:szCs w:val="22"/>
    </w:rPr>
  </w:style>
  <w:style w:type="character" w:customStyle="1" w:styleId="71">
    <w:name w:val="正文首行缩进 Char1"/>
    <w:link w:val="40"/>
    <w:semiHidden/>
    <w:uiPriority w:val="99"/>
    <w:rPr>
      <w:rFonts w:ascii="Calibri" w:hAnsi="Calibri" w:cs="黑体"/>
      <w:kern w:val="2"/>
      <w:sz w:val="21"/>
      <w:szCs w:val="22"/>
    </w:rPr>
  </w:style>
  <w:style w:type="character" w:customStyle="1" w:styleId="72">
    <w:name w:val="正文首行缩进 2 Char"/>
    <w:link w:val="73"/>
    <w:uiPriority w:val="0"/>
    <w:rPr>
      <w:rFonts w:ascii="Times New Roman" w:hAnsi="Times New Roman" w:eastAsia="宋体" w:cs="Times New Roman"/>
      <w:spacing w:val="10"/>
      <w:kern w:val="0"/>
      <w:sz w:val="24"/>
      <w:szCs w:val="24"/>
    </w:rPr>
  </w:style>
  <w:style w:type="paragraph" w:customStyle="1" w:styleId="73">
    <w:name w:val="Body Text First Indent 2"/>
    <w:basedOn w:val="74"/>
    <w:link w:val="72"/>
    <w:uiPriority w:val="0"/>
    <w:pPr>
      <w:ind w:firstLine="210" w:firstLineChars="200"/>
    </w:pPr>
    <w:rPr>
      <w:rFonts w:ascii="Times New Roman" w:hAnsi="Times New Roman"/>
      <w:spacing w:val="10"/>
      <w:sz w:val="24"/>
    </w:rPr>
  </w:style>
  <w:style w:type="paragraph" w:customStyle="1" w:styleId="74">
    <w:name w:val="Body Text Indent"/>
    <w:basedOn w:val="1"/>
    <w:link w:val="75"/>
    <w:uiPriority w:val="0"/>
    <w:pPr>
      <w:spacing w:after="120" w:afterLines="0" w:line="240" w:lineRule="auto"/>
      <w:ind w:left="420" w:leftChars="200"/>
      <w:jc w:val="both"/>
    </w:pPr>
    <w:rPr>
      <w:rFonts w:ascii="Cambria" w:hAnsi="Cambria" w:cs="Times New Roman"/>
      <w:kern w:val="0"/>
      <w:sz w:val="20"/>
      <w:szCs w:val="24"/>
    </w:rPr>
  </w:style>
  <w:style w:type="character" w:customStyle="1" w:styleId="75">
    <w:name w:val="正文文本缩进 Char"/>
    <w:link w:val="74"/>
    <w:uiPriority w:val="0"/>
    <w:rPr>
      <w:rFonts w:ascii="Cambria" w:hAnsi="Cambria" w:eastAsia="宋体" w:cs="Times New Roman"/>
      <w:szCs w:val="24"/>
    </w:rPr>
  </w:style>
  <w:style w:type="character" w:customStyle="1" w:styleId="76">
    <w:name w:val="font81"/>
    <w:qFormat/>
    <w:uiPriority w:val="0"/>
    <w:rPr>
      <w:rFonts w:ascii="楷体_GB2312" w:eastAsia="楷体_GB2312" w:cs="楷体_GB2312"/>
      <w:b/>
      <w:color w:val="000000"/>
      <w:sz w:val="21"/>
      <w:szCs w:val="21"/>
      <w:u w:val="none"/>
    </w:rPr>
  </w:style>
  <w:style w:type="character" w:customStyle="1" w:styleId="77">
    <w:name w:val="普通(网站) Char"/>
    <w:link w:val="78"/>
    <w:uiPriority w:val="0"/>
    <w:rPr>
      <w:rFonts w:ascii="宋体" w:hAnsi="宋体" w:eastAsia="宋体" w:cs="宋体"/>
      <w:kern w:val="0"/>
      <w:sz w:val="24"/>
      <w:szCs w:val="24"/>
    </w:rPr>
  </w:style>
  <w:style w:type="paragraph" w:customStyle="1" w:styleId="78">
    <w:name w:val="Normal (Web)"/>
    <w:basedOn w:val="1"/>
    <w:link w:val="77"/>
    <w:uiPriority w:val="0"/>
    <w:pPr>
      <w:widowControl/>
      <w:spacing w:before="100" w:beforeLines="0" w:beforeAutospacing="1" w:after="100" w:afterLines="0" w:afterAutospacing="1" w:line="240" w:lineRule="auto"/>
    </w:pPr>
    <w:rPr>
      <w:rFonts w:ascii="宋体" w:hAnsi="宋体" w:cs="Times New Roman"/>
      <w:kern w:val="0"/>
      <w:sz w:val="24"/>
      <w:szCs w:val="24"/>
    </w:rPr>
  </w:style>
  <w:style w:type="character" w:customStyle="1" w:styleId="79">
    <w:name w:val="样式 标题 1 + Char Char"/>
    <w:link w:val="80"/>
    <w:uiPriority w:val="0"/>
    <w:rPr>
      <w:rFonts w:eastAsia="仿宋_GB2312"/>
      <w:b/>
      <w:bCs/>
      <w:kern w:val="44"/>
      <w:sz w:val="32"/>
      <w:szCs w:val="32"/>
    </w:rPr>
  </w:style>
  <w:style w:type="paragraph" w:customStyle="1" w:styleId="80">
    <w:name w:val="样式 标题 1 +"/>
    <w:basedOn w:val="3"/>
    <w:link w:val="79"/>
    <w:uiPriority w:val="0"/>
    <w:pPr>
      <w:widowControl/>
      <w:autoSpaceDE w:val="0"/>
      <w:autoSpaceDN w:val="0"/>
      <w:adjustRightInd w:val="0"/>
      <w:snapToGrid w:val="0"/>
      <w:spacing w:before="0" w:beforeLines="0" w:after="0" w:afterLines="0" w:line="288" w:lineRule="auto"/>
      <w:ind w:firstLine="1251" w:firstLineChars="445"/>
    </w:pPr>
    <w:rPr>
      <w:rFonts w:eastAsia="仿宋_GB2312"/>
      <w:sz w:val="32"/>
      <w:szCs w:val="32"/>
    </w:rPr>
  </w:style>
  <w:style w:type="character" w:customStyle="1" w:styleId="81">
    <w:name w:val="z-窗体顶端 Char"/>
    <w:link w:val="82"/>
    <w:uiPriority w:val="0"/>
    <w:rPr>
      <w:rFonts w:ascii="Arial" w:hAnsi="Arial" w:eastAsia="宋体" w:cs="Times New Roman"/>
      <w:vanish/>
      <w:kern w:val="0"/>
      <w:sz w:val="16"/>
      <w:szCs w:val="16"/>
    </w:rPr>
  </w:style>
  <w:style w:type="paragraph" w:customStyle="1" w:styleId="82">
    <w:name w:val="z-窗体顶端1"/>
    <w:basedOn w:val="1"/>
    <w:next w:val="1"/>
    <w:link w:val="81"/>
    <w:uiPriority w:val="0"/>
    <w:pPr>
      <w:widowControl/>
      <w:pBdr>
        <w:bottom w:val="single" w:color="auto" w:sz="6" w:space="1"/>
      </w:pBdr>
      <w:spacing w:after="0" w:afterLines="0" w:line="240" w:lineRule="auto"/>
      <w:jc w:val="center"/>
    </w:pPr>
    <w:rPr>
      <w:rFonts w:ascii="Arial" w:hAnsi="Arial" w:cs="Times New Roman"/>
      <w:vanish/>
      <w:kern w:val="0"/>
      <w:sz w:val="16"/>
      <w:szCs w:val="16"/>
    </w:rPr>
  </w:style>
  <w:style w:type="character" w:customStyle="1" w:styleId="83">
    <w:name w:val="正文文本缩进 2 Char"/>
    <w:link w:val="84"/>
    <w:uiPriority w:val="0"/>
    <w:rPr>
      <w:rFonts w:ascii="Times New Roman" w:hAnsi="Times New Roman" w:eastAsia="宋体" w:cs="Times New Roman"/>
      <w:kern w:val="0"/>
      <w:sz w:val="20"/>
      <w:szCs w:val="20"/>
    </w:rPr>
  </w:style>
  <w:style w:type="paragraph" w:customStyle="1" w:styleId="84">
    <w:name w:val="Body Text Indent 2"/>
    <w:basedOn w:val="1"/>
    <w:link w:val="83"/>
    <w:uiPriority w:val="0"/>
    <w:pPr>
      <w:spacing w:after="120" w:afterLines="0" w:line="480" w:lineRule="auto"/>
      <w:ind w:left="420" w:leftChars="200"/>
      <w:jc w:val="both"/>
    </w:pPr>
    <w:rPr>
      <w:rFonts w:ascii="Times New Roman" w:hAnsi="Times New Roman" w:cs="Times New Roman"/>
      <w:kern w:val="0"/>
      <w:sz w:val="20"/>
      <w:szCs w:val="20"/>
    </w:rPr>
  </w:style>
  <w:style w:type="character" w:customStyle="1" w:styleId="85">
    <w:name w:val="font21"/>
    <w:basedOn w:val="43"/>
    <w:qFormat/>
    <w:uiPriority w:val="0"/>
    <w:rPr>
      <w:rFonts w:hint="default" w:ascii="Times New Roman" w:hAnsi="Times New Roman" w:cs="Times New Roman"/>
      <w:color w:val="000000"/>
      <w:sz w:val="21"/>
      <w:szCs w:val="21"/>
      <w:u w:val="none"/>
    </w:rPr>
  </w:style>
  <w:style w:type="character" w:customStyle="1" w:styleId="86">
    <w:name w:val="HTML 地址 Char"/>
    <w:link w:val="87"/>
    <w:uiPriority w:val="0"/>
    <w:rPr>
      <w:rFonts w:ascii="Times New Roman" w:hAnsi="Times New Roman" w:eastAsia="宋体" w:cs="Times New Roman"/>
      <w:i/>
      <w:iCs/>
      <w:kern w:val="0"/>
      <w:sz w:val="24"/>
      <w:szCs w:val="24"/>
    </w:rPr>
  </w:style>
  <w:style w:type="paragraph" w:customStyle="1" w:styleId="87">
    <w:name w:val="HTML Address"/>
    <w:basedOn w:val="1"/>
    <w:link w:val="86"/>
    <w:uiPriority w:val="0"/>
    <w:pPr>
      <w:spacing w:after="0" w:afterLines="0" w:line="240" w:lineRule="auto"/>
      <w:jc w:val="both"/>
    </w:pPr>
    <w:rPr>
      <w:rFonts w:ascii="Times New Roman" w:hAnsi="Times New Roman" w:cs="Times New Roman"/>
      <w:i/>
      <w:iCs/>
      <w:kern w:val="0"/>
      <w:sz w:val="24"/>
      <w:szCs w:val="24"/>
    </w:rPr>
  </w:style>
  <w:style w:type="character" w:customStyle="1" w:styleId="88">
    <w:name w:val="annotation reference"/>
    <w:uiPriority w:val="0"/>
    <w:rPr>
      <w:sz w:val="21"/>
      <w:szCs w:val="21"/>
    </w:rPr>
  </w:style>
  <w:style w:type="character" w:customStyle="1" w:styleId="89">
    <w:name w:val="font31"/>
    <w:uiPriority w:val="0"/>
    <w:rPr>
      <w:rFonts w:hint="eastAsia" w:ascii="楷体" w:hAnsi="楷体" w:eastAsia="楷体"/>
      <w:b/>
      <w:bCs/>
      <w:color w:val="000000"/>
      <w:sz w:val="21"/>
      <w:szCs w:val="21"/>
      <w:u w:val="none"/>
    </w:rPr>
  </w:style>
  <w:style w:type="character" w:customStyle="1" w:styleId="90">
    <w:name w:val="注释标题 Char"/>
    <w:link w:val="91"/>
    <w:uiPriority w:val="0"/>
    <w:rPr>
      <w:rFonts w:ascii="Times New Roman" w:hAnsi="Times New Roman" w:eastAsia="宋体" w:cs="Times New Roman"/>
      <w:kern w:val="0"/>
      <w:sz w:val="24"/>
      <w:szCs w:val="24"/>
    </w:rPr>
  </w:style>
  <w:style w:type="paragraph" w:customStyle="1" w:styleId="91">
    <w:name w:val="Note Heading"/>
    <w:basedOn w:val="1"/>
    <w:next w:val="1"/>
    <w:link w:val="90"/>
    <w:uiPriority w:val="0"/>
    <w:pPr>
      <w:spacing w:after="0" w:afterLines="0" w:line="240" w:lineRule="auto"/>
      <w:jc w:val="center"/>
    </w:pPr>
    <w:rPr>
      <w:rFonts w:ascii="Times New Roman" w:hAnsi="Times New Roman" w:cs="Times New Roman"/>
      <w:kern w:val="0"/>
      <w:sz w:val="24"/>
      <w:szCs w:val="24"/>
    </w:rPr>
  </w:style>
  <w:style w:type="character" w:customStyle="1" w:styleId="92">
    <w:name w:val="签名 Char"/>
    <w:link w:val="93"/>
    <w:uiPriority w:val="0"/>
    <w:rPr>
      <w:rFonts w:ascii="Times New Roman" w:hAnsi="Times New Roman" w:eastAsia="宋体" w:cs="Times New Roman"/>
      <w:kern w:val="0"/>
      <w:sz w:val="24"/>
      <w:szCs w:val="24"/>
    </w:rPr>
  </w:style>
  <w:style w:type="paragraph" w:customStyle="1" w:styleId="93">
    <w:name w:val="Signature"/>
    <w:basedOn w:val="1"/>
    <w:link w:val="92"/>
    <w:uiPriority w:val="0"/>
    <w:pPr>
      <w:spacing w:after="0" w:afterLines="0" w:line="240" w:lineRule="auto"/>
      <w:ind w:left="100" w:leftChars="2100"/>
      <w:jc w:val="both"/>
    </w:pPr>
    <w:rPr>
      <w:rFonts w:ascii="Times New Roman" w:hAnsi="Times New Roman" w:cs="Times New Roman"/>
      <w:kern w:val="0"/>
      <w:sz w:val="24"/>
      <w:szCs w:val="24"/>
    </w:rPr>
  </w:style>
  <w:style w:type="character" w:customStyle="1" w:styleId="94">
    <w:name w:val="募集正文 Char Char"/>
    <w:link w:val="95"/>
    <w:uiPriority w:val="0"/>
    <w:rPr>
      <w:rFonts w:ascii="楷体_GB2312" w:hAnsi="Times New Roman" w:eastAsia="楷体_GB2312" w:cs="Times New Roman"/>
      <w:kern w:val="0"/>
      <w:sz w:val="20"/>
      <w:szCs w:val="20"/>
    </w:rPr>
  </w:style>
  <w:style w:type="paragraph" w:customStyle="1" w:styleId="95">
    <w:name w:val="募集正文"/>
    <w:basedOn w:val="2"/>
    <w:link w:val="94"/>
    <w:uiPriority w:val="0"/>
    <w:pPr>
      <w:spacing w:after="0" w:afterLines="0" w:line="288" w:lineRule="auto"/>
      <w:ind w:firstLine="200"/>
      <w:jc w:val="both"/>
    </w:pPr>
    <w:rPr>
      <w:rFonts w:ascii="楷体_GB2312" w:hAnsi="Times New Roman" w:eastAsia="楷体_GB2312" w:cs="Times New Roman"/>
    </w:rPr>
  </w:style>
  <w:style w:type="character" w:customStyle="1" w:styleId="96">
    <w:name w:val="附注二级 Char Char"/>
    <w:link w:val="97"/>
    <w:uiPriority w:val="0"/>
    <w:rPr>
      <w:rFonts w:ascii="宋体" w:hAnsi="宋体" w:eastAsia="宋体" w:cs="Times New Roman"/>
      <w:b/>
      <w:szCs w:val="21"/>
    </w:rPr>
  </w:style>
  <w:style w:type="paragraph" w:customStyle="1" w:styleId="97">
    <w:name w:val="附注二级"/>
    <w:basedOn w:val="1"/>
    <w:link w:val="96"/>
    <w:uiPriority w:val="0"/>
    <w:pPr>
      <w:tabs>
        <w:tab w:val="left" w:pos="714"/>
      </w:tabs>
      <w:adjustRightInd w:val="0"/>
      <w:snapToGrid w:val="0"/>
      <w:spacing w:after="0" w:afterLines="0" w:line="400" w:lineRule="atLeast"/>
      <w:ind w:left="756" w:hanging="770"/>
      <w:jc w:val="both"/>
      <w:outlineLvl w:val="0"/>
    </w:pPr>
    <w:rPr>
      <w:rFonts w:ascii="宋体" w:hAnsi="宋体" w:cs="Times New Roman"/>
      <w:b/>
      <w:kern w:val="0"/>
      <w:sz w:val="20"/>
      <w:szCs w:val="21"/>
    </w:rPr>
  </w:style>
  <w:style w:type="character" w:customStyle="1" w:styleId="98">
    <w:name w:val="报告正文 Char Char"/>
    <w:link w:val="99"/>
    <w:uiPriority w:val="0"/>
    <w:rPr>
      <w:rFonts w:ascii="Times New Roman" w:hAnsi="Times New Roman" w:eastAsia="宋体" w:cs="Times New Roman"/>
      <w:sz w:val="22"/>
    </w:rPr>
  </w:style>
  <w:style w:type="paragraph" w:customStyle="1" w:styleId="99">
    <w:name w:val="报告正文"/>
    <w:basedOn w:val="1"/>
    <w:link w:val="98"/>
    <w:uiPriority w:val="0"/>
    <w:pPr>
      <w:spacing w:after="0" w:afterLines="0" w:line="400" w:lineRule="exact"/>
      <w:ind w:firstLine="480" w:firstLineChars="200"/>
      <w:jc w:val="both"/>
    </w:pPr>
    <w:rPr>
      <w:rFonts w:ascii="Times New Roman" w:hAnsi="Times New Roman" w:cs="Times New Roman"/>
      <w:kern w:val="0"/>
      <w:sz w:val="22"/>
      <w:szCs w:val="20"/>
    </w:rPr>
  </w:style>
  <w:style w:type="character" w:customStyle="1" w:styleId="100">
    <w:name w:val="结束语 Char"/>
    <w:link w:val="101"/>
    <w:uiPriority w:val="0"/>
    <w:rPr>
      <w:rFonts w:ascii="Times New Roman" w:hAnsi="Times New Roman" w:eastAsia="宋体" w:cs="Times New Roman"/>
      <w:kern w:val="0"/>
      <w:sz w:val="24"/>
      <w:szCs w:val="24"/>
    </w:rPr>
  </w:style>
  <w:style w:type="paragraph" w:customStyle="1" w:styleId="101">
    <w:name w:val="Closing"/>
    <w:basedOn w:val="1"/>
    <w:link w:val="100"/>
    <w:uiPriority w:val="0"/>
    <w:pPr>
      <w:spacing w:after="0" w:afterLines="0" w:line="240" w:lineRule="auto"/>
      <w:ind w:left="100" w:leftChars="2100"/>
      <w:jc w:val="both"/>
    </w:pPr>
    <w:rPr>
      <w:rFonts w:ascii="Times New Roman" w:hAnsi="Times New Roman" w:cs="Times New Roman"/>
      <w:kern w:val="0"/>
      <w:sz w:val="24"/>
      <w:szCs w:val="24"/>
    </w:rPr>
  </w:style>
  <w:style w:type="character" w:customStyle="1" w:styleId="102">
    <w:name w:val="DeltaView Insertion"/>
    <w:uiPriority w:val="0"/>
    <w:rPr>
      <w:color w:val="0000FF"/>
      <w:spacing w:val="0"/>
      <w:u w:val="double"/>
    </w:rPr>
  </w:style>
  <w:style w:type="character" w:customStyle="1" w:styleId="103">
    <w:name w:val="称呼 Char"/>
    <w:link w:val="104"/>
    <w:uiPriority w:val="0"/>
    <w:rPr>
      <w:rFonts w:ascii="Times New Roman" w:hAnsi="Times New Roman" w:eastAsia="宋体" w:cs="Times New Roman"/>
      <w:kern w:val="0"/>
      <w:sz w:val="20"/>
      <w:szCs w:val="20"/>
    </w:rPr>
  </w:style>
  <w:style w:type="paragraph" w:customStyle="1" w:styleId="104">
    <w:name w:val="Salutation"/>
    <w:basedOn w:val="1"/>
    <w:next w:val="1"/>
    <w:link w:val="103"/>
    <w:uiPriority w:val="0"/>
    <w:pPr>
      <w:spacing w:after="0" w:afterLines="0" w:line="240" w:lineRule="auto"/>
      <w:jc w:val="both"/>
    </w:pPr>
    <w:rPr>
      <w:rFonts w:ascii="Times New Roman" w:hAnsi="Times New Roman" w:cs="Times New Roman"/>
      <w:kern w:val="0"/>
      <w:sz w:val="20"/>
      <w:szCs w:val="20"/>
    </w:rPr>
  </w:style>
  <w:style w:type="character" w:customStyle="1" w:styleId="105">
    <w:name w:val="宏文本 Char"/>
    <w:link w:val="106"/>
    <w:uiPriority w:val="0"/>
    <w:rPr>
      <w:rFonts w:ascii="Courier New" w:hAnsi="Courier New" w:cs="Courier New"/>
      <w:sz w:val="24"/>
      <w:szCs w:val="24"/>
      <w:lang w:val="en-US" w:eastAsia="zh-CN" w:bidi="ar-SA"/>
    </w:rPr>
  </w:style>
  <w:style w:type="paragraph" w:customStyle="1" w:styleId="106">
    <w:name w:val="macro"/>
    <w:link w:val="105"/>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107">
    <w:name w:val="电子邮件签名 Char"/>
    <w:link w:val="108"/>
    <w:uiPriority w:val="0"/>
    <w:rPr>
      <w:rFonts w:ascii="Times New Roman" w:hAnsi="Times New Roman" w:eastAsia="宋体" w:cs="Times New Roman"/>
      <w:kern w:val="0"/>
      <w:sz w:val="24"/>
      <w:szCs w:val="24"/>
    </w:rPr>
  </w:style>
  <w:style w:type="paragraph" w:customStyle="1" w:styleId="108">
    <w:name w:val="E-mail Signature"/>
    <w:basedOn w:val="1"/>
    <w:link w:val="107"/>
    <w:uiPriority w:val="0"/>
    <w:pPr>
      <w:spacing w:after="0" w:afterLines="0" w:line="240" w:lineRule="auto"/>
      <w:jc w:val="both"/>
    </w:pPr>
    <w:rPr>
      <w:rFonts w:ascii="Times New Roman" w:hAnsi="Times New Roman" w:cs="Times New Roman"/>
      <w:kern w:val="0"/>
      <w:sz w:val="24"/>
      <w:szCs w:val="24"/>
    </w:rPr>
  </w:style>
  <w:style w:type="character" w:customStyle="1" w:styleId="109">
    <w:name w:val="Default Char Char"/>
    <w:link w:val="110"/>
    <w:uiPriority w:val="0"/>
    <w:rPr>
      <w:rFonts w:ascii="楷体_GB2312" w:eastAsia="楷体_GB2312" w:cs="楷体_GB2312"/>
      <w:color w:val="000000"/>
      <w:sz w:val="24"/>
      <w:szCs w:val="24"/>
      <w:lang w:val="en-US" w:eastAsia="zh-CN" w:bidi="ar-SA"/>
    </w:rPr>
  </w:style>
  <w:style w:type="paragraph" w:customStyle="1" w:styleId="110">
    <w:name w:val="Default"/>
    <w:link w:val="109"/>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111">
    <w:name w:val="HTML 预设格式 Char"/>
    <w:link w:val="112"/>
    <w:uiPriority w:val="0"/>
    <w:rPr>
      <w:rFonts w:ascii="宋体" w:hAnsi="Calibri" w:eastAsia="宋体" w:cs="Times New Roman"/>
      <w:kern w:val="0"/>
      <w:sz w:val="24"/>
      <w:szCs w:val="24"/>
    </w:rPr>
  </w:style>
  <w:style w:type="paragraph" w:customStyle="1" w:styleId="112">
    <w:name w:val="HTML Preformatted"/>
    <w:basedOn w:val="1"/>
    <w:link w:val="11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Lines="0" w:line="240" w:lineRule="auto"/>
    </w:pPr>
    <w:rPr>
      <w:rFonts w:ascii="宋体" w:cs="Times New Roman"/>
      <w:kern w:val="0"/>
      <w:sz w:val="24"/>
      <w:szCs w:val="24"/>
    </w:rPr>
  </w:style>
  <w:style w:type="character" w:customStyle="1" w:styleId="113">
    <w:name w:val="正文文本缩进 3 Char"/>
    <w:link w:val="114"/>
    <w:uiPriority w:val="0"/>
    <w:rPr>
      <w:rFonts w:ascii="Times New Roman" w:hAnsi="Times New Roman" w:eastAsia="宋体" w:cs="Times New Roman"/>
      <w:kern w:val="0"/>
      <w:sz w:val="16"/>
      <w:szCs w:val="16"/>
    </w:rPr>
  </w:style>
  <w:style w:type="paragraph" w:customStyle="1" w:styleId="114">
    <w:name w:val="Body Text Indent 3"/>
    <w:basedOn w:val="1"/>
    <w:link w:val="113"/>
    <w:uiPriority w:val="0"/>
    <w:pPr>
      <w:spacing w:after="120" w:afterLines="0" w:line="240" w:lineRule="auto"/>
      <w:ind w:left="420" w:leftChars="200"/>
      <w:jc w:val="both"/>
    </w:pPr>
    <w:rPr>
      <w:rFonts w:ascii="Times New Roman" w:hAnsi="Times New Roman" w:cs="Times New Roman"/>
      <w:kern w:val="0"/>
      <w:sz w:val="16"/>
      <w:szCs w:val="16"/>
    </w:rPr>
  </w:style>
  <w:style w:type="character" w:customStyle="1" w:styleId="115">
    <w:name w:val="z-窗体底端 Char"/>
    <w:link w:val="116"/>
    <w:uiPriority w:val="0"/>
    <w:rPr>
      <w:rFonts w:ascii="Arial" w:hAnsi="Arial" w:eastAsia="宋体" w:cs="Times New Roman"/>
      <w:vanish/>
      <w:kern w:val="0"/>
      <w:sz w:val="16"/>
      <w:szCs w:val="16"/>
    </w:rPr>
  </w:style>
  <w:style w:type="paragraph" w:customStyle="1" w:styleId="116">
    <w:name w:val="z-窗体底端1"/>
    <w:basedOn w:val="1"/>
    <w:next w:val="1"/>
    <w:link w:val="115"/>
    <w:uiPriority w:val="0"/>
    <w:pPr>
      <w:widowControl/>
      <w:pBdr>
        <w:top w:val="single" w:color="auto" w:sz="6" w:space="1"/>
      </w:pBdr>
      <w:spacing w:after="0" w:afterLines="0" w:line="240" w:lineRule="auto"/>
      <w:jc w:val="center"/>
    </w:pPr>
    <w:rPr>
      <w:rFonts w:ascii="Arial" w:hAnsi="Arial" w:cs="Times New Roman"/>
      <w:vanish/>
      <w:kern w:val="0"/>
      <w:sz w:val="16"/>
      <w:szCs w:val="16"/>
    </w:rPr>
  </w:style>
  <w:style w:type="character" w:customStyle="1" w:styleId="117">
    <w:name w:val="正文首行缩进 Char"/>
    <w:link w:val="118"/>
    <w:uiPriority w:val="0"/>
    <w:rPr>
      <w:rFonts w:ascii="Times New Roman" w:hAnsi="Times New Roman" w:eastAsia="宋体" w:cs="Times New Roman"/>
      <w:kern w:val="0"/>
      <w:sz w:val="24"/>
      <w:szCs w:val="24"/>
    </w:rPr>
  </w:style>
  <w:style w:type="paragraph" w:customStyle="1" w:styleId="118">
    <w:name w:val="Body Text First Indent"/>
    <w:basedOn w:val="16"/>
    <w:link w:val="117"/>
    <w:uiPriority w:val="0"/>
    <w:pPr>
      <w:spacing w:line="240" w:lineRule="auto"/>
      <w:ind w:firstLine="420" w:firstLineChars="100"/>
      <w:jc w:val="both"/>
    </w:pPr>
    <w:rPr>
      <w:rFonts w:ascii="Times New Roman" w:hAnsi="Times New Roman" w:cs="Times New Roman"/>
      <w:kern w:val="0"/>
      <w:sz w:val="24"/>
      <w:szCs w:val="24"/>
    </w:rPr>
  </w:style>
  <w:style w:type="character" w:customStyle="1" w:styleId="119">
    <w:name w:val="正文文本 3 Char"/>
    <w:link w:val="120"/>
    <w:uiPriority w:val="0"/>
    <w:rPr>
      <w:rFonts w:ascii="宋体" w:hAnsi="Times New Roman" w:eastAsia="宋体" w:cs="Times New Roman"/>
      <w:kern w:val="0"/>
      <w:sz w:val="20"/>
      <w:szCs w:val="20"/>
    </w:rPr>
  </w:style>
  <w:style w:type="paragraph" w:customStyle="1" w:styleId="120">
    <w:name w:val="Body Text 3"/>
    <w:basedOn w:val="1"/>
    <w:link w:val="119"/>
    <w:uiPriority w:val="0"/>
    <w:pPr>
      <w:autoSpaceDE w:val="0"/>
      <w:autoSpaceDN w:val="0"/>
      <w:adjustRightInd w:val="0"/>
      <w:spacing w:after="0" w:afterLines="0" w:line="240" w:lineRule="auto"/>
    </w:pPr>
    <w:rPr>
      <w:rFonts w:ascii="宋体" w:hAnsi="Times New Roman" w:cs="Times New Roman"/>
      <w:kern w:val="0"/>
      <w:sz w:val="20"/>
      <w:szCs w:val="20"/>
    </w:rPr>
  </w:style>
  <w:style w:type="character" w:customStyle="1" w:styleId="121">
    <w:name w:val="日期 Char"/>
    <w:link w:val="122"/>
    <w:uiPriority w:val="0"/>
    <w:rPr>
      <w:rFonts w:ascii="Arial" w:hAnsi="Arial" w:eastAsia="宋体" w:cs="Times New Roman"/>
      <w:kern w:val="0"/>
      <w:sz w:val="20"/>
      <w:szCs w:val="20"/>
    </w:rPr>
  </w:style>
  <w:style w:type="paragraph" w:customStyle="1" w:styleId="122">
    <w:name w:val="Date"/>
    <w:basedOn w:val="1"/>
    <w:next w:val="1"/>
    <w:link w:val="121"/>
    <w:uiPriority w:val="0"/>
    <w:pPr>
      <w:spacing w:after="0" w:afterLines="0" w:line="240" w:lineRule="auto"/>
      <w:jc w:val="both"/>
    </w:pPr>
    <w:rPr>
      <w:rFonts w:ascii="Arial" w:hAnsi="Arial" w:cs="Times New Roman"/>
      <w:kern w:val="0"/>
      <w:sz w:val="20"/>
      <w:szCs w:val="20"/>
    </w:rPr>
  </w:style>
  <w:style w:type="character" w:customStyle="1" w:styleId="123">
    <w:name w:val="font41"/>
    <w:qFormat/>
    <w:uiPriority w:val="0"/>
    <w:rPr>
      <w:rFonts w:hint="eastAsia" w:ascii="楷体_GB2312" w:eastAsia="楷体_GB2312" w:cs="楷体_GB2312"/>
      <w:b/>
      <w:color w:val="000000"/>
      <w:sz w:val="21"/>
      <w:szCs w:val="21"/>
      <w:u w:val="none"/>
    </w:rPr>
  </w:style>
  <w:style w:type="character" w:customStyle="1" w:styleId="124">
    <w:name w:val="font11"/>
    <w:basedOn w:val="43"/>
    <w:qFormat/>
    <w:uiPriority w:val="0"/>
    <w:rPr>
      <w:rFonts w:hint="default" w:ascii="Times New Roman" w:hAnsi="Times New Roman" w:cs="Times New Roman"/>
      <w:color w:val="000000"/>
      <w:sz w:val="24"/>
      <w:szCs w:val="24"/>
      <w:u w:val="none"/>
    </w:rPr>
  </w:style>
  <w:style w:type="character" w:customStyle="1" w:styleId="125">
    <w:name w:val="纯文本 Char1"/>
    <w:link w:val="126"/>
    <w:uiPriority w:val="0"/>
    <w:rPr>
      <w:rFonts w:ascii="宋体" w:hAnsi="Courier New" w:eastAsia="宋体" w:cs="Times New Roman"/>
      <w:kern w:val="0"/>
      <w:sz w:val="20"/>
      <w:szCs w:val="20"/>
    </w:rPr>
  </w:style>
  <w:style w:type="paragraph" w:customStyle="1" w:styleId="126">
    <w:name w:val="Plain Text"/>
    <w:basedOn w:val="1"/>
    <w:link w:val="125"/>
    <w:uiPriority w:val="0"/>
    <w:pPr>
      <w:spacing w:after="0" w:afterLines="0" w:line="240" w:lineRule="auto"/>
      <w:jc w:val="both"/>
    </w:pPr>
    <w:rPr>
      <w:rFonts w:ascii="宋体" w:hAnsi="Courier New" w:cs="Times New Roman"/>
      <w:kern w:val="0"/>
      <w:sz w:val="20"/>
      <w:szCs w:val="20"/>
    </w:rPr>
  </w:style>
  <w:style w:type="character" w:customStyle="1" w:styleId="127">
    <w:name w:val="文档结构图 Char"/>
    <w:link w:val="128"/>
    <w:uiPriority w:val="0"/>
    <w:rPr>
      <w:rFonts w:ascii="Times New Roman" w:hAnsi="Times New Roman" w:eastAsia="宋体" w:cs="Times New Roman"/>
      <w:kern w:val="0"/>
      <w:sz w:val="20"/>
      <w:szCs w:val="20"/>
      <w:shd w:val="clear" w:color="auto" w:fill="000080"/>
    </w:rPr>
  </w:style>
  <w:style w:type="paragraph" w:customStyle="1" w:styleId="128">
    <w:name w:val="Document Map"/>
    <w:basedOn w:val="1"/>
    <w:link w:val="127"/>
    <w:uiPriority w:val="0"/>
    <w:pPr>
      <w:shd w:val="clear" w:color="auto" w:fill="000080"/>
      <w:spacing w:after="0" w:afterLines="0" w:line="240" w:lineRule="auto"/>
      <w:jc w:val="both"/>
    </w:pPr>
    <w:rPr>
      <w:rFonts w:ascii="Times New Roman" w:hAnsi="Times New Roman" w:cs="Times New Roman"/>
      <w:kern w:val="0"/>
      <w:sz w:val="20"/>
      <w:szCs w:val="20"/>
      <w:shd w:val="clear" w:color="auto" w:fill="000080"/>
    </w:rPr>
  </w:style>
  <w:style w:type="character" w:customStyle="1" w:styleId="129">
    <w:name w:val="font91"/>
    <w:qFormat/>
    <w:uiPriority w:val="0"/>
    <w:rPr>
      <w:rFonts w:hint="eastAsia" w:ascii="楷体_GB2312" w:eastAsia="楷体_GB2312" w:cs="楷体_GB2312"/>
      <w:b/>
      <w:color w:val="000000"/>
      <w:sz w:val="21"/>
      <w:szCs w:val="21"/>
      <w:u w:val="none"/>
    </w:rPr>
  </w:style>
  <w:style w:type="character" w:customStyle="1" w:styleId="130">
    <w:name w:val="font101"/>
    <w:qFormat/>
    <w:uiPriority w:val="0"/>
    <w:rPr>
      <w:rFonts w:hint="eastAsia" w:ascii="楷体_GB2312" w:eastAsia="楷体_GB2312" w:cs="楷体_GB2312"/>
      <w:b/>
      <w:color w:val="000000"/>
      <w:sz w:val="21"/>
      <w:szCs w:val="21"/>
      <w:u w:val="none"/>
    </w:rPr>
  </w:style>
  <w:style w:type="character" w:customStyle="1" w:styleId="131">
    <w:name w:val="附注三级 Char Char"/>
    <w:link w:val="132"/>
    <w:uiPriority w:val="0"/>
    <w:rPr>
      <w:rFonts w:ascii="宋体" w:hAnsi="宋体" w:eastAsia="宋体" w:cs="Times New Roman"/>
      <w:b/>
      <w:kern w:val="0"/>
      <w:szCs w:val="20"/>
    </w:rPr>
  </w:style>
  <w:style w:type="paragraph" w:customStyle="1" w:styleId="132">
    <w:name w:val="附注三级"/>
    <w:basedOn w:val="1"/>
    <w:link w:val="131"/>
    <w:uiPriority w:val="0"/>
    <w:pPr>
      <w:tabs>
        <w:tab w:val="left" w:pos="1273"/>
      </w:tabs>
      <w:adjustRightInd w:val="0"/>
      <w:snapToGrid w:val="0"/>
      <w:spacing w:after="0" w:afterLines="0" w:line="400" w:lineRule="atLeast"/>
      <w:ind w:left="1256" w:leftChars="342" w:hanging="538" w:hangingChars="255"/>
      <w:jc w:val="both"/>
    </w:pPr>
    <w:rPr>
      <w:rFonts w:ascii="宋体" w:hAnsi="宋体" w:cs="Times New Roman"/>
      <w:b/>
      <w:kern w:val="0"/>
      <w:sz w:val="20"/>
      <w:szCs w:val="20"/>
    </w:rPr>
  </w:style>
  <w:style w:type="character" w:customStyle="1" w:styleId="133">
    <w:name w:val="信息标题 Char"/>
    <w:link w:val="134"/>
    <w:uiPriority w:val="0"/>
    <w:rPr>
      <w:rFonts w:ascii="Arial" w:hAnsi="Arial" w:eastAsia="宋体" w:cs="Times New Roman"/>
      <w:kern w:val="0"/>
      <w:sz w:val="24"/>
      <w:szCs w:val="24"/>
      <w:shd w:val="pct20" w:color="auto" w:fill="auto"/>
    </w:rPr>
  </w:style>
  <w:style w:type="paragraph" w:customStyle="1" w:styleId="134">
    <w:name w:val="Message Header"/>
    <w:basedOn w:val="1"/>
    <w:link w:val="133"/>
    <w:uiPriority w:val="0"/>
    <w:pPr>
      <w:pBdr>
        <w:top w:val="single" w:color="auto" w:sz="6" w:space="1"/>
        <w:left w:val="single" w:color="auto" w:sz="6" w:space="1"/>
        <w:bottom w:val="single" w:color="auto" w:sz="6" w:space="1"/>
        <w:right w:val="single" w:color="auto" w:sz="6" w:space="1"/>
      </w:pBdr>
      <w:shd w:val="pct20" w:color="auto" w:fill="auto"/>
      <w:spacing w:after="0" w:afterLines="0" w:line="240" w:lineRule="auto"/>
      <w:ind w:left="1080" w:leftChars="500" w:hanging="1080" w:hangingChars="500"/>
      <w:jc w:val="both"/>
    </w:pPr>
    <w:rPr>
      <w:rFonts w:ascii="Arial" w:hAnsi="Arial" w:cs="Times New Roman"/>
      <w:kern w:val="0"/>
      <w:sz w:val="24"/>
      <w:szCs w:val="24"/>
      <w:shd w:val="pct20" w:color="auto" w:fill="auto"/>
    </w:rPr>
  </w:style>
  <w:style w:type="character" w:customStyle="1" w:styleId="135">
    <w:name w:val="A正文 Char1"/>
    <w:link w:val="136"/>
    <w:uiPriority w:val="0"/>
    <w:rPr>
      <w:rFonts w:ascii="楷体_GB2312" w:eastAsia="楷体_GB2312" w:cs="楷体_GB2312"/>
      <w:sz w:val="24"/>
      <w:szCs w:val="24"/>
    </w:rPr>
  </w:style>
  <w:style w:type="paragraph" w:customStyle="1" w:styleId="136">
    <w:name w:val="A正文"/>
    <w:basedOn w:val="7"/>
    <w:link w:val="135"/>
    <w:uiPriority w:val="0"/>
    <w:pPr>
      <w:keepNext w:val="0"/>
      <w:keepLines w:val="0"/>
      <w:adjustRightInd w:val="0"/>
      <w:snapToGrid w:val="0"/>
      <w:spacing w:before="0" w:beforeLines="0" w:after="0" w:afterLines="0" w:line="288" w:lineRule="auto"/>
      <w:ind w:firstLine="480" w:firstLineChars="200"/>
    </w:pPr>
    <w:rPr>
      <w:rFonts w:ascii="楷体_GB2312" w:eastAsia="楷体_GB2312"/>
      <w:b w:val="0"/>
      <w:bCs w:val="0"/>
      <w:sz w:val="24"/>
      <w:szCs w:val="24"/>
    </w:rPr>
  </w:style>
  <w:style w:type="character" w:customStyle="1" w:styleId="137">
    <w:name w:val="批注主题 Char"/>
    <w:link w:val="138"/>
    <w:uiPriority w:val="0"/>
    <w:rPr>
      <w:b/>
      <w:bCs/>
    </w:rPr>
  </w:style>
  <w:style w:type="paragraph" w:customStyle="1" w:styleId="138">
    <w:name w:val="annotation subject"/>
    <w:basedOn w:val="15"/>
    <w:next w:val="15"/>
    <w:link w:val="137"/>
    <w:uiPriority w:val="0"/>
    <w:rPr>
      <w:rFonts w:ascii="Times New Roman" w:hAnsi="Times New Roman" w:cs="Times New Roman"/>
      <w:b/>
      <w:bCs/>
      <w:kern w:val="0"/>
      <w:sz w:val="20"/>
      <w:szCs w:val="20"/>
    </w:rPr>
  </w:style>
  <w:style w:type="character" w:customStyle="1" w:styleId="139">
    <w:name w:val="正文文本 2 Char"/>
    <w:link w:val="140"/>
    <w:uiPriority w:val="0"/>
    <w:rPr>
      <w:rFonts w:ascii="Times New Roman" w:hAnsi="Times New Roman" w:eastAsia="宋体" w:cs="Times New Roman"/>
      <w:kern w:val="0"/>
      <w:sz w:val="20"/>
      <w:szCs w:val="20"/>
    </w:rPr>
  </w:style>
  <w:style w:type="paragraph" w:customStyle="1" w:styleId="140">
    <w:name w:val="Body Text 2"/>
    <w:basedOn w:val="1"/>
    <w:link w:val="139"/>
    <w:uiPriority w:val="0"/>
    <w:pPr>
      <w:spacing w:after="120" w:afterLines="0" w:line="480" w:lineRule="auto"/>
      <w:jc w:val="both"/>
    </w:pPr>
    <w:rPr>
      <w:rFonts w:ascii="Times New Roman" w:hAnsi="Times New Roman" w:cs="Times New Roman"/>
      <w:kern w:val="0"/>
      <w:sz w:val="20"/>
      <w:szCs w:val="20"/>
    </w:rPr>
  </w:style>
  <w:style w:type="character" w:customStyle="1" w:styleId="141">
    <w:name w:val="报告标题 2 Char Char"/>
    <w:link w:val="142"/>
    <w:uiPriority w:val="0"/>
    <w:rPr>
      <w:rFonts w:ascii="宋体" w:hAnsi="宋体" w:eastAsia="宋体" w:cs="Times New Roman"/>
      <w:b/>
      <w:bCs/>
      <w:color w:val="000000"/>
      <w:kern w:val="0"/>
      <w:sz w:val="20"/>
      <w:szCs w:val="20"/>
    </w:rPr>
  </w:style>
  <w:style w:type="paragraph" w:customStyle="1" w:styleId="142">
    <w:name w:val="报告标题 2"/>
    <w:basedOn w:val="4"/>
    <w:next w:val="1"/>
    <w:link w:val="141"/>
    <w:uiPriority w:val="0"/>
    <w:pPr>
      <w:keepLines w:val="0"/>
      <w:spacing w:before="156" w:beforeLines="50" w:after="10" w:afterLines="0" w:line="240" w:lineRule="auto"/>
      <w:ind w:left="2160" w:right="-34" w:firstLine="442" w:firstLineChars="200"/>
    </w:pPr>
    <w:rPr>
      <w:rFonts w:ascii="宋体" w:hAnsi="宋体" w:eastAsia="宋体"/>
      <w:color w:val="000000"/>
    </w:rPr>
  </w:style>
  <w:style w:type="character" w:customStyle="1" w:styleId="143">
    <w:name w:val="font01"/>
    <w:basedOn w:val="43"/>
    <w:qFormat/>
    <w:uiPriority w:val="0"/>
    <w:rPr>
      <w:rFonts w:ascii="楷体_GB2312" w:eastAsia="楷体_GB2312" w:cs="楷体_GB2312"/>
      <w:b/>
      <w:color w:val="000000"/>
      <w:sz w:val="20"/>
      <w:szCs w:val="20"/>
      <w:u w:val="none"/>
    </w:rPr>
  </w:style>
  <w:style w:type="character" w:customStyle="1" w:styleId="144">
    <w:name w:val="募集标题2 Char Char"/>
    <w:link w:val="145"/>
    <w:uiPriority w:val="0"/>
    <w:rPr>
      <w:rFonts w:ascii="Times New Roman" w:hAnsi="Times New Roman" w:eastAsia="楷体_GB2312" w:cs="Times New Roman"/>
      <w:b/>
      <w:bCs/>
      <w:color w:val="000000"/>
      <w:kern w:val="0"/>
      <w:sz w:val="20"/>
      <w:szCs w:val="20"/>
    </w:rPr>
  </w:style>
  <w:style w:type="paragraph" w:customStyle="1" w:styleId="145">
    <w:name w:val="募集标题2"/>
    <w:basedOn w:val="4"/>
    <w:next w:val="1"/>
    <w:link w:val="144"/>
    <w:uiPriority w:val="0"/>
    <w:pPr>
      <w:autoSpaceDE w:val="0"/>
      <w:autoSpaceDN w:val="0"/>
      <w:adjustRightInd w:val="0"/>
      <w:spacing w:before="120" w:beforeLines="0" w:after="120" w:afterLines="0" w:line="240" w:lineRule="auto"/>
    </w:pPr>
    <w:rPr>
      <w:rFonts w:ascii="Times New Roman" w:hAnsi="Times New Roman" w:eastAsia="楷体_GB2312"/>
      <w:color w:val="000000"/>
    </w:rPr>
  </w:style>
  <w:style w:type="character" w:customStyle="1" w:styleId="146">
    <w:name w:val="！正文中 Char Char"/>
    <w:link w:val="147"/>
    <w:uiPriority w:val="0"/>
    <w:rPr>
      <w:rFonts w:ascii="Times New Roman" w:hAnsi="Times New Roman" w:eastAsia="楷体_GB2312" w:cs="Times New Roman"/>
      <w:bCs/>
      <w:kern w:val="0"/>
      <w:sz w:val="24"/>
      <w:szCs w:val="24"/>
    </w:rPr>
  </w:style>
  <w:style w:type="paragraph" w:customStyle="1" w:styleId="147">
    <w:name w:val="！正文中"/>
    <w:basedOn w:val="1"/>
    <w:link w:val="146"/>
    <w:uiPriority w:val="0"/>
    <w:pPr>
      <w:spacing w:after="0" w:afterLines="0" w:line="360" w:lineRule="auto"/>
      <w:ind w:firstLine="480" w:firstLineChars="200"/>
      <w:jc w:val="both"/>
    </w:pPr>
    <w:rPr>
      <w:rFonts w:ascii="Times New Roman" w:hAnsi="Times New Roman" w:eastAsia="楷体_GB2312" w:cs="Times New Roman"/>
      <w:bCs/>
      <w:kern w:val="0"/>
      <w:sz w:val="24"/>
      <w:szCs w:val="24"/>
    </w:rPr>
  </w:style>
  <w:style w:type="character" w:customStyle="1" w:styleId="148">
    <w:name w:val="Body Char Char"/>
    <w:link w:val="149"/>
    <w:uiPriority w:val="0"/>
    <w:rPr>
      <w:rFonts w:ascii="Times New Roman" w:hAnsi="Times New Roman" w:eastAsia="宋体" w:cs="Times New Roman"/>
      <w:kern w:val="0"/>
      <w:sz w:val="24"/>
      <w:szCs w:val="24"/>
    </w:rPr>
  </w:style>
  <w:style w:type="paragraph" w:customStyle="1" w:styleId="149">
    <w:name w:val="Body"/>
    <w:basedOn w:val="1"/>
    <w:link w:val="148"/>
    <w:uiPriority w:val="0"/>
    <w:pPr>
      <w:widowControl/>
      <w:spacing w:after="260" w:afterLines="0" w:line="260" w:lineRule="atLeast"/>
      <w:jc w:val="both"/>
    </w:pPr>
    <w:rPr>
      <w:rFonts w:ascii="Times New Roman" w:hAnsi="Times New Roman" w:cs="Times New Roman"/>
      <w:kern w:val="0"/>
      <w:sz w:val="24"/>
      <w:szCs w:val="24"/>
    </w:rPr>
  </w:style>
  <w:style w:type="paragraph" w:customStyle="1" w:styleId="150">
    <w:name w:val="列出段落1"/>
    <w:basedOn w:val="1"/>
    <w:uiPriority w:val="0"/>
    <w:pPr>
      <w:widowControl/>
      <w:spacing w:after="0" w:afterLines="0" w:line="240" w:lineRule="auto"/>
      <w:ind w:firstLine="420" w:firstLineChars="200"/>
    </w:pPr>
    <w:rPr>
      <w:rFonts w:ascii="Times New Roman" w:hAnsi="Times New Roman" w:eastAsia="PMingLiU" w:cs="Times New Roman"/>
      <w:kern w:val="0"/>
      <w:sz w:val="24"/>
      <w:szCs w:val="24"/>
      <w:lang w:eastAsia="zh-TW"/>
    </w:rPr>
  </w:style>
  <w:style w:type="paragraph" w:customStyle="1" w:styleId="151">
    <w:name w:val="Table caption|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paragraph" w:customStyle="1" w:styleId="152">
    <w:name w:val="修订1"/>
    <w:uiPriority w:val="0"/>
    <w:rPr>
      <w:rFonts w:ascii="Calibri" w:hAnsi="Calibri" w:eastAsia="宋体" w:cs="黑体"/>
      <w:kern w:val="2"/>
      <w:sz w:val="21"/>
      <w:szCs w:val="22"/>
      <w:lang w:val="en-US" w:eastAsia="zh-CN" w:bidi="ar-SA"/>
    </w:rPr>
  </w:style>
  <w:style w:type="paragraph" w:customStyle="1" w:styleId="153">
    <w:name w:val="CM55"/>
    <w:basedOn w:val="110"/>
    <w:next w:val="110"/>
    <w:uiPriority w:val="0"/>
    <w:pPr>
      <w:spacing w:after="255" w:afterLines="0"/>
    </w:pPr>
    <w:rPr>
      <w:rFonts w:ascii="黑体" w:hAnsi="Times New Roman" w:eastAsia="黑体" w:cs="黑体"/>
      <w:color w:val="auto"/>
    </w:rPr>
  </w:style>
  <w:style w:type="paragraph" w:customStyle="1" w:styleId="154">
    <w:name w:val="第四层 （一） Char Char"/>
    <w:uiPriority w:val="0"/>
    <w:pPr>
      <w:spacing w:before="120" w:line="360" w:lineRule="auto"/>
    </w:pPr>
    <w:rPr>
      <w:rFonts w:ascii="Times New Roman" w:hAnsi="Times New Roman" w:eastAsia="宋体" w:cs="Times New Roman"/>
      <w:b/>
      <w:bCs/>
      <w:sz w:val="24"/>
      <w:szCs w:val="24"/>
      <w:lang w:val="en-US" w:eastAsia="zh-CN" w:bidi="ar-SA"/>
    </w:rPr>
  </w:style>
  <w:style w:type="paragraph" w:customStyle="1" w:styleId="155">
    <w:name w:val="列出段落7"/>
    <w:basedOn w:val="1"/>
    <w:uiPriority w:val="0"/>
    <w:pPr>
      <w:spacing w:before="156" w:beforeLines="50" w:after="156" w:afterLines="50" w:line="300" w:lineRule="auto"/>
      <w:ind w:firstLine="420" w:firstLineChars="200"/>
      <w:jc w:val="both"/>
    </w:pPr>
    <w:rPr>
      <w:rFonts w:ascii="宋体" w:hAnsi="Times New Roman" w:eastAsia="宋体" w:cs="Times New Roman"/>
      <w:szCs w:val="24"/>
    </w:rPr>
  </w:style>
  <w:style w:type="paragraph" w:customStyle="1" w:styleId="156">
    <w:name w:val="List Paragraph1"/>
    <w:basedOn w:val="1"/>
    <w:uiPriority w:val="0"/>
    <w:pPr>
      <w:ind w:firstLine="420" w:firstLineChars="200"/>
    </w:pPr>
  </w:style>
  <w:style w:type="paragraph" w:customStyle="1" w:styleId="157">
    <w:name w:val="CM17"/>
    <w:basedOn w:val="110"/>
    <w:next w:val="110"/>
    <w:uiPriority w:val="0"/>
    <w:pPr>
      <w:spacing w:line="376" w:lineRule="atLeast"/>
    </w:pPr>
    <w:rPr>
      <w:rFonts w:ascii="黑体" w:hAnsi="Times New Roman" w:eastAsia="黑体" w:cs="黑体"/>
      <w:color w:val="auto"/>
    </w:rPr>
  </w:style>
  <w:style w:type="paragraph" w:customStyle="1" w:styleId="158">
    <w:name w:val="中等深浅网格 1 - 强调文字颜色 21"/>
    <w:basedOn w:val="1"/>
    <w:uiPriority w:val="0"/>
    <w:pPr>
      <w:spacing w:after="0" w:afterLines="0" w:line="240" w:lineRule="auto"/>
      <w:ind w:firstLine="420" w:firstLineChars="200"/>
      <w:jc w:val="both"/>
    </w:pPr>
    <w:rPr>
      <w:rFonts w:ascii="Calibri" w:hAnsi="Calibri" w:eastAsia="宋体" w:cs="Times New Roman"/>
      <w:szCs w:val="24"/>
    </w:rPr>
  </w:style>
  <w:style w:type="paragraph" w:customStyle="1" w:styleId="159">
    <w:name w:val="FWB_L2"/>
    <w:basedOn w:val="1"/>
    <w:uiPriority w:val="0"/>
    <w:pPr>
      <w:widowControl/>
      <w:tabs>
        <w:tab w:val="left" w:pos="720"/>
      </w:tabs>
      <w:spacing w:after="240" w:afterLines="0" w:line="240" w:lineRule="auto"/>
      <w:jc w:val="both"/>
    </w:pPr>
    <w:rPr>
      <w:rFonts w:ascii="Times New Roman" w:hAnsi="Times New Roman" w:eastAsia="宋体" w:cs="Times New Roman"/>
      <w:kern w:val="0"/>
      <w:sz w:val="24"/>
      <w:szCs w:val="20"/>
      <w:lang w:eastAsia="en-US"/>
    </w:rPr>
  </w:style>
  <w:style w:type="paragraph" w:customStyle="1" w:styleId="160">
    <w:name w:val="index 1"/>
    <w:basedOn w:val="1"/>
    <w:next w:val="1"/>
    <w:uiPriority w:val="0"/>
  </w:style>
  <w:style w:type="paragraph" w:customStyle="1" w:styleId="161">
    <w:name w:val="K&amp;W headingCn 2"/>
    <w:basedOn w:val="1"/>
    <w:next w:val="16"/>
    <w:qFormat/>
    <w:uiPriority w:val="0"/>
    <w:pPr>
      <w:spacing w:after="360" w:line="320" w:lineRule="exact"/>
      <w:jc w:val="both"/>
      <w:outlineLvl w:val="1"/>
    </w:pPr>
    <w:rPr>
      <w:szCs w:val="20"/>
    </w:rPr>
  </w:style>
  <w:style w:type="paragraph" w:customStyle="1" w:styleId="162">
    <w:name w:val="CM57"/>
    <w:basedOn w:val="110"/>
    <w:next w:val="110"/>
    <w:uiPriority w:val="0"/>
    <w:pPr>
      <w:spacing w:after="303" w:afterLines="0"/>
    </w:pPr>
    <w:rPr>
      <w:rFonts w:ascii="黑体" w:hAnsi="Times New Roman" w:eastAsia="黑体" w:cs="黑体"/>
      <w:color w:val="auto"/>
    </w:rPr>
  </w:style>
  <w:style w:type="paragraph" w:customStyle="1" w:styleId="163">
    <w:name w:val="FWParties"/>
    <w:basedOn w:val="16"/>
    <w:uiPriority w:val="0"/>
    <w:pPr>
      <w:widowControl/>
      <w:tabs>
        <w:tab w:val="left" w:pos="425"/>
      </w:tabs>
      <w:spacing w:after="240" w:afterLines="0" w:line="240" w:lineRule="auto"/>
      <w:ind w:left="425" w:hanging="425"/>
      <w:jc w:val="both"/>
    </w:pPr>
    <w:rPr>
      <w:rFonts w:ascii="Cambria" w:hAnsi="Cambria" w:eastAsia="宋体" w:cs="Times New Roman"/>
      <w:bCs/>
      <w:kern w:val="0"/>
      <w:sz w:val="24"/>
      <w:szCs w:val="24"/>
      <w:lang w:eastAsia="en-US"/>
    </w:rPr>
  </w:style>
  <w:style w:type="paragraph" w:customStyle="1" w:styleId="164">
    <w:name w:val="列出段落3"/>
    <w:basedOn w:val="1"/>
    <w:uiPriority w:val="0"/>
    <w:pPr>
      <w:spacing w:after="0" w:afterLines="0" w:line="240" w:lineRule="auto"/>
      <w:ind w:firstLine="420" w:firstLineChars="200"/>
      <w:jc w:val="both"/>
    </w:pPr>
    <w:rPr>
      <w:rFonts w:ascii="Times New Roman" w:hAnsi="Times New Roman" w:eastAsia="宋体" w:cs="Times New Roman"/>
      <w:szCs w:val="21"/>
    </w:rPr>
  </w:style>
  <w:style w:type="paragraph" w:customStyle="1" w:styleId="165">
    <w:name w:val="3"/>
    <w:basedOn w:val="1"/>
    <w:next w:val="74"/>
    <w:uiPriority w:val="0"/>
    <w:pPr>
      <w:spacing w:after="0" w:afterLines="0" w:line="360" w:lineRule="auto"/>
      <w:ind w:firstLine="560" w:firstLineChars="200"/>
      <w:jc w:val="both"/>
    </w:pPr>
    <w:rPr>
      <w:rFonts w:ascii="仿宋_GB2312" w:hAnsi="Calibri" w:eastAsia="仿宋_GB2312" w:cs="Times New Roman"/>
      <w:sz w:val="28"/>
      <w:szCs w:val="24"/>
    </w:rPr>
  </w:style>
  <w:style w:type="paragraph" w:customStyle="1" w:styleId="166">
    <w:name w:val="TOC 标题1"/>
    <w:basedOn w:val="3"/>
    <w:next w:val="1"/>
    <w:uiPriority w:val="0"/>
    <w:pPr>
      <w:widowControl/>
      <w:spacing w:before="480" w:beforeLines="0" w:after="0" w:afterLines="0" w:line="276" w:lineRule="auto"/>
      <w:jc w:val="left"/>
      <w:outlineLvl w:val="9"/>
    </w:pPr>
    <w:rPr>
      <w:rFonts w:ascii="Cambria" w:hAnsi="Cambria" w:eastAsia="宋体" w:cs="黑体"/>
      <w:color w:val="365F90"/>
      <w:kern w:val="0"/>
      <w:sz w:val="28"/>
      <w:szCs w:val="28"/>
    </w:rPr>
  </w:style>
  <w:style w:type="paragraph" w:customStyle="1" w:styleId="167">
    <w:name w:val="Heading 2"/>
    <w:basedOn w:val="1"/>
    <w:qFormat/>
    <w:uiPriority w:val="1"/>
    <w:pPr>
      <w:ind w:left="2280" w:hanging="561"/>
      <w:outlineLvl w:val="2"/>
    </w:pPr>
    <w:rPr>
      <w:rFonts w:ascii="楷体_GB2312" w:hAnsi="楷体_GB2312" w:eastAsia="楷体_GB2312" w:cs="楷体_GB2312"/>
      <w:b/>
      <w:bCs/>
      <w:sz w:val="32"/>
      <w:szCs w:val="32"/>
      <w:lang w:val="zh-CN" w:eastAsia="zh-CN" w:bidi="zh-CN"/>
    </w:rPr>
  </w:style>
  <w:style w:type="paragraph" w:customStyle="1" w:styleId="168">
    <w:name w:val="彩色底纹 - 强调文字颜色 31"/>
    <w:basedOn w:val="1"/>
    <w:uiPriority w:val="0"/>
    <w:pPr>
      <w:widowControl/>
      <w:spacing w:after="0" w:afterLines="0" w:line="240" w:lineRule="auto"/>
      <w:ind w:firstLine="420" w:firstLineChars="200"/>
    </w:pPr>
    <w:rPr>
      <w:rFonts w:ascii="Calibri" w:hAnsi="Calibri" w:eastAsia="PMingLiU" w:cs="Times New Roman"/>
      <w:kern w:val="0"/>
      <w:sz w:val="24"/>
      <w:szCs w:val="24"/>
      <w:lang w:eastAsia="zh-TW"/>
    </w:rPr>
  </w:style>
  <w:style w:type="paragraph" w:customStyle="1" w:styleId="169">
    <w:name w:val="Char Char Char Char1"/>
    <w:basedOn w:val="1"/>
    <w:uiPriority w:val="0"/>
    <w:pPr>
      <w:tabs>
        <w:tab w:val="left" w:pos="4665"/>
        <w:tab w:val="left" w:pos="8970"/>
      </w:tabs>
      <w:spacing w:after="0" w:afterLines="0" w:line="500" w:lineRule="exact"/>
      <w:ind w:firstLine="420" w:firstLineChars="200"/>
      <w:jc w:val="center"/>
    </w:pPr>
    <w:rPr>
      <w:rFonts w:ascii="Tahoma" w:hAnsi="Tahoma" w:eastAsia="宋体" w:cs="Tahoma"/>
      <w:szCs w:val="21"/>
    </w:rPr>
  </w:style>
  <w:style w:type="paragraph" w:customStyle="1" w:styleId="170">
    <w:name w:val="CM60"/>
    <w:basedOn w:val="110"/>
    <w:next w:val="110"/>
    <w:uiPriority w:val="0"/>
    <w:pPr>
      <w:spacing w:after="78" w:afterLines="0"/>
    </w:pPr>
    <w:rPr>
      <w:rFonts w:ascii="黑体" w:hAnsi="Times New Roman" w:eastAsia="黑体" w:cs="黑体"/>
      <w:color w:val="auto"/>
    </w:rPr>
  </w:style>
  <w:style w:type="paragraph" w:customStyle="1" w:styleId="171">
    <w:name w:val="Revision"/>
    <w:uiPriority w:val="0"/>
    <w:rPr>
      <w:rFonts w:ascii="Calibri" w:hAnsi="Calibri" w:eastAsia="宋体" w:cs="黑体"/>
      <w:kern w:val="2"/>
      <w:sz w:val="21"/>
      <w:szCs w:val="22"/>
      <w:lang w:val="en-US" w:eastAsia="zh-CN" w:bidi="ar-SA"/>
    </w:rPr>
  </w:style>
  <w:style w:type="paragraph" w:customStyle="1" w:styleId="172">
    <w:name w:val="xl23"/>
    <w:basedOn w:val="1"/>
    <w:qFormat/>
    <w:uiPriority w:val="0"/>
    <w:pPr>
      <w:widowControl/>
      <w:spacing w:before="100" w:beforeAutospacing="1" w:after="100" w:afterAutospacing="1"/>
    </w:pPr>
    <w:rPr>
      <w:rFonts w:ascii="Arial Unicode MS" w:hAnsi="Arial Unicode MS"/>
      <w:kern w:val="0"/>
      <w:sz w:val="24"/>
    </w:rPr>
  </w:style>
  <w:style w:type="paragraph" w:customStyle="1" w:styleId="173">
    <w:name w:val="列出段落4"/>
    <w:basedOn w:val="1"/>
    <w:qFormat/>
    <w:uiPriority w:val="0"/>
    <w:pPr>
      <w:ind w:firstLine="420" w:firstLineChars="200"/>
    </w:pPr>
    <w:rPr>
      <w:rFonts w:hint="eastAsia" w:ascii="Calibri" w:hAnsi="Calibri" w:eastAsia="宋体" w:cs="Times New Roman"/>
      <w:szCs w:val="20"/>
    </w:rPr>
  </w:style>
  <w:style w:type="paragraph" w:customStyle="1" w:styleId="174">
    <w:name w:val="p0"/>
    <w:basedOn w:val="1"/>
    <w:uiPriority w:val="0"/>
    <w:pPr>
      <w:widowControl/>
      <w:spacing w:after="0" w:line="240" w:lineRule="auto"/>
      <w:jc w:val="both"/>
    </w:pPr>
    <w:rPr>
      <w:rFonts w:ascii="Cambria" w:hAnsi="Cambria" w:cs="宋体"/>
      <w:kern w:val="0"/>
      <w:szCs w:val="21"/>
    </w:rPr>
  </w:style>
  <w:style w:type="paragraph" w:customStyle="1" w:styleId="175">
    <w:name w:val="CM23"/>
    <w:basedOn w:val="110"/>
    <w:next w:val="110"/>
    <w:uiPriority w:val="0"/>
    <w:rPr>
      <w:rFonts w:ascii="黑体" w:hAnsi="Times New Roman" w:eastAsia="黑体" w:cs="黑体"/>
      <w:color w:val="auto"/>
    </w:rPr>
  </w:style>
  <w:style w:type="paragraph" w:customStyle="1" w:styleId="176">
    <w:name w:val="CM56"/>
    <w:basedOn w:val="110"/>
    <w:next w:val="110"/>
    <w:uiPriority w:val="0"/>
    <w:pPr>
      <w:spacing w:after="155" w:afterLines="0"/>
    </w:pPr>
    <w:rPr>
      <w:rFonts w:ascii="黑体" w:hAnsi="Times New Roman" w:eastAsia="黑体" w:cs="黑体"/>
      <w:color w:val="auto"/>
    </w:rPr>
  </w:style>
  <w:style w:type="paragraph" w:customStyle="1" w:styleId="177">
    <w:name w:val="TOC 标题2"/>
    <w:basedOn w:val="3"/>
    <w:next w:val="1"/>
    <w:uiPriority w:val="0"/>
    <w:pPr>
      <w:widowControl/>
      <w:spacing w:before="480" w:beforeLines="0" w:after="0" w:afterLines="0" w:line="276" w:lineRule="auto"/>
      <w:jc w:val="left"/>
      <w:outlineLvl w:val="9"/>
    </w:pPr>
    <w:rPr>
      <w:rFonts w:ascii="Cambria" w:hAnsi="Cambria" w:eastAsia="宋体" w:cs="黑体"/>
      <w:color w:val="365F90"/>
      <w:kern w:val="0"/>
      <w:sz w:val="28"/>
      <w:szCs w:val="28"/>
    </w:rPr>
  </w:style>
  <w:style w:type="paragraph" w:customStyle="1" w:styleId="178">
    <w:name w:val="1"/>
    <w:basedOn w:val="1"/>
    <w:next w:val="74"/>
    <w:uiPriority w:val="0"/>
    <w:pPr>
      <w:spacing w:after="0" w:afterLines="0" w:line="360" w:lineRule="auto"/>
      <w:ind w:firstLine="376"/>
      <w:jc w:val="both"/>
    </w:pPr>
    <w:rPr>
      <w:rFonts w:ascii="Cambria" w:hAnsi="Cambria" w:eastAsia="宋体" w:cs="Times New Roman"/>
      <w:sz w:val="24"/>
      <w:szCs w:val="24"/>
    </w:rPr>
  </w:style>
  <w:style w:type="paragraph" w:customStyle="1" w:styleId="179">
    <w:name w:val="CM30"/>
    <w:basedOn w:val="110"/>
    <w:next w:val="110"/>
    <w:uiPriority w:val="0"/>
    <w:rPr>
      <w:rFonts w:ascii="黑体" w:hAnsi="Times New Roman" w:eastAsia="黑体" w:cs="黑体"/>
      <w:color w:val="auto"/>
    </w:rPr>
  </w:style>
  <w:style w:type="paragraph" w:customStyle="1" w:styleId="180">
    <w:name w:val="列出段落2"/>
    <w:basedOn w:val="1"/>
    <w:uiPriority w:val="0"/>
    <w:pPr>
      <w:spacing w:after="0" w:afterLines="0" w:line="240" w:lineRule="auto"/>
      <w:ind w:firstLine="420" w:firstLineChars="200"/>
      <w:jc w:val="both"/>
    </w:pPr>
    <w:rPr>
      <w:rFonts w:ascii="Times New Roman" w:hAnsi="Times New Roman" w:eastAsia="宋体" w:cs="Times New Roman"/>
      <w:sz w:val="24"/>
      <w:szCs w:val="21"/>
    </w:rPr>
  </w:style>
  <w:style w:type="paragraph" w:customStyle="1" w:styleId="181">
    <w:name w:val="附注二级正文"/>
    <w:basedOn w:val="1"/>
    <w:uiPriority w:val="0"/>
    <w:pPr>
      <w:adjustRightInd w:val="0"/>
      <w:snapToGrid w:val="0"/>
      <w:spacing w:after="0" w:afterLines="0" w:line="400" w:lineRule="atLeast"/>
      <w:ind w:left="718" w:leftChars="342"/>
      <w:jc w:val="both"/>
    </w:pPr>
    <w:rPr>
      <w:rFonts w:ascii="宋体" w:hAnsi="宋体" w:eastAsia="宋体" w:cs="宋体"/>
      <w:szCs w:val="21"/>
    </w:rPr>
  </w:style>
  <w:style w:type="paragraph" w:customStyle="1" w:styleId="182">
    <w:name w:val="表格日期和单位"/>
    <w:basedOn w:val="136"/>
    <w:uiPriority w:val="0"/>
    <w:pPr>
      <w:spacing w:line="240" w:lineRule="auto"/>
      <w:ind w:firstLine="420"/>
      <w:jc w:val="right"/>
    </w:pPr>
    <w:rPr>
      <w:sz w:val="21"/>
      <w:szCs w:val="21"/>
    </w:rPr>
  </w:style>
  <w:style w:type="paragraph" w:customStyle="1" w:styleId="183">
    <w:name w:val="Other|1"/>
    <w:basedOn w:val="1"/>
    <w:uiPriority w:val="0"/>
    <w:pPr>
      <w:widowControl w:val="0"/>
      <w:shd w:val="clear" w:color="auto" w:fill="auto"/>
      <w:spacing w:after="420" w:line="442" w:lineRule="auto"/>
    </w:pPr>
    <w:rPr>
      <w:rFonts w:ascii="宋体" w:hAnsi="宋体" w:eastAsia="宋体" w:cs="宋体"/>
      <w:sz w:val="22"/>
      <w:szCs w:val="22"/>
      <w:u w:val="none"/>
      <w:shd w:val="clear" w:color="auto" w:fill="auto"/>
      <w:lang w:val="zh-TW" w:eastAsia="zh-TW" w:bidi="zh-TW"/>
    </w:rPr>
  </w:style>
  <w:style w:type="paragraph" w:customStyle="1" w:styleId="184">
    <w:name w:val="封面标准号2"/>
    <w:uiPriority w:val="0"/>
    <w:pPr>
      <w:spacing w:before="357" w:line="280" w:lineRule="exact"/>
      <w:jc w:val="right"/>
    </w:pPr>
    <w:rPr>
      <w:rFonts w:ascii="黑体" w:hAnsi="Times New Roman" w:eastAsia="黑体" w:cs="Times New Roman"/>
      <w:sz w:val="28"/>
      <w:szCs w:val="28"/>
      <w:lang w:val="en-US" w:eastAsia="zh-CN" w:bidi="ar-SA"/>
    </w:rPr>
  </w:style>
  <w:style w:type="paragraph" w:styleId="185">
    <w:name w:val="List Paragraph"/>
    <w:basedOn w:val="1"/>
    <w:qFormat/>
    <w:uiPriority w:val="34"/>
    <w:pPr>
      <w:ind w:firstLine="420" w:firstLineChars="200"/>
    </w:pPr>
  </w:style>
  <w:style w:type="table" w:customStyle="1" w:styleId="186">
    <w:name w:val="ZCX_BAS_TABLE"/>
    <w:basedOn w:val="187"/>
    <w:qFormat/>
    <w:uiPriority w:val="99"/>
    <w:tblPr>
      <w:tblCellMar>
        <w:left w:w="108" w:type="dxa"/>
        <w:right w:w="108" w:type="dxa"/>
      </w:tblCellMar>
    </w:tblPr>
    <w:tcPr>
      <w:shd w:val="clear" w:color="auto" w:fill="auto"/>
    </w:tcPr>
    <w:tblStylePr w:type="firstRow">
      <w:pPr>
        <w:wordWrap/>
        <w:spacing w:line="240" w:lineRule="exact"/>
      </w:pPr>
      <w:rPr>
        <w:rFonts w:ascii="楷体_GB2312" w:hAnsi="楷体_GB2312" w:eastAsia="仿宋_GB2312"/>
        <w:color w:val="FFFFFF"/>
        <w:sz w:val="16"/>
      </w:rPr>
      <w:tcPr>
        <w:tcBorders>
          <w:top w:val="nil"/>
          <w:left w:val="nil"/>
          <w:bottom w:val="single" w:color="FFFFFF" w:sz="24" w:space="0"/>
          <w:right w:val="nil"/>
          <w:insideH w:val="nil"/>
          <w:insideV w:val="single" w:sz="6" w:space="0"/>
          <w:tl2br w:val="nil"/>
          <w:tr2bl w:val="nil"/>
        </w:tcBorders>
        <w:shd w:val="clear" w:color="auto" w:fill="003366"/>
      </w:tcPr>
    </w:tblStylePr>
    <w:tblStylePr w:type="firstCol">
      <w:pPr>
        <w:wordWrap/>
        <w:jc w:val="left"/>
      </w:pPr>
      <w:tcPr>
        <w:vAlign w:val="center"/>
      </w:tcPr>
    </w:tblStylePr>
    <w:tblStylePr w:type="lastCol">
      <w:pPr>
        <w:jc w:val="center"/>
      </w:pPr>
      <w:tcPr>
        <w:vAlign w:val="center"/>
      </w:tcPr>
    </w:tblStylePr>
    <w:tblStylePr w:type="band1Vert">
      <w:pPr>
        <w:jc w:val="center"/>
      </w:pPr>
      <w:tcPr>
        <w:vAlign w:val="center"/>
      </w:tcPr>
    </w:tblStylePr>
    <w:tblStylePr w:type="band2Vert">
      <w:pPr>
        <w:jc w:val="center"/>
      </w:pPr>
      <w:tcPr>
        <w:vAlign w:val="center"/>
      </w:tcPr>
    </w:tblStylePr>
    <w:tblStylePr w:type="band2Horz">
      <w:tcPr>
        <w:shd w:val="clear" w:color="auto" w:fill="CCECFF"/>
      </w:tcPr>
    </w:tblStylePr>
  </w:style>
  <w:style w:type="table" w:customStyle="1" w:styleId="187">
    <w:name w:val="ZCX_RatingTable"/>
    <w:basedOn w:val="41"/>
    <w:qFormat/>
    <w:uiPriority w:val="99"/>
    <w:pPr>
      <w:spacing w:line="240" w:lineRule="exact"/>
      <w:jc w:val="right"/>
    </w:pPr>
    <w:rPr>
      <w:sz w:val="16"/>
    </w:rPr>
    <w:tblPr>
      <w:jc w:val="center"/>
      <w:tblBorders>
        <w:bottom w:val="single" w:color="7E7E7E" w:sz="4" w:space="0"/>
        <w:insideH w:val="single" w:color="D8D8D8" w:sz="6" w:space="0"/>
        <w:insideV w:val="single" w:color="D8D8D8" w:sz="6" w:space="0"/>
      </w:tblBorders>
      <w:tblCellMar>
        <w:left w:w="0" w:type="dxa"/>
        <w:right w:w="0" w:type="dxa"/>
      </w:tblCellMar>
    </w:tblPr>
    <w:trPr>
      <w:jc w:val="center"/>
    </w:trPr>
    <w:tcPr>
      <w:shd w:val="clear" w:color="auto" w:fill="auto"/>
      <w:tcMar>
        <w:right w:w="28" w:type="dxa"/>
      </w:tcMar>
      <w:vAlign w:val="center"/>
    </w:tcPr>
    <w:tblStylePr w:type="firstRow">
      <w:pPr>
        <w:wordWrap/>
        <w:spacing w:line="240" w:lineRule="exact"/>
      </w:pPr>
      <w:rPr>
        <w:rFonts w:ascii="楷体_GB2312" w:hAnsi="楷体_GB2312" w:eastAsia="仿宋_GB2312"/>
        <w:color w:val="FFFFFF"/>
        <w:sz w:val="16"/>
      </w:rPr>
      <w:tcPr>
        <w:tcBorders>
          <w:top w:val="nil"/>
          <w:left w:val="nil"/>
          <w:bottom w:val="single" w:color="FFFFFF" w:sz="24" w:space="0"/>
          <w:right w:val="nil"/>
          <w:insideH w:val="nil"/>
          <w:insideV w:val="single" w:sz="6" w:space="0"/>
          <w:tl2br w:val="nil"/>
          <w:tr2bl w:val="nil"/>
        </w:tcBorders>
        <w:shd w:val="clear" w:color="auto" w:fill="003366"/>
      </w:tcPr>
    </w:tblStylePr>
    <w:tblStylePr w:type="firstCol">
      <w:pPr>
        <w:wordWrap/>
        <w:jc w:val="left"/>
      </w:pPr>
      <w:tcPr>
        <w:vAlign w:val="center"/>
      </w:tcPr>
    </w:tblStylePr>
    <w:tblStylePr w:type="lastCol">
      <w:pPr>
        <w:jc w:val="center"/>
      </w:pPr>
      <w:tcPr>
        <w:vAlign w:val="center"/>
      </w:tcPr>
    </w:tblStylePr>
    <w:tblStylePr w:type="band1Vert">
      <w:pPr>
        <w:jc w:val="center"/>
      </w:pPr>
      <w:tcPr>
        <w:vAlign w:val="center"/>
      </w:tcPr>
    </w:tblStylePr>
    <w:tblStylePr w:type="band2Vert">
      <w:pPr>
        <w:jc w:val="center"/>
      </w:pPr>
      <w:tcPr>
        <w:vAlign w:val="center"/>
      </w:tcPr>
    </w:tblStylePr>
    <w:tblStylePr w:type="band2Horz">
      <w:tcPr>
        <w:shd w:val="clear" w:color="auto" w:fill="CCECFF"/>
      </w:tcPr>
    </w:tblStylePr>
  </w:style>
  <w:style w:type="paragraph" w:customStyle="1" w:styleId="188">
    <w:name w:val="FWB Cont 2"/>
    <w:basedOn w:val="1"/>
    <w:qFormat/>
    <w:uiPriority w:val="0"/>
    <w:pPr>
      <w:widowControl/>
      <w:spacing w:after="240"/>
    </w:pPr>
    <w:rPr>
      <w:kern w:val="0"/>
      <w:sz w:val="24"/>
      <w:szCs w:val="20"/>
      <w:lang w:val="en-GB" w:eastAsia="en-US"/>
    </w:rPr>
  </w:style>
  <w:style w:type="paragraph" w:customStyle="1" w:styleId="189">
    <w:name w:val="Index Heading 2"/>
    <w:basedOn w:val="28"/>
    <w:qFormat/>
    <w:uiPriority w:val="0"/>
    <w:pPr>
      <w:widowControl/>
      <w:tabs>
        <w:tab w:val="right" w:pos="8280"/>
      </w:tabs>
      <w:spacing w:before="0" w:after="480"/>
      <w:jc w:val="left"/>
    </w:pPr>
    <w:rPr>
      <w:rFonts w:ascii="Times New Roman" w:hAnsi="Times New Roman"/>
      <w:bCs w:val="0"/>
      <w:iCs w:val="0"/>
      <w:caps/>
      <w:kern w:val="0"/>
      <w:sz w:val="24"/>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3817</Words>
  <Characters>21763</Characters>
  <Lines>181</Lines>
  <Paragraphs>51</Paragraphs>
  <TotalTime>1</TotalTime>
  <ScaleCrop>false</ScaleCrop>
  <LinksUpToDate>false</LinksUpToDate>
  <CharactersWithSpaces>25529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2020-08-05T03:20:00Z</dcterms:created>
  <dc:creator>郭一</dc:creator>
  <cp:lastModifiedBy>孙晓颖</cp:lastModifiedBy>
  <cp:lastPrinted>2021-06-04T07:14:00Z</cp:lastPrinted>
  <dcterms:modified xsi:type="dcterms:W3CDTF">2021-11-29T01:17:31Z</dcterms:modified>
  <dc:title>毛琰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A651BC2D26624D3F9D34A0B3578AB3B5</vt:lpwstr>
  </property>
</Properties>
</file>