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A399D">
      <w:pPr>
        <w:spacing w:line="560" w:lineRule="exact"/>
        <w:contextualSpacing/>
        <w:jc w:val="center"/>
        <w:rPr>
          <w:rFonts w:ascii="方正小标宋简体" w:hAnsi="方正小标宋简体" w:eastAsia="方正小标宋简体" w:cs="方正小标宋简体"/>
          <w:b/>
          <w:sz w:val="34"/>
          <w:szCs w:val="34"/>
        </w:rPr>
      </w:pPr>
      <w:r>
        <w:rPr>
          <w:rFonts w:hint="eastAsia" w:ascii="方正小标宋简体" w:hAnsi="方正小标宋简体" w:eastAsia="方正小标宋简体" w:cs="方正小标宋简体"/>
          <w:b/>
          <w:sz w:val="34"/>
          <w:szCs w:val="34"/>
        </w:rPr>
        <w:t>不良贷款资产支持证券信息披露指引（</w:t>
      </w:r>
      <w:r>
        <w:rPr>
          <w:rFonts w:hint="eastAsia" w:ascii="方正小标宋简体" w:hAnsi="方正小标宋简体" w:eastAsia="方正小标宋简体" w:cs="方正小标宋简体"/>
          <w:b/>
          <w:sz w:val="34"/>
          <w:szCs w:val="34"/>
          <w:lang w:val="en-US" w:eastAsia="zh-CN"/>
        </w:rPr>
        <w:t>2026版</w:t>
      </w:r>
      <w:r>
        <w:rPr>
          <w:rFonts w:hint="eastAsia" w:ascii="方正小标宋简体" w:hAnsi="方正小标宋简体" w:eastAsia="方正小标宋简体" w:cs="方正小标宋简体"/>
          <w:b/>
          <w:sz w:val="34"/>
          <w:szCs w:val="34"/>
        </w:rPr>
        <w:t>）</w:t>
      </w:r>
    </w:p>
    <w:p w14:paraId="17A577E1">
      <w:pPr>
        <w:spacing w:line="560" w:lineRule="exact"/>
        <w:contextualSpacing/>
        <w:jc w:val="center"/>
        <w:rPr>
          <w:rFonts w:hint="eastAsia" w:ascii="仿宋" w:hAnsi="仿宋" w:eastAsia="仿宋" w:cs="仿宋"/>
          <w:sz w:val="30"/>
          <w:szCs w:val="30"/>
          <w:lang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征求意见稿</w:t>
      </w:r>
      <w:r>
        <w:rPr>
          <w:rFonts w:hint="eastAsia" w:ascii="仿宋" w:hAnsi="仿宋" w:eastAsia="仿宋" w:cs="仿宋"/>
          <w:sz w:val="30"/>
          <w:szCs w:val="30"/>
          <w:lang w:eastAsia="zh-CN"/>
        </w:rPr>
        <w:t>）</w:t>
      </w:r>
    </w:p>
    <w:p w14:paraId="37CEBF90">
      <w:pPr>
        <w:spacing w:before="100" w:beforeAutospacing="1" w:after="100" w:afterAutospacing="1"/>
        <w:jc w:val="center"/>
        <w:rPr>
          <w:rFonts w:ascii="仿宋" w:hAnsi="仿宋" w:eastAsia="仿宋" w:cs="仿宋"/>
          <w:b/>
          <w:sz w:val="30"/>
          <w:szCs w:val="30"/>
        </w:rPr>
      </w:pPr>
      <w:r>
        <w:rPr>
          <w:rFonts w:hint="eastAsia" w:ascii="仿宋" w:hAnsi="仿宋" w:eastAsia="仿宋" w:cs="仿宋"/>
          <w:b/>
          <w:sz w:val="30"/>
          <w:szCs w:val="30"/>
        </w:rPr>
        <w:t>第一章  总则</w:t>
      </w:r>
    </w:p>
    <w:p w14:paraId="5924CE1F">
      <w:pPr>
        <w:tabs>
          <w:tab w:val="left" w:pos="0"/>
        </w:tabs>
        <w:spacing w:line="560" w:lineRule="exact"/>
        <w:ind w:firstLine="601"/>
        <w:jc w:val="both"/>
        <w:rPr>
          <w:rFonts w:ascii="仿宋" w:hAnsi="仿宋" w:eastAsia="仿宋" w:cs="仿宋"/>
          <w:sz w:val="30"/>
          <w:szCs w:val="30"/>
        </w:rPr>
      </w:pPr>
      <w:bookmarkStart w:id="0" w:name="OLE_LINK26"/>
      <w:bookmarkStart w:id="1" w:name="OLE_LINK27"/>
      <w:r>
        <w:rPr>
          <w:rFonts w:hint="eastAsia" w:ascii="仿宋" w:hAnsi="仿宋" w:eastAsia="仿宋" w:cs="仿宋"/>
          <w:b/>
          <w:bCs/>
          <w:sz w:val="30"/>
          <w:szCs w:val="30"/>
        </w:rPr>
        <w:t>第一条【制定依据与适用范围】</w:t>
      </w:r>
      <w:bookmarkStart w:id="2" w:name="OLE_LINK25"/>
      <w:bookmarkStart w:id="3" w:name="OLE_LINK24"/>
      <w:r>
        <w:rPr>
          <w:rFonts w:hint="eastAsia" w:ascii="仿宋" w:hAnsi="仿宋" w:eastAsia="仿宋" w:cs="仿宋"/>
          <w:sz w:val="30"/>
          <w:szCs w:val="30"/>
        </w:rPr>
        <w:t>为规范不良贷款资产支持证券信息披露行为，维护投资者合法权益，促进信贷资产证券化市场规范健康发展，根据《中国人民银行关于信贷资产支持证券发行管理有关事宜的公告》（中国人民银行公告〔2015〕第7号）等有关规定和自律规范，制定本指引。</w:t>
      </w:r>
    </w:p>
    <w:p w14:paraId="72659E01">
      <w:pPr>
        <w:tabs>
          <w:tab w:val="left" w:pos="0"/>
        </w:tabs>
        <w:spacing w:line="560" w:lineRule="exact"/>
        <w:ind w:firstLine="601"/>
        <w:jc w:val="both"/>
        <w:rPr>
          <w:rFonts w:ascii="仿宋" w:hAnsi="仿宋" w:eastAsia="仿宋" w:cs="仿宋"/>
          <w:sz w:val="30"/>
          <w:szCs w:val="30"/>
        </w:rPr>
      </w:pPr>
      <w:r>
        <w:rPr>
          <w:rFonts w:hint="eastAsia" w:ascii="仿宋" w:hAnsi="仿宋" w:eastAsia="仿宋" w:cs="仿宋"/>
          <w:sz w:val="30"/>
          <w:szCs w:val="30"/>
        </w:rPr>
        <w:t>以注册方式发行的不良贷款资产支持证券的信息披露适用本指引，以其他方式发行的不良贷款资产支持证券的信息披露参照本指引执行。</w:t>
      </w:r>
      <w:bookmarkEnd w:id="2"/>
      <w:bookmarkEnd w:id="3"/>
    </w:p>
    <w:p w14:paraId="307771B3">
      <w:pPr>
        <w:tabs>
          <w:tab w:val="left" w:pos="0"/>
        </w:tabs>
        <w:spacing w:line="560" w:lineRule="exact"/>
        <w:ind w:firstLine="600"/>
        <w:jc w:val="both"/>
        <w:rPr>
          <w:rFonts w:ascii="仿宋" w:hAnsi="仿宋" w:eastAsia="仿宋" w:cs="仿宋"/>
          <w:sz w:val="30"/>
          <w:szCs w:val="30"/>
        </w:rPr>
      </w:pPr>
      <w:bookmarkStart w:id="4" w:name="OLE_LINK23"/>
      <w:bookmarkStart w:id="5" w:name="OLE_LINK22"/>
      <w:r>
        <w:rPr>
          <w:rFonts w:hint="eastAsia" w:ascii="仿宋" w:hAnsi="仿宋" w:eastAsia="仿宋" w:cs="仿宋"/>
          <w:b/>
          <w:sz w:val="30"/>
          <w:szCs w:val="30"/>
        </w:rPr>
        <w:t>第二条【产品定义】</w:t>
      </w:r>
      <w:bookmarkStart w:id="6" w:name="OLE_LINK9"/>
      <w:bookmarkStart w:id="7" w:name="OLE_LINK10"/>
      <w:bookmarkStart w:id="8" w:name="OLE_LINK11"/>
      <w:r>
        <w:rPr>
          <w:rFonts w:hint="eastAsia" w:ascii="仿宋" w:hAnsi="仿宋" w:eastAsia="仿宋" w:cs="仿宋"/>
          <w:sz w:val="30"/>
          <w:szCs w:val="30"/>
        </w:rPr>
        <w:t>本指引所称不良贷款资产支持证券，是指在中国境内，银行业金融机构及其他经监管部门认定的金融机构作为发起机构，将不良贷款信托给受托机构，由受托机构以资产支持证券的形式向投资机构发行受益证券，以该不良贷款所产生的现金支付资产支持证券收益的证券化融资工具。</w:t>
      </w:r>
    </w:p>
    <w:p w14:paraId="06E30F2D">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sz w:val="30"/>
          <w:szCs w:val="30"/>
        </w:rPr>
        <w:t>不良贷款应当符合法律法规规定，权属明确，能够产生可预期的现金流或通过执行担保获得收入。</w:t>
      </w:r>
    </w:p>
    <w:bookmarkEnd w:id="0"/>
    <w:bookmarkEnd w:id="1"/>
    <w:bookmarkEnd w:id="4"/>
    <w:bookmarkEnd w:id="5"/>
    <w:bookmarkEnd w:id="6"/>
    <w:bookmarkEnd w:id="7"/>
    <w:bookmarkEnd w:id="8"/>
    <w:p w14:paraId="2B607191">
      <w:pPr>
        <w:tabs>
          <w:tab w:val="left" w:pos="0"/>
        </w:tabs>
        <w:spacing w:line="560" w:lineRule="exact"/>
        <w:ind w:firstLine="600"/>
        <w:jc w:val="both"/>
        <w:rPr>
          <w:rFonts w:ascii="仿宋" w:hAnsi="仿宋" w:eastAsia="仿宋" w:cs="仿宋"/>
          <w:bCs/>
          <w:sz w:val="30"/>
          <w:szCs w:val="30"/>
        </w:rPr>
      </w:pPr>
      <w:r>
        <w:rPr>
          <w:rFonts w:hint="eastAsia" w:ascii="仿宋" w:hAnsi="仿宋" w:eastAsia="仿宋" w:cs="仿宋"/>
          <w:b/>
          <w:sz w:val="30"/>
          <w:szCs w:val="30"/>
        </w:rPr>
        <w:t>第三条</w:t>
      </w:r>
      <w:r>
        <w:rPr>
          <w:rFonts w:hint="eastAsia" w:ascii="仿宋" w:hAnsi="仿宋" w:eastAsia="仿宋" w:cs="仿宋"/>
          <w:b/>
          <w:bCs/>
          <w:sz w:val="30"/>
          <w:szCs w:val="30"/>
        </w:rPr>
        <w:t>【自律管理】</w:t>
      </w:r>
      <w:r>
        <w:rPr>
          <w:rFonts w:hint="eastAsia" w:ascii="仿宋" w:hAnsi="仿宋" w:eastAsia="仿宋" w:cs="仿宋"/>
          <w:bCs/>
          <w:sz w:val="30"/>
          <w:szCs w:val="30"/>
        </w:rPr>
        <w:t>中国银行间市场交易商协会（以下简称交易商协会）对不良贷款资产支持证券信息披露行为开展自律管理。受托机构、发起机构及其他相关中介机构应接受交易商协会的自律管理。</w:t>
      </w:r>
    </w:p>
    <w:p w14:paraId="6AF77CEE">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sz w:val="30"/>
          <w:szCs w:val="30"/>
        </w:rPr>
        <w:t>本指引所称的中介机构包括但不限于承销机构、贷款服务机构、资产池实际处置机构、资金保管机构、信用评级机构、律师事务所、会计师事务所、资产服务顾问、资产评估机构、信用增进机构等。</w:t>
      </w:r>
    </w:p>
    <w:p w14:paraId="5C4A6C2C">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sz w:val="30"/>
          <w:szCs w:val="30"/>
        </w:rPr>
        <w:t>第四条</w:t>
      </w:r>
      <w:r>
        <w:rPr>
          <w:rFonts w:hint="eastAsia" w:ascii="仿宋" w:hAnsi="仿宋" w:eastAsia="仿宋" w:cs="仿宋"/>
          <w:b/>
          <w:bCs/>
          <w:sz w:val="30"/>
          <w:szCs w:val="30"/>
        </w:rPr>
        <w:t>【信息披露责任】</w:t>
      </w:r>
      <w:r>
        <w:rPr>
          <w:rFonts w:hint="eastAsia" w:ascii="仿宋" w:hAnsi="仿宋" w:eastAsia="仿宋" w:cs="仿宋"/>
          <w:sz w:val="30"/>
          <w:szCs w:val="30"/>
        </w:rPr>
        <w:t>受托机构和发起机构应切实履行信息披露职责，保证信息披露真实、准确、完整、及时，不得有虚假记载、误导性陈述和重大遗漏，并承担主体责任。</w:t>
      </w:r>
    </w:p>
    <w:p w14:paraId="1F4BC644">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sz w:val="30"/>
          <w:szCs w:val="30"/>
        </w:rPr>
        <w:t>发起机构和接受受托机构委托的中介机构应按照信托合同、服务合同或相关聘用合同等相关约定，及时向受托机构提供相关报告，并保证所提供信息真实、准确、完整。</w:t>
      </w:r>
    </w:p>
    <w:p w14:paraId="69C6429C">
      <w:pPr>
        <w:tabs>
          <w:tab w:val="left" w:pos="0"/>
        </w:tabs>
        <w:spacing w:line="560" w:lineRule="exact"/>
        <w:ind w:firstLine="600"/>
        <w:jc w:val="both"/>
        <w:rPr>
          <w:rFonts w:ascii="仿宋" w:hAnsi="仿宋" w:eastAsia="仿宋" w:cs="仿宋"/>
          <w:b/>
          <w:sz w:val="30"/>
          <w:szCs w:val="30"/>
        </w:rPr>
      </w:pPr>
      <w:r>
        <w:rPr>
          <w:rFonts w:hint="eastAsia" w:ascii="仿宋" w:hAnsi="仿宋" w:eastAsia="仿宋" w:cs="仿宋"/>
          <w:b/>
          <w:sz w:val="30"/>
          <w:szCs w:val="30"/>
        </w:rPr>
        <w:t>第五条</w:t>
      </w:r>
      <w:r>
        <w:rPr>
          <w:rFonts w:hint="eastAsia" w:ascii="仿宋" w:hAnsi="仿宋" w:eastAsia="仿宋" w:cs="仿宋"/>
          <w:b/>
          <w:bCs/>
          <w:sz w:val="30"/>
          <w:szCs w:val="30"/>
        </w:rPr>
        <w:t>【中介机构尽职履责】</w:t>
      </w:r>
      <w:bookmarkStart w:id="9" w:name="OLE_LINK5"/>
      <w:bookmarkStart w:id="10" w:name="OLE_LINK6"/>
      <w:r>
        <w:rPr>
          <w:rFonts w:hint="eastAsia" w:ascii="仿宋" w:hAnsi="仿宋" w:eastAsia="仿宋" w:cs="仿宋"/>
          <w:sz w:val="30"/>
          <w:szCs w:val="30"/>
        </w:rPr>
        <w:t>承销机构、信用评级机构、律师事务所、会计师事务所及其他中介机构应按合同约定切实履行尽职调查责任，依法披露信息，对所出具的专业报告和专业意见负责。</w:t>
      </w:r>
      <w:bookmarkEnd w:id="9"/>
      <w:bookmarkEnd w:id="10"/>
    </w:p>
    <w:p w14:paraId="562766D1">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sz w:val="30"/>
          <w:szCs w:val="30"/>
        </w:rPr>
        <w:t>第六条</w:t>
      </w:r>
      <w:r>
        <w:rPr>
          <w:rFonts w:hint="eastAsia" w:ascii="仿宋" w:hAnsi="仿宋" w:eastAsia="仿宋" w:cs="仿宋"/>
          <w:b/>
          <w:bCs/>
          <w:sz w:val="30"/>
          <w:szCs w:val="30"/>
        </w:rPr>
        <w:t>【投资者风险自担】</w:t>
      </w:r>
      <w:r>
        <w:rPr>
          <w:rFonts w:hint="eastAsia" w:ascii="仿宋" w:hAnsi="仿宋" w:eastAsia="仿宋" w:cs="仿宋"/>
          <w:sz w:val="30"/>
          <w:szCs w:val="30"/>
        </w:rPr>
        <w:t>投资者应对披露的信息进行独立分析，独立判断不良贷款资产支持证券投资价值，自行承担投资风险。</w:t>
      </w:r>
    </w:p>
    <w:p w14:paraId="55E2DC54">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
          <w:bCs/>
          <w:sz w:val="30"/>
          <w:szCs w:val="30"/>
        </w:rPr>
        <w:t>第七条【信息披露内容】</w:t>
      </w:r>
      <w:r>
        <w:rPr>
          <w:rFonts w:hint="eastAsia" w:ascii="仿宋" w:hAnsi="仿宋" w:eastAsia="仿宋" w:cs="仿宋"/>
          <w:bCs/>
          <w:sz w:val="30"/>
          <w:szCs w:val="30"/>
        </w:rPr>
        <w:t>受托机构、发起机构及中介机构应根据本指引及相关表格体系要求，在注册环节、发行环节及存续期充分披露不良贷款资产支持证券相关信息。</w:t>
      </w:r>
    </w:p>
    <w:p w14:paraId="44EA150E">
      <w:pPr>
        <w:tabs>
          <w:tab w:val="left" w:pos="0"/>
        </w:tabs>
        <w:snapToGrid w:val="0"/>
        <w:spacing w:line="560" w:lineRule="exact"/>
        <w:ind w:firstLine="602"/>
        <w:jc w:val="both"/>
        <w:rPr>
          <w:rFonts w:ascii="仿宋" w:hAnsi="仿宋" w:eastAsia="仿宋" w:cs="仿宋"/>
          <w:sz w:val="30"/>
          <w:szCs w:val="30"/>
          <w:highlight w:val="yellow"/>
        </w:rPr>
      </w:pPr>
      <w:r>
        <w:rPr>
          <w:rFonts w:hint="eastAsia" w:ascii="仿宋" w:hAnsi="仿宋" w:eastAsia="仿宋" w:cs="仿宋"/>
          <w:b/>
          <w:sz w:val="30"/>
          <w:szCs w:val="30"/>
          <w:highlight w:val="none"/>
        </w:rPr>
        <w:t>第八条</w:t>
      </w:r>
      <w:r>
        <w:rPr>
          <w:rFonts w:hint="eastAsia" w:ascii="仿宋" w:hAnsi="仿宋" w:eastAsia="仿宋" w:cs="仿宋"/>
          <w:b/>
          <w:bCs/>
          <w:color w:val="000000"/>
          <w:sz w:val="30"/>
          <w:szCs w:val="30"/>
          <w:highlight w:val="none"/>
        </w:rPr>
        <w:t>【逐笔资产信息披露】</w:t>
      </w:r>
      <w:r>
        <w:rPr>
          <w:rFonts w:hint="eastAsia" w:ascii="仿宋" w:hAnsi="仿宋" w:eastAsia="仿宋" w:cs="仿宋"/>
          <w:color w:val="000000"/>
          <w:sz w:val="30"/>
          <w:szCs w:val="30"/>
          <w:highlight w:val="none"/>
        </w:rPr>
        <w:t>在受托机构和发起机构保证数据提供合法合规、投资人保证数据使用合法合规的前提下，</w:t>
      </w:r>
      <w:r>
        <w:rPr>
          <w:rFonts w:hint="eastAsia" w:ascii="仿宋" w:hAnsi="仿宋" w:eastAsia="仿宋" w:cs="仿宋"/>
          <w:bCs/>
          <w:sz w:val="30"/>
          <w:szCs w:val="30"/>
          <w:highlight w:val="none"/>
        </w:rPr>
        <w:t>不良贷款资产支持证券的</w:t>
      </w:r>
      <w:r>
        <w:rPr>
          <w:rFonts w:hint="eastAsia" w:ascii="仿宋" w:hAnsi="仿宋" w:eastAsia="仿宋" w:cs="仿宋"/>
          <w:color w:val="000000"/>
          <w:sz w:val="30"/>
          <w:szCs w:val="30"/>
          <w:highlight w:val="none"/>
        </w:rPr>
        <w:t>逐笔资产数据可由相关方通过签署合规协议等方式获取。相关市场机构应做好逐笔资产信息的录入登记及保管工作，随时供监管</w:t>
      </w:r>
      <w:r>
        <w:rPr>
          <w:rFonts w:hint="eastAsia" w:ascii="仿宋" w:hAnsi="仿宋" w:eastAsia="仿宋" w:cs="仿宋"/>
          <w:color w:val="000000"/>
          <w:sz w:val="30"/>
          <w:szCs w:val="30"/>
          <w:highlight w:val="none"/>
          <w:lang w:val="en-US" w:eastAsia="zh-CN"/>
        </w:rPr>
        <w:t>机构</w:t>
      </w:r>
      <w:r>
        <w:rPr>
          <w:rFonts w:hint="eastAsia" w:ascii="仿宋" w:hAnsi="仿宋" w:eastAsia="仿宋" w:cs="仿宋"/>
          <w:color w:val="000000"/>
          <w:sz w:val="30"/>
          <w:szCs w:val="30"/>
          <w:highlight w:val="none"/>
        </w:rPr>
        <w:t>调阅检查。</w:t>
      </w:r>
    </w:p>
    <w:p w14:paraId="2EC5FCE4">
      <w:pPr>
        <w:tabs>
          <w:tab w:val="left" w:pos="0"/>
        </w:tabs>
        <w:snapToGrid w:val="0"/>
        <w:spacing w:line="560" w:lineRule="exact"/>
        <w:ind w:firstLine="602"/>
        <w:jc w:val="both"/>
        <w:rPr>
          <w:rFonts w:ascii="仿宋" w:hAnsi="仿宋" w:eastAsia="仿宋" w:cs="仿宋"/>
          <w:bCs/>
          <w:color w:val="000000"/>
          <w:sz w:val="30"/>
          <w:szCs w:val="30"/>
        </w:rPr>
      </w:pPr>
      <w:r>
        <w:rPr>
          <w:rFonts w:hint="eastAsia" w:ascii="仿宋" w:hAnsi="仿宋" w:eastAsia="仿宋" w:cs="仿宋"/>
          <w:b/>
          <w:sz w:val="30"/>
          <w:szCs w:val="30"/>
        </w:rPr>
        <w:t>第九条</w:t>
      </w:r>
      <w:r>
        <w:rPr>
          <w:rFonts w:hint="eastAsia" w:ascii="仿宋" w:hAnsi="仿宋" w:eastAsia="仿宋" w:cs="仿宋"/>
          <w:b/>
          <w:bCs/>
          <w:color w:val="000000"/>
          <w:sz w:val="30"/>
          <w:szCs w:val="30"/>
        </w:rPr>
        <w:t>【信息披露渠道】</w:t>
      </w:r>
      <w:r>
        <w:rPr>
          <w:rFonts w:hint="eastAsia" w:ascii="仿宋" w:hAnsi="仿宋" w:eastAsia="仿宋" w:cs="仿宋"/>
          <w:bCs/>
          <w:color w:val="000000"/>
          <w:sz w:val="30"/>
          <w:szCs w:val="30"/>
        </w:rPr>
        <w:t>受托机构、发起机构及中介机构应通过交易商协会综合业务和信息服务平台、中国货币网、中国债券信息网、北京金融资产交易所网站及交易商协会认可的其他方式进行不良贷款资产支持证券相关信息披露。信息披露相关服务平台应及时以书面形式将违反信息披露规定的行为向中国人民银行报告，同时告知交易商协会，并向市场公告。</w:t>
      </w:r>
    </w:p>
    <w:p w14:paraId="5C8D0DDA">
      <w:pPr>
        <w:tabs>
          <w:tab w:val="left" w:pos="0"/>
        </w:tabs>
        <w:snapToGrid w:val="0"/>
        <w:spacing w:line="560" w:lineRule="exact"/>
        <w:ind w:firstLine="602"/>
        <w:jc w:val="both"/>
        <w:rPr>
          <w:rFonts w:ascii="仿宋" w:hAnsi="仿宋" w:eastAsia="仿宋" w:cs="仿宋"/>
          <w:bCs/>
          <w:color w:val="000000"/>
          <w:sz w:val="30"/>
          <w:szCs w:val="30"/>
        </w:rPr>
      </w:pPr>
      <w:r>
        <w:rPr>
          <w:rFonts w:hint="eastAsia" w:ascii="仿宋" w:hAnsi="仿宋" w:eastAsia="仿宋" w:cs="仿宋"/>
          <w:bCs/>
          <w:color w:val="000000"/>
          <w:sz w:val="30"/>
          <w:szCs w:val="30"/>
        </w:rPr>
        <w:t>信息披露相关服务平台应严格按照银行间市场法律法规及交易商协会相关自律规范文件要求，规范开展信息披露工作，不断完善信息披露基础设施，提高技术支持、信息披露服务和信息安全管理水平。</w:t>
      </w:r>
    </w:p>
    <w:p w14:paraId="4F35CCB6">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b/>
          <w:sz w:val="30"/>
          <w:szCs w:val="30"/>
        </w:rPr>
        <w:t>第十条</w:t>
      </w:r>
      <w:r>
        <w:rPr>
          <w:rFonts w:hint="eastAsia" w:ascii="仿宋" w:hAnsi="仿宋" w:eastAsia="仿宋" w:cs="仿宋"/>
          <w:b/>
          <w:bCs/>
          <w:sz w:val="30"/>
          <w:szCs w:val="30"/>
        </w:rPr>
        <w:t>【信息保密义务】</w:t>
      </w:r>
      <w:r>
        <w:rPr>
          <w:rFonts w:hint="eastAsia" w:ascii="仿宋" w:hAnsi="仿宋" w:eastAsia="仿宋" w:cs="仿宋"/>
          <w:sz w:val="30"/>
          <w:szCs w:val="30"/>
        </w:rPr>
        <w:t>受托机构、发起机构、中介机构、全国银行间同业拆借中心、中央国债登记结算有限责任公司、北京金融资产交易所及其他相关知情人在信息披露前不得泄露拟披露的信息。</w:t>
      </w:r>
    </w:p>
    <w:p w14:paraId="4F7D0DE2">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sz w:val="30"/>
          <w:szCs w:val="30"/>
        </w:rPr>
        <w:t>第十一条【</w:t>
      </w:r>
      <w:r>
        <w:rPr>
          <w:rFonts w:hint="eastAsia" w:ascii="仿宋" w:hAnsi="仿宋" w:eastAsia="仿宋" w:cs="仿宋"/>
          <w:b/>
          <w:bCs/>
          <w:sz w:val="30"/>
          <w:szCs w:val="30"/>
        </w:rPr>
        <w:t>信息</w:t>
      </w:r>
      <w:r>
        <w:rPr>
          <w:rFonts w:hint="eastAsia" w:ascii="仿宋" w:hAnsi="仿宋" w:eastAsia="仿宋" w:cs="仿宋"/>
          <w:b/>
          <w:sz w:val="30"/>
          <w:szCs w:val="30"/>
        </w:rPr>
        <w:t>披露豁免】</w:t>
      </w:r>
      <w:r>
        <w:rPr>
          <w:rFonts w:hint="eastAsia" w:ascii="仿宋" w:hAnsi="仿宋" w:eastAsia="仿宋" w:cs="仿宋"/>
          <w:sz w:val="30"/>
          <w:szCs w:val="30"/>
        </w:rPr>
        <w:t>因涉及国家秘密确实无法披露相关信息的，相关信息披露义务人应对无法披露信息的情况及原因进行说明并向中国人民银行报告。因技术性困难或其他客观原因确实无法披露相关信息的，</w:t>
      </w:r>
      <w:r>
        <w:rPr>
          <w:rFonts w:hint="eastAsia" w:ascii="仿宋" w:hAnsi="仿宋" w:eastAsia="仿宋" w:cs="仿宋"/>
          <w:sz w:val="32"/>
          <w:szCs w:val="32"/>
        </w:rPr>
        <w:t>相关信息披露义务人应对无法披露信息的情况及原因进行说明，</w:t>
      </w:r>
      <w:r>
        <w:rPr>
          <w:rFonts w:hint="eastAsia" w:ascii="仿宋" w:hAnsi="仿宋" w:eastAsia="仿宋" w:cs="仿宋"/>
          <w:sz w:val="30"/>
          <w:szCs w:val="30"/>
        </w:rPr>
        <w:t>向投资者披露情况说明书</w:t>
      </w:r>
      <w:r>
        <w:rPr>
          <w:rFonts w:hint="eastAsia" w:ascii="仿宋" w:hAnsi="仿宋" w:eastAsia="仿宋" w:cs="仿宋"/>
          <w:sz w:val="32"/>
          <w:szCs w:val="32"/>
        </w:rPr>
        <w:t>并向中国人民银行报告</w:t>
      </w:r>
      <w:r>
        <w:rPr>
          <w:rFonts w:hint="eastAsia" w:ascii="仿宋" w:hAnsi="仿宋" w:eastAsia="仿宋" w:cs="仿宋"/>
          <w:sz w:val="30"/>
          <w:szCs w:val="30"/>
        </w:rPr>
        <w:t>。</w:t>
      </w:r>
    </w:p>
    <w:p w14:paraId="00C9D879">
      <w:pPr>
        <w:spacing w:before="100" w:beforeAutospacing="1" w:after="100" w:afterAutospacing="1"/>
        <w:ind w:firstLine="602"/>
        <w:jc w:val="center"/>
        <w:rPr>
          <w:rFonts w:ascii="仿宋" w:hAnsi="仿宋" w:eastAsia="仿宋" w:cs="仿宋"/>
          <w:sz w:val="30"/>
          <w:szCs w:val="30"/>
        </w:rPr>
      </w:pPr>
      <w:r>
        <w:rPr>
          <w:rFonts w:hint="eastAsia" w:ascii="仿宋" w:hAnsi="仿宋" w:eastAsia="仿宋" w:cs="仿宋"/>
          <w:b/>
          <w:sz w:val="30"/>
          <w:szCs w:val="30"/>
        </w:rPr>
        <w:t>第二章  注册环节信息披露</w:t>
      </w:r>
    </w:p>
    <w:p w14:paraId="71E0F3D7">
      <w:pPr>
        <w:ind w:firstLine="602" w:firstLineChars="200"/>
        <w:jc w:val="both"/>
        <w:rPr>
          <w:rFonts w:ascii="仿宋" w:hAnsi="仿宋" w:eastAsia="仿宋" w:cs="仿宋"/>
          <w:sz w:val="30"/>
          <w:szCs w:val="30"/>
        </w:rPr>
      </w:pPr>
      <w:r>
        <w:rPr>
          <w:rFonts w:hint="eastAsia" w:ascii="仿宋" w:hAnsi="仿宋" w:eastAsia="仿宋" w:cs="仿宋"/>
          <w:b/>
          <w:sz w:val="30"/>
          <w:szCs w:val="30"/>
        </w:rPr>
        <w:t>第十二条【注册文件】</w:t>
      </w:r>
      <w:r>
        <w:rPr>
          <w:rFonts w:hint="eastAsia" w:ascii="仿宋" w:hAnsi="仿宋" w:eastAsia="仿宋" w:cs="仿宋"/>
          <w:sz w:val="30"/>
          <w:szCs w:val="30"/>
        </w:rPr>
        <w:t>受托机构、发起机构应在不良贷款资产支持证券接受注册后十个工作日内，披露注册申请报告等文件。</w:t>
      </w:r>
    </w:p>
    <w:p w14:paraId="3CDB9E13">
      <w:pPr>
        <w:ind w:firstLine="600" w:firstLineChars="200"/>
        <w:jc w:val="both"/>
        <w:rPr>
          <w:rFonts w:ascii="仿宋" w:hAnsi="仿宋" w:eastAsia="仿宋" w:cs="仿宋"/>
          <w:sz w:val="30"/>
          <w:szCs w:val="30"/>
        </w:rPr>
      </w:pPr>
      <w:r>
        <w:rPr>
          <w:rFonts w:hint="eastAsia" w:ascii="仿宋" w:hAnsi="仿宋" w:eastAsia="仿宋" w:cs="仿宋"/>
          <w:sz w:val="30"/>
          <w:szCs w:val="30"/>
        </w:rPr>
        <w:t>注册申请报告包括但不限于以下内容：</w:t>
      </w:r>
    </w:p>
    <w:p w14:paraId="48AC82A9">
      <w:pPr>
        <w:ind w:firstLine="600" w:firstLineChars="200"/>
        <w:jc w:val="both"/>
        <w:rPr>
          <w:rFonts w:ascii="仿宋" w:hAnsi="仿宋" w:eastAsia="仿宋" w:cs="仿宋"/>
          <w:sz w:val="30"/>
          <w:szCs w:val="30"/>
        </w:rPr>
      </w:pPr>
      <w:r>
        <w:rPr>
          <w:rFonts w:hint="eastAsia" w:ascii="仿宋" w:hAnsi="仿宋" w:eastAsia="仿宋" w:cs="仿宋"/>
          <w:sz w:val="30"/>
          <w:szCs w:val="30"/>
        </w:rPr>
        <w:t>（一）不良贷款资产支持证券名称、资产类型、注册额度、分期发行安排等基本信息；</w:t>
      </w:r>
    </w:p>
    <w:p w14:paraId="108F8999">
      <w:pPr>
        <w:ind w:firstLine="600" w:firstLineChars="200"/>
        <w:jc w:val="both"/>
        <w:rPr>
          <w:rFonts w:ascii="仿宋" w:hAnsi="仿宋" w:eastAsia="仿宋" w:cs="仿宋"/>
          <w:sz w:val="30"/>
          <w:szCs w:val="30"/>
        </w:rPr>
      </w:pPr>
      <w:r>
        <w:rPr>
          <w:rFonts w:hint="eastAsia" w:ascii="仿宋" w:hAnsi="仿宋" w:eastAsia="仿宋" w:cs="仿宋"/>
          <w:sz w:val="30"/>
          <w:szCs w:val="30"/>
        </w:rPr>
        <w:t>（二）不良贷款资产支持证券的发行方式。拟采用簿记建档发行的，应说明采用簿记建档发行的必要性，定价、配售的具体原则和方式，以及防范操作风险和不正当利益输送的措施；</w:t>
      </w:r>
    </w:p>
    <w:p w14:paraId="37065886">
      <w:pPr>
        <w:ind w:firstLine="600" w:firstLineChars="200"/>
        <w:jc w:val="both"/>
        <w:rPr>
          <w:rFonts w:ascii="仿宋" w:hAnsi="仿宋" w:eastAsia="仿宋" w:cs="仿宋"/>
          <w:sz w:val="30"/>
          <w:szCs w:val="30"/>
        </w:rPr>
      </w:pPr>
      <w:r>
        <w:rPr>
          <w:rFonts w:hint="eastAsia" w:ascii="仿宋" w:hAnsi="仿宋" w:eastAsia="仿宋" w:cs="仿宋"/>
          <w:sz w:val="30"/>
          <w:szCs w:val="30"/>
        </w:rPr>
        <w:t>（三）风险提示及风险披露；</w:t>
      </w:r>
    </w:p>
    <w:p w14:paraId="6C3EE270">
      <w:pPr>
        <w:ind w:firstLine="600" w:firstLineChars="200"/>
        <w:jc w:val="both"/>
        <w:rPr>
          <w:rFonts w:ascii="仿宋" w:hAnsi="仿宋" w:eastAsia="仿宋" w:cs="仿宋"/>
          <w:sz w:val="30"/>
          <w:szCs w:val="30"/>
        </w:rPr>
      </w:pPr>
      <w:r>
        <w:rPr>
          <w:rFonts w:hint="eastAsia" w:ascii="仿宋" w:hAnsi="仿宋" w:eastAsia="仿宋" w:cs="仿宋"/>
          <w:sz w:val="30"/>
          <w:szCs w:val="30"/>
        </w:rPr>
        <w:t>（四）受托机构、发起机构及其他中介机构信息，发起机构证券化的信贷资产发放程序、风控政策、审核标准、担保形式、管理办法、过往表现、违约贷款处置程序及方法、同类型资产在银行间市场发行产品的基本情况及兑付情况（如有）等，贷款服务机构管理证券化信贷资产的方法、标准；</w:t>
      </w:r>
    </w:p>
    <w:p w14:paraId="727C3C47">
      <w:pPr>
        <w:ind w:firstLine="600" w:firstLineChars="200"/>
        <w:jc w:val="both"/>
        <w:rPr>
          <w:rFonts w:ascii="仿宋" w:hAnsi="仿宋" w:eastAsia="仿宋" w:cs="仿宋"/>
          <w:sz w:val="30"/>
          <w:szCs w:val="30"/>
        </w:rPr>
      </w:pPr>
      <w:r>
        <w:rPr>
          <w:rFonts w:hint="eastAsia" w:ascii="仿宋" w:hAnsi="仿宋" w:eastAsia="仿宋" w:cs="仿宋"/>
          <w:sz w:val="30"/>
          <w:szCs w:val="30"/>
        </w:rPr>
        <w:t>（五）发起机构及中介机构相关经验及历史数据（如有）；</w:t>
      </w:r>
    </w:p>
    <w:p w14:paraId="33EB35C9">
      <w:pPr>
        <w:ind w:firstLine="600" w:firstLineChars="200"/>
        <w:jc w:val="both"/>
        <w:rPr>
          <w:rFonts w:ascii="仿宋" w:hAnsi="仿宋" w:eastAsia="仿宋" w:cs="仿宋"/>
          <w:sz w:val="30"/>
          <w:szCs w:val="30"/>
        </w:rPr>
      </w:pPr>
      <w:r>
        <w:rPr>
          <w:rFonts w:hint="eastAsia" w:ascii="仿宋" w:hAnsi="仿宋" w:eastAsia="仿宋" w:cs="仿宋"/>
          <w:sz w:val="30"/>
          <w:szCs w:val="30"/>
        </w:rPr>
        <w:t>（六）交易结构及各当事方的主要权利与义务等信息；</w:t>
      </w:r>
    </w:p>
    <w:p w14:paraId="22B0AEBE">
      <w:pPr>
        <w:ind w:firstLine="600" w:firstLineChars="200"/>
        <w:jc w:val="both"/>
        <w:rPr>
          <w:rFonts w:ascii="仿宋" w:hAnsi="仿宋" w:eastAsia="仿宋" w:cs="仿宋"/>
          <w:sz w:val="30"/>
          <w:szCs w:val="30"/>
        </w:rPr>
      </w:pPr>
      <w:r>
        <w:rPr>
          <w:rFonts w:hint="eastAsia" w:ascii="仿宋" w:hAnsi="仿宋" w:eastAsia="仿宋" w:cs="仿宋"/>
          <w:sz w:val="30"/>
          <w:szCs w:val="30"/>
        </w:rPr>
        <w:t>（七）基础资产筛选标准和资产保证；</w:t>
      </w:r>
    </w:p>
    <w:p w14:paraId="5B6648C7">
      <w:pPr>
        <w:ind w:firstLine="600" w:firstLineChars="200"/>
        <w:jc w:val="both"/>
        <w:rPr>
          <w:rFonts w:ascii="仿宋" w:hAnsi="仿宋" w:eastAsia="仿宋" w:cs="仿宋"/>
          <w:sz w:val="30"/>
          <w:szCs w:val="30"/>
        </w:rPr>
      </w:pPr>
      <w:r>
        <w:rPr>
          <w:rFonts w:hint="eastAsia" w:ascii="仿宋" w:hAnsi="仿宋" w:eastAsia="仿宋" w:cs="仿宋"/>
          <w:sz w:val="30"/>
          <w:szCs w:val="30"/>
        </w:rPr>
        <w:t>（八）发行及存续期的信息披露安排。</w:t>
      </w:r>
    </w:p>
    <w:p w14:paraId="573FCCCB">
      <w:pPr>
        <w:ind w:firstLine="602" w:firstLineChars="200"/>
        <w:jc w:val="both"/>
        <w:rPr>
          <w:rFonts w:ascii="仿宋" w:hAnsi="仿宋" w:eastAsia="仿宋" w:cs="仿宋"/>
          <w:b/>
          <w:sz w:val="30"/>
          <w:szCs w:val="30"/>
        </w:rPr>
      </w:pPr>
      <w:r>
        <w:rPr>
          <w:rFonts w:hint="eastAsia" w:ascii="仿宋" w:hAnsi="仿宋" w:eastAsia="仿宋" w:cs="仿宋"/>
          <w:b/>
          <w:sz w:val="30"/>
          <w:szCs w:val="30"/>
        </w:rPr>
        <w:t>第十三条【风险提示】</w:t>
      </w:r>
      <w:r>
        <w:rPr>
          <w:rFonts w:hint="eastAsia" w:ascii="仿宋" w:hAnsi="仿宋" w:eastAsia="仿宋" w:cs="仿宋"/>
          <w:sz w:val="30"/>
          <w:szCs w:val="30"/>
        </w:rPr>
        <w:t>受托机构应在注册申请报告显著位置提示投资者：投资者购买本系列不良贷款资产支持证券，应当认真阅读本文件及有关的信息披露文件，进行独立的投资判断。主管部门对本系列证券发行的注册，并不表明对本系列证券的投资价值作出了任何评价</w:t>
      </w:r>
      <w:r>
        <w:rPr>
          <w:rFonts w:hint="eastAsia" w:ascii="仿宋" w:hAnsi="仿宋" w:eastAsia="仿宋" w:cs="仿宋"/>
          <w:sz w:val="30"/>
          <w:szCs w:val="30"/>
          <w:lang w:eastAsia="zh-CN"/>
        </w:rPr>
        <w:t>，</w:t>
      </w:r>
      <w:r>
        <w:rPr>
          <w:rFonts w:hint="eastAsia" w:ascii="仿宋" w:hAnsi="仿宋" w:eastAsia="仿宋" w:cs="仿宋"/>
          <w:sz w:val="30"/>
          <w:szCs w:val="30"/>
        </w:rPr>
        <w:t>也不表明对本系列证券的投资风险作出了任何判断。</w:t>
      </w:r>
    </w:p>
    <w:p w14:paraId="5FD4099F">
      <w:pPr>
        <w:ind w:firstLine="602" w:firstLineChars="200"/>
        <w:jc w:val="both"/>
        <w:rPr>
          <w:rFonts w:ascii="仿宋" w:hAnsi="仿宋" w:eastAsia="仿宋" w:cs="仿宋"/>
          <w:sz w:val="30"/>
          <w:szCs w:val="30"/>
        </w:rPr>
      </w:pPr>
      <w:r>
        <w:rPr>
          <w:rFonts w:hint="eastAsia" w:ascii="仿宋" w:hAnsi="仿宋" w:eastAsia="仿宋" w:cs="仿宋"/>
          <w:b/>
          <w:sz w:val="30"/>
          <w:szCs w:val="30"/>
        </w:rPr>
        <w:t>第十四条【风险披露】</w:t>
      </w:r>
      <w:r>
        <w:rPr>
          <w:rFonts w:hint="eastAsia" w:ascii="仿宋" w:hAnsi="仿宋" w:eastAsia="仿宋" w:cs="仿宋"/>
          <w:sz w:val="30"/>
          <w:szCs w:val="30"/>
        </w:rPr>
        <w:t>受托机构应在注册申请报告中充分披露不良贷款资产支持证券可能存在的投资风险，包括但不限于现金流实际回收不足的风险、现金流回收时间波动的风险、利率风险、法律风险、政策风险、操作风险等。</w:t>
      </w:r>
    </w:p>
    <w:p w14:paraId="2BB39776">
      <w:pPr>
        <w:spacing w:line="560" w:lineRule="exact"/>
        <w:ind w:firstLine="600"/>
        <w:jc w:val="both"/>
        <w:rPr>
          <w:rFonts w:ascii="仿宋" w:hAnsi="仿宋" w:eastAsia="仿宋" w:cs="仿宋"/>
          <w:sz w:val="30"/>
          <w:szCs w:val="30"/>
        </w:rPr>
      </w:pPr>
      <w:r>
        <w:rPr>
          <w:rFonts w:hint="eastAsia" w:ascii="仿宋" w:hAnsi="仿宋" w:eastAsia="仿宋" w:cs="仿宋"/>
          <w:b/>
          <w:color w:val="000000"/>
          <w:sz w:val="30"/>
          <w:szCs w:val="30"/>
        </w:rPr>
        <w:t>第十五条【历史数据信息】</w:t>
      </w:r>
      <w:r>
        <w:rPr>
          <w:rFonts w:hint="eastAsia" w:ascii="仿宋" w:hAnsi="仿宋" w:eastAsia="仿宋" w:cs="仿宋"/>
          <w:sz w:val="30"/>
          <w:szCs w:val="30"/>
        </w:rPr>
        <w:t>受托机构应在注册申请报告中披露发起机构不良贷款情况，发起机构、贷款服务机构、资产服务顾问（如有）及资产池处置相关机构的不良贷款证券化相关经验和本次注册相关的各类型不良贷款的历史整体回收统计数据（如有）。</w:t>
      </w:r>
    </w:p>
    <w:p w14:paraId="2BEF2CA1">
      <w:pPr>
        <w:spacing w:line="560" w:lineRule="exact"/>
        <w:ind w:firstLine="600"/>
        <w:jc w:val="both"/>
        <w:rPr>
          <w:rFonts w:ascii="仿宋" w:hAnsi="仿宋" w:eastAsia="仿宋" w:cs="仿宋"/>
          <w:sz w:val="30"/>
          <w:szCs w:val="30"/>
        </w:rPr>
      </w:pPr>
      <w:r>
        <w:rPr>
          <w:rFonts w:hint="eastAsia" w:ascii="仿宋" w:hAnsi="仿宋" w:eastAsia="仿宋" w:cs="仿宋"/>
          <w:sz w:val="30"/>
          <w:szCs w:val="30"/>
        </w:rPr>
        <w:t>受托机构应披露发起机构与本次注册相关的不良贷款至少五年的回收统计数据，产生不良贷款不足五年的，应提供自最早产生该类不良贷款时起的完整数据。</w:t>
      </w:r>
    </w:p>
    <w:p w14:paraId="470AEC3A">
      <w:pPr>
        <w:ind w:firstLine="600" w:firstLineChars="200"/>
        <w:jc w:val="both"/>
        <w:rPr>
          <w:rFonts w:ascii="仿宋" w:hAnsi="仿宋" w:eastAsia="仿宋" w:cs="仿宋"/>
          <w:sz w:val="30"/>
          <w:szCs w:val="30"/>
        </w:rPr>
      </w:pPr>
      <w:r>
        <w:rPr>
          <w:rFonts w:hint="eastAsia" w:ascii="仿宋" w:hAnsi="仿宋" w:eastAsia="仿宋" w:cs="仿宋"/>
          <w:sz w:val="30"/>
          <w:szCs w:val="30"/>
        </w:rPr>
        <w:t>如果发行后明确资产服务顾问的，受托机构应在发行结果公告中补充披露上述信息。</w:t>
      </w:r>
    </w:p>
    <w:p w14:paraId="76B823E1">
      <w:pPr>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第十六条【基础资产筛选标准及资产保证】</w:t>
      </w:r>
      <w:r>
        <w:rPr>
          <w:rFonts w:hint="eastAsia" w:ascii="仿宋" w:hAnsi="仿宋" w:eastAsia="仿宋" w:cs="仿宋"/>
          <w:sz w:val="30"/>
          <w:szCs w:val="30"/>
        </w:rPr>
        <w:t>受托机构应在注册申请报告中披露本期发行不良贷款资产支持证券的基础资产筛选标准，包括但不限于债权合法有效性、贷款风险分类、担保措施、贷款币种、单个借款人在发起机构的同类型贷款是否全部入池等，并明确入池每笔贷款在初始起算日和信托财产交付日的状况的全部陈述和保证。</w:t>
      </w:r>
    </w:p>
    <w:p w14:paraId="1793FA94">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b/>
          <w:sz w:val="30"/>
          <w:szCs w:val="30"/>
        </w:rPr>
        <w:t>第十七条【投资者保护机制】</w:t>
      </w:r>
      <w:r>
        <w:rPr>
          <w:rFonts w:hint="eastAsia" w:ascii="仿宋" w:hAnsi="仿宋" w:eastAsia="仿宋" w:cs="仿宋"/>
          <w:sz w:val="30"/>
          <w:szCs w:val="30"/>
        </w:rPr>
        <w:t>受托机构应在注册申请报告或发行说明书中披露各档投资者保护机制，包括但不限于：</w:t>
      </w:r>
    </w:p>
    <w:p w14:paraId="11214BE0">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（一）各档证券的支付顺序变化（如类似加速清偿事件以及违约事件触发后的支付顺序）；</w:t>
      </w:r>
    </w:p>
    <w:p w14:paraId="7189E72E">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（二）基础资产现金流恶化或</w:t>
      </w:r>
      <w:r>
        <w:rPr>
          <w:rFonts w:hint="eastAsia" w:ascii="仿宋" w:hAnsi="仿宋" w:eastAsia="仿宋" w:cs="仿宋"/>
          <w:sz w:val="30"/>
          <w:szCs w:val="30"/>
          <w:lang w:eastAsia="zh-CN"/>
        </w:rPr>
        <w:t>其他可能</w:t>
      </w:r>
      <w:r>
        <w:rPr>
          <w:rFonts w:hint="eastAsia" w:ascii="仿宋" w:hAnsi="仿宋" w:eastAsia="仿宋" w:cs="仿宋"/>
          <w:sz w:val="30"/>
          <w:szCs w:val="30"/>
        </w:rPr>
        <w:t>影响投资者利益等情况的应对措施；</w:t>
      </w:r>
    </w:p>
    <w:p w14:paraId="5866EE91">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（三）优先档证券发生违约后的权益保障及清偿安排；</w:t>
      </w:r>
    </w:p>
    <w:p w14:paraId="7CBE339C">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（四）发生基础资产权属争议时的解决机制；</w:t>
      </w:r>
    </w:p>
    <w:p w14:paraId="4FA2EC61">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（五）持有人大会的召开条件、议事程序等安排；</w:t>
      </w:r>
    </w:p>
    <w:p w14:paraId="4C02AD56">
      <w:pPr>
        <w:ind w:firstLine="600" w:firstLineChars="200"/>
        <w:jc w:val="both"/>
        <w:rPr>
          <w:rFonts w:ascii="仿宋" w:hAnsi="仿宋" w:eastAsia="仿宋" w:cs="仿宋"/>
          <w:b/>
          <w:sz w:val="30"/>
          <w:szCs w:val="30"/>
        </w:rPr>
      </w:pPr>
      <w:r>
        <w:rPr>
          <w:rFonts w:hint="eastAsia" w:ascii="仿宋" w:hAnsi="仿宋" w:eastAsia="仿宋" w:cs="仿宋"/>
          <w:sz w:val="30"/>
          <w:szCs w:val="30"/>
        </w:rPr>
        <w:t>（六）其他投资者保护措施或相关安排。</w:t>
      </w:r>
    </w:p>
    <w:p w14:paraId="521C1B45">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b/>
          <w:sz w:val="30"/>
          <w:szCs w:val="30"/>
        </w:rPr>
        <w:t>第十八条【信息披露精简原则】</w:t>
      </w:r>
      <w:r>
        <w:rPr>
          <w:rFonts w:hint="eastAsia" w:ascii="仿宋" w:hAnsi="仿宋" w:eastAsia="仿宋" w:cs="仿宋"/>
          <w:sz w:val="30"/>
          <w:szCs w:val="30"/>
        </w:rPr>
        <w:t>在注册环节已披露的信息，如受托机构、发起机构及其他中介机构信息、交易结构信息、基础资产筛选标准等，在发行环节及存续期内可免于披露，鼓励在注册环节披露更多信息。若注册环节已披露的前述信息发生变化、需要变更的，应在发行时披露变更后的信息，并向中国人民银行报告。</w:t>
      </w:r>
    </w:p>
    <w:p w14:paraId="3AF94136">
      <w:pPr>
        <w:tabs>
          <w:tab w:val="left" w:pos="0"/>
        </w:tabs>
        <w:spacing w:before="100" w:beforeAutospacing="1" w:after="100" w:afterAutospacing="1"/>
        <w:jc w:val="center"/>
        <w:rPr>
          <w:rFonts w:ascii="仿宋" w:hAnsi="仿宋" w:eastAsia="仿宋" w:cs="仿宋"/>
          <w:sz w:val="30"/>
          <w:szCs w:val="30"/>
        </w:rPr>
      </w:pPr>
      <w:r>
        <w:rPr>
          <w:rFonts w:hint="eastAsia" w:ascii="仿宋" w:hAnsi="仿宋" w:eastAsia="仿宋" w:cs="仿宋"/>
          <w:b/>
          <w:sz w:val="30"/>
          <w:szCs w:val="30"/>
        </w:rPr>
        <w:t>第三章  发行环节信息披露</w:t>
      </w:r>
    </w:p>
    <w:p w14:paraId="131FAAB8">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b/>
          <w:sz w:val="30"/>
          <w:szCs w:val="30"/>
        </w:rPr>
        <w:t>第十九条【发行文件】</w:t>
      </w:r>
      <w:r>
        <w:rPr>
          <w:rFonts w:hint="eastAsia" w:ascii="仿宋" w:hAnsi="仿宋" w:eastAsia="仿宋" w:cs="仿宋"/>
          <w:sz w:val="30"/>
          <w:szCs w:val="30"/>
        </w:rPr>
        <w:t>受托机构和发起机构应至少于发行日前五个工作日，披露信托公告、发行说明书、评级报告、发行办法、发行公告和承销团成员名单等文件。</w:t>
      </w:r>
    </w:p>
    <w:p w14:paraId="5285FB40">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发行说明书包括但不限于以下内容：</w:t>
      </w:r>
    </w:p>
    <w:p w14:paraId="3D001B21">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（一）本次发行不良贷款资产支持证券名称、受托机构、发起机构以及其他中介机构信息、分档情况等发行基本信息；</w:t>
      </w:r>
    </w:p>
    <w:p w14:paraId="2C05DDA6">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（二）风险提示及风险披露；</w:t>
      </w:r>
    </w:p>
    <w:p w14:paraId="26BD33C0">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（三）交易结构信息；</w:t>
      </w:r>
    </w:p>
    <w:p w14:paraId="39334337">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（四）基础资产价值评估相关的尽职调查程序及方法、资产估值程序及回收预测依据；</w:t>
      </w:r>
    </w:p>
    <w:p w14:paraId="0D61124E">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（五）基础资产总体信息；</w:t>
      </w:r>
    </w:p>
    <w:p w14:paraId="049D8B87">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（六）基础资产分布信息及预计回收情况；</w:t>
      </w:r>
    </w:p>
    <w:p w14:paraId="6AC439D5">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（七）不良贷款资产支持证券基础信息；</w:t>
      </w:r>
    </w:p>
    <w:p w14:paraId="61D320BE">
      <w:pPr>
        <w:tabs>
          <w:tab w:val="left" w:pos="0"/>
        </w:tabs>
        <w:snapToGrid w:val="0"/>
        <w:spacing w:line="560" w:lineRule="exact"/>
        <w:ind w:firstLine="602"/>
        <w:jc w:val="both"/>
        <w:rPr>
          <w:rFonts w:ascii="仿宋" w:hAnsi="仿宋" w:eastAsia="仿宋" w:cs="仿宋"/>
          <w:sz w:val="30"/>
          <w:szCs w:val="30"/>
        </w:rPr>
      </w:pPr>
      <w:r>
        <w:rPr>
          <w:rFonts w:hint="eastAsia" w:ascii="仿宋" w:hAnsi="仿宋" w:eastAsia="仿宋" w:cs="仿宋"/>
          <w:sz w:val="30"/>
          <w:szCs w:val="30"/>
        </w:rPr>
        <w:t>（八）中介机构的专业意见；</w:t>
      </w:r>
    </w:p>
    <w:p w14:paraId="54C3EBA2">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sz w:val="30"/>
          <w:szCs w:val="30"/>
        </w:rPr>
        <w:t>（九）跟踪评级及后续信息披露安排。</w:t>
      </w:r>
    </w:p>
    <w:p w14:paraId="380C19FE">
      <w:pPr>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第二十条【风险提示】</w:t>
      </w:r>
      <w:r>
        <w:rPr>
          <w:rFonts w:hint="eastAsia" w:ascii="仿宋" w:hAnsi="仿宋" w:eastAsia="仿宋" w:cs="仿宋"/>
          <w:sz w:val="30"/>
          <w:szCs w:val="30"/>
        </w:rPr>
        <w:t>受托机构应在发行说明书显著位置提示投资者：投资者购买本期不良贷款资产支持证券，应当认真阅读本文件及有关的信息披露文件，进行独立的投资判断。主管部门对本期证券发行的备案或核准，并不表明对本期证券的投资价值作出了任何评价，也不表明对本期证券的投资风险作出了任何判断。</w:t>
      </w:r>
    </w:p>
    <w:p w14:paraId="6E8F4808">
      <w:pPr>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受托机构需在发行说明书显著位置提示投资者：本期不良贷款资产支持证券仅代表特定目的信托受益权的相应份额，不是发起机构、特定目的信托受托机构或任何其他机构的负债，投资机构的追索权仅限于信托财产。</w:t>
      </w:r>
    </w:p>
    <w:p w14:paraId="4DAA1731">
      <w:pPr>
        <w:spacing w:line="560" w:lineRule="exact"/>
        <w:ind w:firstLine="602" w:firstLineChars="200"/>
        <w:jc w:val="both"/>
        <w:rPr>
          <w:rFonts w:ascii="仿宋" w:hAnsi="仿宋" w:eastAsia="仿宋" w:cs="仿宋"/>
          <w:b/>
          <w:sz w:val="30"/>
          <w:szCs w:val="30"/>
        </w:rPr>
      </w:pPr>
      <w:r>
        <w:rPr>
          <w:rFonts w:hint="eastAsia" w:ascii="仿宋" w:hAnsi="仿宋" w:eastAsia="仿宋" w:cs="仿宋"/>
          <w:b/>
          <w:sz w:val="30"/>
          <w:szCs w:val="30"/>
        </w:rPr>
        <w:t>第二十一条【风险披露】</w:t>
      </w:r>
      <w:r>
        <w:rPr>
          <w:rFonts w:hint="eastAsia" w:ascii="仿宋" w:hAnsi="仿宋" w:eastAsia="仿宋" w:cs="仿宋"/>
          <w:sz w:val="30"/>
          <w:szCs w:val="30"/>
        </w:rPr>
        <w:t>受托机构应在发行说明书中充分披露不良贷款资产支持证券可能存在的投资风险，包括但不限于现金流实际回收不足的风险、现金流回收时间波动的风险、利率风险、法律风险、政策风险、操作风险等。</w:t>
      </w:r>
    </w:p>
    <w:p w14:paraId="62714500">
      <w:pPr>
        <w:spacing w:line="560" w:lineRule="exact"/>
        <w:ind w:firstLine="602" w:firstLineChars="200"/>
        <w:jc w:val="both"/>
        <w:rPr>
          <w:rFonts w:ascii="仿宋" w:hAnsi="仿宋" w:eastAsia="仿宋" w:cs="仿宋"/>
          <w:color w:val="000000"/>
          <w:sz w:val="30"/>
          <w:szCs w:val="30"/>
        </w:rPr>
      </w:pPr>
      <w:r>
        <w:rPr>
          <w:rFonts w:hint="eastAsia" w:ascii="仿宋" w:hAnsi="仿宋" w:eastAsia="仿宋" w:cs="仿宋"/>
          <w:b/>
          <w:sz w:val="30"/>
          <w:szCs w:val="30"/>
        </w:rPr>
        <w:t>第二十二条【交易结构】</w:t>
      </w:r>
      <w:r>
        <w:rPr>
          <w:rFonts w:hint="eastAsia" w:ascii="仿宋" w:hAnsi="仿宋" w:eastAsia="仿宋" w:cs="仿宋"/>
          <w:sz w:val="30"/>
          <w:szCs w:val="30"/>
        </w:rPr>
        <w:t>受托机构应在发行说明书中披露本期发行不良贷款资产支持证券的交易结构信息，包括但不限于本期发行交易结构示意图、中介机构简介、参与机构权利与义务、信托账户设置、各交易条款设置、各触发条件设置及解决机制、本期发行的现金流分配机制、信用增进措施等。</w:t>
      </w:r>
    </w:p>
    <w:p w14:paraId="2D5EFAEB">
      <w:pPr>
        <w:spacing w:line="560" w:lineRule="exact"/>
        <w:ind w:firstLine="602" w:firstLineChars="200"/>
        <w:jc w:val="both"/>
        <w:rPr>
          <w:rFonts w:ascii="仿宋" w:hAnsi="仿宋" w:eastAsia="仿宋" w:cs="仿宋"/>
          <w:b/>
          <w:sz w:val="30"/>
          <w:szCs w:val="30"/>
        </w:rPr>
      </w:pPr>
      <w:r>
        <w:rPr>
          <w:rFonts w:hint="eastAsia" w:ascii="仿宋" w:hAnsi="仿宋" w:eastAsia="仿宋" w:cs="仿宋"/>
          <w:b/>
          <w:sz w:val="30"/>
          <w:szCs w:val="30"/>
        </w:rPr>
        <w:t>第二十三条【基础资产价值评估相关的尽职调查</w:t>
      </w:r>
      <w:r>
        <w:rPr>
          <w:rFonts w:hint="eastAsia" w:ascii="仿宋" w:hAnsi="仿宋" w:eastAsia="仿宋" w:cs="仿宋"/>
          <w:b/>
          <w:color w:val="000000"/>
          <w:sz w:val="30"/>
          <w:szCs w:val="30"/>
        </w:rPr>
        <w:t>程序和方法</w:t>
      </w:r>
      <w:r>
        <w:rPr>
          <w:rFonts w:hint="eastAsia" w:ascii="仿宋" w:hAnsi="仿宋" w:eastAsia="仿宋" w:cs="仿宋"/>
          <w:b/>
          <w:sz w:val="30"/>
          <w:szCs w:val="30"/>
        </w:rPr>
        <w:t>、资产估值程序及回收预测依据】</w:t>
      </w:r>
      <w:r>
        <w:rPr>
          <w:rFonts w:hint="eastAsia" w:ascii="仿宋" w:hAnsi="仿宋" w:eastAsia="仿宋" w:cs="仿宋"/>
          <w:sz w:val="30"/>
          <w:szCs w:val="30"/>
        </w:rPr>
        <w:t>受托机构应在发行说明书中披露本期发行不良贷款资产支持证券基础资产价值评估相关的尽职调查程序和方法、资产估值程序及回收预测依据等。</w:t>
      </w:r>
    </w:p>
    <w:p w14:paraId="2E0DBF60">
      <w:pPr>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第二十四条【基础资产总体信息】</w:t>
      </w:r>
      <w:r>
        <w:rPr>
          <w:rFonts w:hint="eastAsia" w:ascii="仿宋" w:hAnsi="仿宋" w:eastAsia="仿宋" w:cs="仿宋"/>
          <w:sz w:val="30"/>
          <w:szCs w:val="30"/>
        </w:rPr>
        <w:t>受托机构应在发行说明书中披露本期发行不良贷款资产支持证券的基础资产总体信息，包括但不限于入池资产笔数、金额与期限特征、入池资产抵（质）押特征、入池资产借款人特征、借款人基础信息等。</w:t>
      </w:r>
    </w:p>
    <w:p w14:paraId="29CA1D71">
      <w:pPr>
        <w:spacing w:line="560" w:lineRule="exact"/>
        <w:ind w:firstLine="602" w:firstLineChars="200"/>
        <w:jc w:val="both"/>
        <w:rPr>
          <w:rFonts w:ascii="仿宋" w:hAnsi="仿宋" w:eastAsia="仿宋" w:cs="仿宋"/>
          <w:b/>
          <w:bCs/>
          <w:color w:val="000000"/>
          <w:sz w:val="30"/>
          <w:szCs w:val="30"/>
        </w:rPr>
      </w:pPr>
      <w:r>
        <w:rPr>
          <w:rFonts w:hint="eastAsia" w:ascii="仿宋" w:hAnsi="仿宋" w:eastAsia="仿宋" w:cs="仿宋"/>
          <w:b/>
          <w:sz w:val="30"/>
          <w:szCs w:val="30"/>
        </w:rPr>
        <w:t>第二十五条【基础资产分布信息及预计回收情况】</w:t>
      </w:r>
      <w:r>
        <w:rPr>
          <w:rFonts w:hint="eastAsia" w:ascii="仿宋" w:hAnsi="仿宋" w:eastAsia="仿宋" w:cs="仿宋"/>
          <w:sz w:val="30"/>
          <w:szCs w:val="30"/>
        </w:rPr>
        <w:t>受托机构应在发行说明书中披露本期发行不良贷款资产支持证券的基础资产分布信息及预计回收情况，包括但不限于贷款分布、借款人分布、抵（质）押物分布、预测回收率分布表、现金流回收预测表等。</w:t>
      </w:r>
    </w:p>
    <w:p w14:paraId="2CC5F468">
      <w:pPr>
        <w:spacing w:line="560" w:lineRule="exact"/>
        <w:ind w:firstLine="602" w:firstLineChars="200"/>
        <w:jc w:val="both"/>
        <w:rPr>
          <w:rFonts w:ascii="仿宋" w:hAnsi="仿宋" w:eastAsia="仿宋" w:cs="仿宋"/>
          <w:color w:val="000000"/>
          <w:sz w:val="30"/>
          <w:szCs w:val="30"/>
        </w:rPr>
      </w:pPr>
      <w:r>
        <w:rPr>
          <w:rFonts w:hint="eastAsia" w:ascii="仿宋" w:hAnsi="仿宋" w:eastAsia="仿宋" w:cs="仿宋"/>
          <w:b/>
          <w:bCs/>
          <w:color w:val="000000"/>
          <w:sz w:val="30"/>
          <w:szCs w:val="30"/>
        </w:rPr>
        <w:t>第二十六条</w:t>
      </w:r>
      <w:r>
        <w:rPr>
          <w:rFonts w:hint="eastAsia" w:ascii="仿宋" w:hAnsi="仿宋" w:eastAsia="仿宋" w:cs="仿宋"/>
          <w:b/>
          <w:color w:val="000000"/>
          <w:sz w:val="30"/>
          <w:szCs w:val="30"/>
        </w:rPr>
        <w:t>【</w:t>
      </w:r>
      <w:r>
        <w:rPr>
          <w:rFonts w:hint="eastAsia" w:ascii="仿宋" w:hAnsi="仿宋" w:eastAsia="仿宋" w:cs="仿宋"/>
          <w:b/>
          <w:bCs/>
          <w:color w:val="000000"/>
          <w:sz w:val="30"/>
          <w:szCs w:val="30"/>
        </w:rPr>
        <w:t>发行结果信息披露</w:t>
      </w:r>
      <w:r>
        <w:rPr>
          <w:rFonts w:hint="eastAsia" w:ascii="仿宋" w:hAnsi="仿宋" w:eastAsia="仿宋" w:cs="仿宋"/>
          <w:b/>
          <w:color w:val="000000"/>
          <w:sz w:val="30"/>
          <w:szCs w:val="30"/>
        </w:rPr>
        <w:t>】</w:t>
      </w:r>
      <w:r>
        <w:rPr>
          <w:rFonts w:hint="eastAsia" w:ascii="仿宋" w:hAnsi="仿宋" w:eastAsia="仿宋" w:cs="仿宋"/>
          <w:color w:val="000000"/>
          <w:sz w:val="30"/>
          <w:szCs w:val="30"/>
        </w:rPr>
        <w:t>受托机构应在每期不良贷款资产支持证券发行结束的当日或次一工作日公布资产支持证券发行情况。</w:t>
      </w:r>
    </w:p>
    <w:p w14:paraId="3398870D">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sz w:val="30"/>
          <w:szCs w:val="30"/>
        </w:rPr>
        <w:t>第二十七条</w:t>
      </w:r>
      <w:r>
        <w:rPr>
          <w:rFonts w:hint="eastAsia" w:ascii="仿宋" w:hAnsi="仿宋" w:eastAsia="仿宋" w:cs="仿宋"/>
          <w:b/>
          <w:bCs/>
          <w:sz w:val="30"/>
          <w:szCs w:val="30"/>
        </w:rPr>
        <w:t>【发行环节信息披露查阅途径】</w:t>
      </w:r>
      <w:r>
        <w:rPr>
          <w:rFonts w:hint="eastAsia" w:ascii="仿宋" w:hAnsi="仿宋" w:eastAsia="仿宋" w:cs="仿宋"/>
          <w:sz w:val="30"/>
          <w:szCs w:val="30"/>
        </w:rPr>
        <w:t>受托机构需在发行说明书显著位置载明投资者在不良贷款资产支持证券发行期间和存续期内查阅基础资产池具体信息的途径和方法。对标准化程度较高的信息，鼓励受托机构通过交易商协会指定的信息披露服务平台向投资者提供。</w:t>
      </w:r>
    </w:p>
    <w:p w14:paraId="72069AA4">
      <w:pPr>
        <w:tabs>
          <w:tab w:val="left" w:pos="0"/>
        </w:tabs>
        <w:spacing w:before="100" w:beforeAutospacing="1" w:after="100" w:afterAutospacing="1" w:line="560" w:lineRule="exact"/>
        <w:jc w:val="center"/>
        <w:rPr>
          <w:rFonts w:ascii="仿宋" w:hAnsi="仿宋" w:eastAsia="仿宋" w:cs="仿宋"/>
          <w:b/>
          <w:sz w:val="30"/>
          <w:szCs w:val="30"/>
        </w:rPr>
      </w:pPr>
      <w:r>
        <w:rPr>
          <w:rFonts w:hint="eastAsia" w:ascii="仿宋" w:hAnsi="仿宋" w:eastAsia="仿宋" w:cs="仿宋"/>
          <w:b/>
          <w:sz w:val="30"/>
          <w:szCs w:val="30"/>
        </w:rPr>
        <w:t>第四章  存续期信息披露</w:t>
      </w:r>
    </w:p>
    <w:p w14:paraId="6EB3AE26">
      <w:pPr>
        <w:tabs>
          <w:tab w:val="left" w:pos="0"/>
        </w:tabs>
        <w:snapToGrid w:val="0"/>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第二十八条【定期披露】</w:t>
      </w:r>
      <w:r>
        <w:rPr>
          <w:rFonts w:hint="eastAsia" w:ascii="仿宋" w:hAnsi="仿宋" w:eastAsia="仿宋" w:cs="仿宋"/>
          <w:sz w:val="30"/>
          <w:szCs w:val="30"/>
        </w:rPr>
        <w:t>在不良贷款资产支持证券存续期内，受托机构应依据贷款服务机构和资金保管机构提供的贷款服务报告和资金保管报告，按照本指引及相关表格体系的要求，需在每期资产支持证券本息兑付日的三个工作日前披露受托机构报告，同时需保证至少每季度披露一次受托机构报告。每年4月30日、8月31日前分别披露上年度受托机构报告（经具有相关业务资格的会计师事务所审计）和半年度受托机构报告。本息兑付频率为每年两次或两次以上的，可不编制半年度受托机构报告。</w:t>
      </w:r>
    </w:p>
    <w:p w14:paraId="3F0E5369">
      <w:pPr>
        <w:tabs>
          <w:tab w:val="left" w:pos="0"/>
        </w:tabs>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对于信托设立不足两个月的，受托机构可以不编制年度和半年度受托机构报告。</w:t>
      </w:r>
    </w:p>
    <w:p w14:paraId="61AADC3C">
      <w:pPr>
        <w:tabs>
          <w:tab w:val="left" w:pos="0"/>
        </w:tabs>
        <w:snapToGrid w:val="0"/>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第二十九条【受托机构报告】</w:t>
      </w:r>
      <w:r>
        <w:rPr>
          <w:rFonts w:hint="eastAsia" w:ascii="仿宋" w:hAnsi="仿宋" w:eastAsia="仿宋" w:cs="仿宋"/>
          <w:sz w:val="30"/>
          <w:szCs w:val="30"/>
        </w:rPr>
        <w:t>受托机构报告应当包括但不限于以下内容：</w:t>
      </w:r>
    </w:p>
    <w:p w14:paraId="507E154A">
      <w:pPr>
        <w:tabs>
          <w:tab w:val="left" w:pos="0"/>
        </w:tabs>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（一）受托机构报告基本信息；</w:t>
      </w:r>
    </w:p>
    <w:p w14:paraId="5B7EC5BA">
      <w:pPr>
        <w:tabs>
          <w:tab w:val="left" w:pos="0"/>
        </w:tabs>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（二）总信托账户及各信托子账户本期核算情况；</w:t>
      </w:r>
    </w:p>
    <w:p w14:paraId="6133714F">
      <w:pPr>
        <w:tabs>
          <w:tab w:val="left" w:pos="0"/>
        </w:tabs>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（三）证券日期及各档证券本息兑付情况；</w:t>
      </w:r>
    </w:p>
    <w:p w14:paraId="763DB6C7">
      <w:pPr>
        <w:tabs>
          <w:tab w:val="left" w:pos="0"/>
        </w:tabs>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（四）资产池表现情况，包括资产池整体表现情况、资产池现金流入情况、资产池现金流出情况及预计资产池未来表现情况等</w:t>
      </w:r>
      <w:r>
        <w:rPr>
          <w:rFonts w:hint="eastAsia" w:ascii="仿宋" w:hAnsi="仿宋" w:eastAsia="仿宋" w:cs="仿宋"/>
          <w:sz w:val="30"/>
          <w:szCs w:val="30"/>
          <w:highlight w:val="none"/>
        </w:rPr>
        <w:t>，应定期基于基础资产最新情况更新预测资产回收现金流</w:t>
      </w:r>
      <w:r>
        <w:rPr>
          <w:rStyle w:val="17"/>
          <w:rFonts w:hint="eastAsia" w:ascii="仿宋" w:hAnsi="仿宋" w:eastAsia="仿宋" w:cs="仿宋"/>
          <w:sz w:val="30"/>
          <w:szCs w:val="30"/>
          <w:highlight w:val="none"/>
        </w:rPr>
        <w:footnoteReference w:id="0"/>
      </w:r>
      <w:r>
        <w:rPr>
          <w:rFonts w:hint="eastAsia" w:ascii="仿宋" w:hAnsi="仿宋" w:eastAsia="仿宋" w:cs="仿宋"/>
          <w:sz w:val="30"/>
          <w:szCs w:val="30"/>
          <w:highlight w:val="none"/>
        </w:rPr>
        <w:t>；</w:t>
      </w:r>
    </w:p>
    <w:p w14:paraId="3C6F3D6B">
      <w:pPr>
        <w:tabs>
          <w:tab w:val="left" w:pos="0"/>
        </w:tabs>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（五）信用增进方式及各信用增进方式的具体情况。</w:t>
      </w:r>
    </w:p>
    <w:p w14:paraId="5AF3B1BD">
      <w:pPr>
        <w:tabs>
          <w:tab w:val="left" w:pos="2220"/>
        </w:tabs>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sz w:val="30"/>
          <w:szCs w:val="30"/>
        </w:rPr>
        <w:t>（六）年度报告期内重大事项披露情况</w:t>
      </w:r>
    </w:p>
    <w:p w14:paraId="7A0B5A38">
      <w:pPr>
        <w:tabs>
          <w:tab w:val="left" w:pos="0"/>
        </w:tabs>
        <w:snapToGrid w:val="0"/>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第三十条【跟踪评级】</w:t>
      </w:r>
      <w:r>
        <w:rPr>
          <w:rFonts w:hint="eastAsia" w:ascii="仿宋" w:hAnsi="仿宋" w:eastAsia="仿宋" w:cs="仿宋"/>
          <w:sz w:val="30"/>
          <w:szCs w:val="30"/>
        </w:rPr>
        <w:t>受托机构应与信用评级机构就不良贷款资产支持证券跟踪评级的有关安排作出约定，并应于资产支持证券存续期内的每年7月31日前向投资者披露上年度的跟踪评级报告。</w:t>
      </w:r>
    </w:p>
    <w:p w14:paraId="4669FECE">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
          <w:sz w:val="30"/>
          <w:szCs w:val="30"/>
        </w:rPr>
        <w:t>第三十一条【重大事件信息披露】</w:t>
      </w:r>
      <w:r>
        <w:rPr>
          <w:rFonts w:hint="eastAsia" w:ascii="仿宋" w:hAnsi="仿宋" w:eastAsia="仿宋" w:cs="仿宋"/>
          <w:bCs/>
          <w:sz w:val="30"/>
          <w:szCs w:val="30"/>
        </w:rPr>
        <w:t>在发生可能对不良贷款资产支持证券投资价值有实质性影响的临时性重大事件时，受托机构应在事发后三个工作日内披露相关信息。</w:t>
      </w:r>
    </w:p>
    <w:p w14:paraId="38363CC4">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前款所称重大事件包括但不限于以下事项:</w:t>
      </w:r>
    </w:p>
    <w:p w14:paraId="37C43852">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（一）发生或预期将发生受托机构不能按时兑付不良贷款资产支持证券本息等影响投资者利益的事项；</w:t>
      </w:r>
    </w:p>
    <w:p w14:paraId="1FAD4E70">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（二）受托机构和中介机构发生影响不良贷款资产支持证券投资价值的违法、违规或违约事件；</w:t>
      </w:r>
    </w:p>
    <w:p w14:paraId="06865EC4">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（三）不良贷款资产支持证券受托机构及中介机构发生变更；</w:t>
      </w:r>
    </w:p>
    <w:p w14:paraId="6C80B1A3">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（四）不良贷款资产支持证券的信用评级发生不利变化；</w:t>
      </w:r>
    </w:p>
    <w:p w14:paraId="71248103">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（五）受托机构、中介机构及基础资产发生可能影响正常收益分配的法律纠纷；</w:t>
      </w:r>
    </w:p>
    <w:p w14:paraId="7E2089DD">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六）受托机构、发起机构或中介机构的经营情况发生重大变化，或者作出减资、合并、分立、解散、申请破产等决定，可能降低其从事证券化业务水平，对不良贷款资产支持证券投资者利益造成严重不利影响的；</w:t>
      </w:r>
    </w:p>
    <w:p w14:paraId="60B5C94C">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（七）信托合同规定应公告的其他事项；</w:t>
      </w:r>
    </w:p>
    <w:p w14:paraId="082B7AE4">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（八）中国人民银行和国家金融监督管理总局等监管部门规定应公告的其他事项；</w:t>
      </w:r>
    </w:p>
    <w:p w14:paraId="23BBAABD">
      <w:pPr>
        <w:tabs>
          <w:tab w:val="left" w:pos="0"/>
        </w:tabs>
        <w:snapToGrid w:val="0"/>
        <w:spacing w:line="560" w:lineRule="exact"/>
        <w:ind w:firstLine="602"/>
        <w:jc w:val="both"/>
        <w:rPr>
          <w:rFonts w:ascii="仿宋" w:hAnsi="仿宋" w:eastAsia="仿宋" w:cs="仿宋"/>
          <w:bCs/>
          <w:sz w:val="30"/>
          <w:szCs w:val="30"/>
        </w:rPr>
      </w:pPr>
      <w:r>
        <w:rPr>
          <w:rFonts w:hint="eastAsia" w:ascii="仿宋" w:hAnsi="仿宋" w:eastAsia="仿宋" w:cs="仿宋"/>
          <w:bCs/>
          <w:sz w:val="30"/>
          <w:szCs w:val="30"/>
        </w:rPr>
        <w:t>（九）法律、行政法规规定应公告的其他事项。</w:t>
      </w:r>
    </w:p>
    <w:p w14:paraId="15C6F99E">
      <w:pPr>
        <w:spacing w:line="560" w:lineRule="exact"/>
        <w:ind w:firstLine="602" w:firstLineChars="200"/>
        <w:jc w:val="both"/>
        <w:rPr>
          <w:rFonts w:ascii="仿宋" w:hAnsi="仿宋" w:eastAsia="仿宋" w:cs="仿宋"/>
          <w:b/>
          <w:sz w:val="30"/>
          <w:szCs w:val="30"/>
        </w:rPr>
      </w:pPr>
      <w:r>
        <w:rPr>
          <w:rFonts w:hint="eastAsia" w:ascii="仿宋" w:hAnsi="仿宋" w:eastAsia="仿宋" w:cs="仿宋"/>
          <w:b/>
          <w:sz w:val="30"/>
          <w:szCs w:val="30"/>
        </w:rPr>
        <w:t>第三十二条【其他重大事件】</w:t>
      </w:r>
      <w:r>
        <w:rPr>
          <w:rFonts w:hint="eastAsia" w:ascii="仿宋" w:hAnsi="仿宋" w:eastAsia="仿宋" w:cs="仿宋"/>
          <w:sz w:val="30"/>
          <w:szCs w:val="30"/>
        </w:rPr>
        <w:t>本指引前条列举的重大事件是重大事件信息披露的最低要求，可能影响各档次证券本息兑付的其他重大事件，受托机构也应依据本指引在事发后三个工作日内予以及时披露。</w:t>
      </w:r>
    </w:p>
    <w:p w14:paraId="68F5055A">
      <w:pPr>
        <w:spacing w:line="560" w:lineRule="exact"/>
        <w:ind w:firstLine="602" w:firstLineChars="200"/>
        <w:jc w:val="both"/>
        <w:rPr>
          <w:rFonts w:ascii="仿宋" w:hAnsi="仿宋" w:eastAsia="仿宋" w:cs="仿宋"/>
          <w:b/>
          <w:sz w:val="30"/>
          <w:szCs w:val="30"/>
        </w:rPr>
      </w:pPr>
      <w:r>
        <w:rPr>
          <w:rFonts w:hint="eastAsia" w:ascii="仿宋" w:hAnsi="仿宋" w:eastAsia="仿宋" w:cs="仿宋"/>
          <w:b/>
          <w:sz w:val="30"/>
          <w:szCs w:val="30"/>
        </w:rPr>
        <w:t>第三十三条【重大事件进展持续披露机制】</w:t>
      </w:r>
      <w:r>
        <w:rPr>
          <w:rFonts w:hint="eastAsia" w:ascii="仿宋" w:hAnsi="仿宋" w:eastAsia="仿宋" w:cs="仿宋"/>
          <w:sz w:val="30"/>
          <w:szCs w:val="30"/>
        </w:rPr>
        <w:t>受托机构披露重大事件后，已披露的重大事件出现可能对不良贷款资产支持证券的投资价值产生较大影响的进展或者变化的，应当在上述进展或者变化出现之日起三个工作日内披露进展或者变化情况。</w:t>
      </w:r>
    </w:p>
    <w:p w14:paraId="3056AA02">
      <w:pPr>
        <w:spacing w:line="560" w:lineRule="exact"/>
        <w:ind w:firstLine="602" w:firstLineChars="200"/>
        <w:jc w:val="both"/>
        <w:rPr>
          <w:rFonts w:ascii="仿宋" w:hAnsi="仿宋" w:eastAsia="仿宋" w:cs="仿宋"/>
          <w:sz w:val="30"/>
          <w:szCs w:val="30"/>
        </w:rPr>
      </w:pPr>
      <w:r>
        <w:rPr>
          <w:rFonts w:hint="eastAsia" w:ascii="仿宋" w:hAnsi="仿宋" w:eastAsia="仿宋" w:cs="仿宋"/>
          <w:b/>
          <w:sz w:val="30"/>
          <w:szCs w:val="30"/>
        </w:rPr>
        <w:t>第三十四条【持有人大会信息披露】</w:t>
      </w:r>
      <w:r>
        <w:rPr>
          <w:rFonts w:hint="eastAsia" w:ascii="仿宋" w:hAnsi="仿宋" w:eastAsia="仿宋" w:cs="仿宋"/>
          <w:sz w:val="30"/>
          <w:szCs w:val="30"/>
        </w:rPr>
        <w:t>召开资产支持证券持有人大会</w:t>
      </w:r>
      <w:r>
        <w:rPr>
          <w:rFonts w:hint="eastAsia" w:ascii="仿宋" w:hAnsi="仿宋" w:eastAsia="仿宋" w:cs="仿宋"/>
          <w:sz w:val="30"/>
          <w:szCs w:val="30"/>
          <w:lang w:eastAsia="zh-CN"/>
        </w:rPr>
        <w:t>，</w:t>
      </w:r>
      <w:r>
        <w:rPr>
          <w:rFonts w:hint="eastAsia" w:ascii="仿宋" w:hAnsi="仿宋" w:eastAsia="仿宋" w:cs="仿宋"/>
          <w:sz w:val="30"/>
          <w:szCs w:val="30"/>
        </w:rPr>
        <w:t>召集人应至少提前10个工作日公布资产支持证券持有人大会的召开时间、地点、会议形式、审议事项、议事程序和表决方式等事项</w:t>
      </w:r>
      <w:r>
        <w:rPr>
          <w:rFonts w:hint="eastAsia" w:ascii="仿宋" w:hAnsi="仿宋" w:eastAsia="仿宋" w:cs="仿宋"/>
          <w:sz w:val="30"/>
          <w:szCs w:val="30"/>
          <w:lang w:eastAsia="zh-CN"/>
        </w:rPr>
        <w:t>，</w:t>
      </w:r>
      <w:r>
        <w:rPr>
          <w:rFonts w:hint="eastAsia" w:ascii="仿宋" w:hAnsi="仿宋" w:eastAsia="仿宋" w:cs="仿宋"/>
          <w:sz w:val="30"/>
          <w:szCs w:val="30"/>
        </w:rPr>
        <w:t>并于大会结束后10个工作日内披露大会决议。</w:t>
      </w:r>
    </w:p>
    <w:p w14:paraId="243BF7E9">
      <w:pPr>
        <w:spacing w:before="100" w:beforeAutospacing="1" w:after="100" w:afterAutospacing="1"/>
        <w:jc w:val="center"/>
        <w:rPr>
          <w:rFonts w:ascii="仿宋" w:hAnsi="仿宋" w:eastAsia="仿宋" w:cs="仿宋"/>
          <w:b/>
          <w:sz w:val="30"/>
          <w:szCs w:val="30"/>
        </w:rPr>
      </w:pPr>
      <w:r>
        <w:rPr>
          <w:rFonts w:hint="eastAsia" w:ascii="仿宋" w:hAnsi="仿宋" w:eastAsia="仿宋" w:cs="仿宋"/>
          <w:b/>
          <w:sz w:val="30"/>
          <w:szCs w:val="30"/>
        </w:rPr>
        <w:t>第五章 信息披露评价及自律管理</w:t>
      </w:r>
    </w:p>
    <w:p w14:paraId="1DD0E6AC">
      <w:pPr>
        <w:tabs>
          <w:tab w:val="left" w:pos="0"/>
        </w:tabs>
        <w:spacing w:line="560" w:lineRule="exact"/>
        <w:ind w:firstLine="600"/>
        <w:jc w:val="both"/>
        <w:rPr>
          <w:rFonts w:ascii="仿宋" w:hAnsi="仿宋" w:eastAsia="仿宋" w:cs="仿宋"/>
          <w:bCs/>
          <w:sz w:val="32"/>
          <w:szCs w:val="32"/>
        </w:rPr>
      </w:pPr>
      <w:r>
        <w:rPr>
          <w:rFonts w:hint="eastAsia" w:ascii="仿宋" w:hAnsi="仿宋" w:eastAsia="仿宋" w:cs="仿宋"/>
          <w:b/>
          <w:sz w:val="30"/>
          <w:szCs w:val="30"/>
        </w:rPr>
        <w:t>第三十五条【信息披露管理】</w:t>
      </w:r>
      <w:r>
        <w:rPr>
          <w:rFonts w:hint="eastAsia" w:ascii="仿宋" w:hAnsi="仿宋" w:eastAsia="仿宋" w:cs="仿宋"/>
          <w:bCs/>
          <w:sz w:val="30"/>
          <w:szCs w:val="30"/>
        </w:rPr>
        <w:t>交易商协会建立收集市场机构关于资产支持证券信息披露情况的反馈机制，并定期不定期对信息披露情况开展排查、检查。</w:t>
      </w:r>
    </w:p>
    <w:p w14:paraId="3DF25124">
      <w:pPr>
        <w:tabs>
          <w:tab w:val="left" w:pos="0"/>
        </w:tabs>
        <w:spacing w:line="560" w:lineRule="exact"/>
        <w:ind w:firstLine="600"/>
        <w:jc w:val="both"/>
        <w:rPr>
          <w:rFonts w:ascii="仿宋" w:hAnsi="仿宋" w:eastAsia="仿宋" w:cs="仿宋"/>
          <w:bCs/>
          <w:sz w:val="32"/>
          <w:szCs w:val="32"/>
        </w:rPr>
      </w:pPr>
      <w:r>
        <w:rPr>
          <w:rFonts w:hint="eastAsia" w:ascii="仿宋" w:hAnsi="仿宋" w:eastAsia="仿宋" w:cs="仿宋"/>
          <w:b/>
          <w:sz w:val="30"/>
          <w:szCs w:val="30"/>
        </w:rPr>
        <w:t>第三十六条</w:t>
      </w:r>
      <w:r>
        <w:rPr>
          <w:rFonts w:hint="eastAsia" w:ascii="仿宋" w:hAnsi="仿宋" w:eastAsia="仿宋" w:cs="仿宋"/>
          <w:b/>
          <w:bCs/>
          <w:sz w:val="30"/>
          <w:szCs w:val="30"/>
        </w:rPr>
        <w:t>【相关机构监测报告义务】</w:t>
      </w:r>
      <w:r>
        <w:rPr>
          <w:rFonts w:hint="eastAsia" w:ascii="仿宋" w:hAnsi="仿宋" w:eastAsia="仿宋" w:cs="仿宋"/>
          <w:sz w:val="30"/>
          <w:szCs w:val="30"/>
        </w:rPr>
        <w:t>发起机构、受托机构应做好相关资产支持证券信息披露情况的日常监测，并按交易商协会的要求做好相关排查工作，发现相关信息披露义务人未及时履行披露义务或存在违反法律、法规或自律规则行为的，应及时向交易商协会报告。</w:t>
      </w:r>
    </w:p>
    <w:p w14:paraId="6CE368DC">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bCs/>
          <w:sz w:val="30"/>
          <w:szCs w:val="30"/>
        </w:rPr>
        <w:t>第三十七条</w:t>
      </w:r>
      <w:r>
        <w:rPr>
          <w:rFonts w:hint="eastAsia" w:ascii="仿宋" w:hAnsi="仿宋" w:eastAsia="仿宋" w:cs="仿宋"/>
          <w:b/>
          <w:sz w:val="30"/>
          <w:szCs w:val="30"/>
        </w:rPr>
        <w:t>【信息披露评价机制】</w:t>
      </w:r>
      <w:r>
        <w:rPr>
          <w:rFonts w:hint="eastAsia" w:ascii="仿宋" w:hAnsi="仿宋" w:eastAsia="仿宋" w:cs="仿宋"/>
          <w:sz w:val="30"/>
          <w:szCs w:val="30"/>
        </w:rPr>
        <w:t>交易商协会根据不良贷款资产支持证券信息披露情况及有关市场反馈，遵循客观、公正原则，对发起机构、受托机构等信息披露义务人的信息披露工作进行评价。</w:t>
      </w:r>
    </w:p>
    <w:p w14:paraId="5ABDAE3F">
      <w:pPr>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第三十八条【评价结果运用】</w:t>
      </w:r>
      <w:r>
        <w:rPr>
          <w:rFonts w:hint="eastAsia" w:ascii="仿宋" w:hAnsi="仿宋" w:eastAsia="仿宋" w:cs="仿宋"/>
          <w:bCs/>
          <w:sz w:val="30"/>
          <w:szCs w:val="30"/>
        </w:rPr>
        <w:t>交易商协会及时向中国人民银行报告信贷资产支持证券信息披露工作</w:t>
      </w:r>
      <w:r>
        <w:rPr>
          <w:rFonts w:hint="eastAsia" w:ascii="仿宋" w:hAnsi="仿宋" w:eastAsia="仿宋" w:cs="仿宋"/>
          <w:sz w:val="30"/>
          <w:szCs w:val="30"/>
        </w:rPr>
        <w:t>评价结果，并根据中国人民银行的要求向市场发布。</w:t>
      </w:r>
    </w:p>
    <w:p w14:paraId="0159EF8C">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bCs/>
          <w:sz w:val="30"/>
          <w:szCs w:val="30"/>
        </w:rPr>
        <w:t>第三十九条【自律管理】</w:t>
      </w:r>
      <w:r>
        <w:rPr>
          <w:rFonts w:hint="eastAsia" w:ascii="仿宋" w:hAnsi="仿宋" w:eastAsia="仿宋" w:cs="仿宋"/>
          <w:sz w:val="30"/>
          <w:szCs w:val="30"/>
        </w:rPr>
        <w:t>对于未按本指引履行相应职责的受托机构、发起机构及中介机构，交易商协会视情节轻重可给予相应的自律管理措施或自律处分，并报告中国人民银行。涉嫌违反相关法律法规的，交易商协会可以移交有关部门进一步处理。</w:t>
      </w:r>
    </w:p>
    <w:p w14:paraId="1A530394">
      <w:pPr>
        <w:spacing w:before="100" w:beforeAutospacing="1" w:after="100" w:afterAutospacing="1"/>
        <w:jc w:val="center"/>
        <w:rPr>
          <w:rFonts w:ascii="仿宋" w:hAnsi="仿宋" w:eastAsia="仿宋" w:cs="仿宋"/>
          <w:b/>
          <w:sz w:val="30"/>
          <w:szCs w:val="30"/>
        </w:rPr>
      </w:pPr>
      <w:r>
        <w:rPr>
          <w:rFonts w:hint="eastAsia" w:ascii="仿宋" w:hAnsi="仿宋" w:eastAsia="仿宋" w:cs="仿宋"/>
          <w:b/>
          <w:sz w:val="30"/>
          <w:szCs w:val="30"/>
        </w:rPr>
        <w:t>第六章  附则</w:t>
      </w:r>
    </w:p>
    <w:p w14:paraId="1C7CCF7C">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sz w:val="30"/>
          <w:szCs w:val="30"/>
        </w:rPr>
        <w:t>第四十条【解释权】</w:t>
      </w:r>
      <w:r>
        <w:rPr>
          <w:rFonts w:hint="eastAsia" w:ascii="仿宋" w:hAnsi="仿宋" w:eastAsia="仿宋" w:cs="仿宋"/>
          <w:sz w:val="30"/>
          <w:szCs w:val="30"/>
        </w:rPr>
        <w:t>本指引由交易商协会秘书处负责解释。</w:t>
      </w:r>
    </w:p>
    <w:p w14:paraId="081898DF">
      <w:pPr>
        <w:tabs>
          <w:tab w:val="left" w:pos="0"/>
        </w:tabs>
        <w:spacing w:line="560" w:lineRule="exact"/>
        <w:ind w:firstLine="600"/>
        <w:jc w:val="both"/>
        <w:rPr>
          <w:rFonts w:ascii="仿宋" w:hAnsi="仿宋" w:eastAsia="仿宋" w:cs="仿宋"/>
          <w:sz w:val="30"/>
          <w:szCs w:val="30"/>
        </w:rPr>
      </w:pPr>
      <w:r>
        <w:rPr>
          <w:rFonts w:hint="eastAsia" w:ascii="仿宋" w:hAnsi="仿宋" w:eastAsia="仿宋" w:cs="仿宋"/>
          <w:b/>
          <w:sz w:val="30"/>
          <w:szCs w:val="30"/>
        </w:rPr>
        <w:t>第四十一条【生效时间】</w:t>
      </w:r>
      <w:r>
        <w:rPr>
          <w:rFonts w:hint="eastAsia" w:ascii="仿宋" w:hAnsi="仿宋" w:eastAsia="仿宋" w:cs="仿宋"/>
          <w:sz w:val="30"/>
          <w:szCs w:val="30"/>
        </w:rPr>
        <w:t>本指引自发布之日起施行。</w:t>
      </w:r>
    </w:p>
    <w:p w14:paraId="0BF1009F">
      <w:pPr>
        <w:snapToGrid w:val="0"/>
        <w:spacing w:line="560" w:lineRule="exact"/>
        <w:jc w:val="both"/>
        <w:rPr>
          <w:rFonts w:ascii="仿宋" w:hAnsi="仿宋" w:eastAsia="仿宋" w:cs="仿宋"/>
          <w:sz w:val="30"/>
          <w:szCs w:val="30"/>
        </w:rPr>
      </w:pPr>
    </w:p>
    <w:p w14:paraId="3545A8AD">
      <w:pPr>
        <w:snapToGrid w:val="0"/>
        <w:spacing w:line="560" w:lineRule="exact"/>
        <w:ind w:firstLine="300" w:firstLineChars="100"/>
        <w:jc w:val="both"/>
        <w:rPr>
          <w:rFonts w:hint="eastAsia" w:ascii="仿宋" w:hAnsi="仿宋" w:eastAsia="仿宋" w:cs="仿宋"/>
          <w:sz w:val="30"/>
          <w:szCs w:val="30"/>
        </w:rPr>
      </w:pPr>
      <w:r>
        <w:rPr>
          <w:rFonts w:hint="eastAsia" w:ascii="仿宋" w:hAnsi="仿宋" w:eastAsia="仿宋" w:cs="仿宋"/>
          <w:sz w:val="30"/>
          <w:szCs w:val="30"/>
        </w:rPr>
        <w:t>附件：不良贷款资产支持证券信息披露表格体系</w:t>
      </w:r>
    </w:p>
    <w:p w14:paraId="2120A8C0">
      <w:pPr>
        <w:snapToGrid w:val="0"/>
        <w:spacing w:line="560" w:lineRule="exact"/>
        <w:ind w:firstLine="300" w:firstLineChars="100"/>
        <w:jc w:val="both"/>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 xml:space="preserve">      </w:t>
      </w:r>
    </w:p>
    <w:p w14:paraId="0F51AEB0">
      <w:pPr>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 xml:space="preserve">    </w:t>
      </w:r>
    </w:p>
    <w:p w14:paraId="1687B805">
      <w:pPr>
        <w:rPr>
          <w:rFonts w:ascii="仿宋" w:hAnsi="仿宋" w:eastAsia="仿宋" w:cs="仿宋"/>
          <w:color w:val="000000"/>
        </w:rPr>
      </w:pPr>
      <w:r>
        <w:rPr>
          <w:rFonts w:hint="eastAsia" w:ascii="仿宋" w:hAnsi="仿宋" w:eastAsia="仿宋" w:cs="仿宋"/>
          <w:color w:val="000000"/>
        </w:rPr>
        <w:br w:type="page"/>
      </w:r>
    </w:p>
    <w:p w14:paraId="341DBB66">
      <w:pPr>
        <w:snapToGrid w:val="0"/>
        <w:spacing w:line="560" w:lineRule="exact"/>
        <w:jc w:val="both"/>
        <w:rPr>
          <w:rFonts w:ascii="仿宋" w:hAnsi="仿宋" w:eastAsia="仿宋" w:cs="仿宋"/>
          <w:sz w:val="30"/>
          <w:szCs w:val="30"/>
        </w:rPr>
      </w:pPr>
      <w:r>
        <w:rPr>
          <w:rFonts w:hint="eastAsia" w:ascii="仿宋" w:hAnsi="仿宋" w:eastAsia="仿宋" w:cs="仿宋"/>
          <w:sz w:val="30"/>
          <w:szCs w:val="30"/>
        </w:rPr>
        <w:t>附件</w:t>
      </w:r>
      <w:r>
        <w:rPr>
          <w:rFonts w:hint="eastAsia" w:ascii="仿宋" w:hAnsi="仿宋" w:eastAsia="仿宋" w:cs="仿宋"/>
          <w:sz w:val="30"/>
          <w:szCs w:val="30"/>
          <w:lang w:eastAsia="zh-CN"/>
        </w:rPr>
        <w:t>：</w:t>
      </w:r>
    </w:p>
    <w:p w14:paraId="053D8E13">
      <w:pPr>
        <w:snapToGrid w:val="0"/>
        <w:spacing w:line="560" w:lineRule="exact"/>
        <w:jc w:val="both"/>
        <w:rPr>
          <w:rFonts w:ascii="仿宋" w:hAnsi="仿宋" w:eastAsia="仿宋" w:cs="仿宋"/>
          <w:sz w:val="30"/>
          <w:szCs w:val="30"/>
        </w:rPr>
      </w:pPr>
    </w:p>
    <w:p w14:paraId="14C4A052">
      <w:pPr>
        <w:snapToGrid w:val="0"/>
        <w:spacing w:line="408" w:lineRule="auto"/>
        <w:contextualSpacing/>
        <w:jc w:val="center"/>
        <w:rPr>
          <w:rFonts w:ascii="仿宋" w:hAnsi="仿宋" w:eastAsia="仿宋" w:cs="仿宋"/>
          <w:sz w:val="30"/>
          <w:szCs w:val="30"/>
        </w:rPr>
      </w:pPr>
      <w:r>
        <w:rPr>
          <w:rFonts w:hint="eastAsia" w:ascii="仿宋" w:hAnsi="仿宋" w:eastAsia="仿宋" w:cs="仿宋"/>
          <w:b/>
          <w:sz w:val="36"/>
          <w:szCs w:val="36"/>
        </w:rPr>
        <w:t>不良贷款资产支持证券信息披露表格体系</w:t>
      </w:r>
    </w:p>
    <w:p w14:paraId="146D82BA">
      <w:pPr>
        <w:snapToGrid w:val="0"/>
        <w:spacing w:line="560" w:lineRule="exact"/>
        <w:ind w:firstLine="600" w:firstLineChars="200"/>
        <w:jc w:val="both"/>
        <w:rPr>
          <w:rFonts w:ascii="仿宋" w:hAnsi="仿宋" w:eastAsia="仿宋" w:cs="仿宋"/>
          <w:sz w:val="30"/>
          <w:szCs w:val="30"/>
        </w:rPr>
      </w:pPr>
    </w:p>
    <w:p w14:paraId="51DE028D">
      <w:pPr>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为规范不良贷款资产支持证券信息披露行为，维护投资者合法权益，促进信贷资产证券化市场规范健康发展，根据《中国人民银行关于信贷资产支持证券发行管理有关事宜的公告》（中国人民银行公告〔2015〕第7号）、《不良贷款资产支持证券信息披露指引（202</w:t>
      </w:r>
      <w:r>
        <w:rPr>
          <w:rFonts w:hint="eastAsia" w:ascii="仿宋" w:hAnsi="仿宋" w:eastAsia="仿宋" w:cs="仿宋"/>
          <w:sz w:val="30"/>
          <w:szCs w:val="30"/>
          <w:lang w:val="en-US" w:eastAsia="zh-CN"/>
        </w:rPr>
        <w:t>6</w:t>
      </w:r>
      <w:bookmarkStart w:id="14" w:name="_GoBack"/>
      <w:bookmarkEnd w:id="14"/>
      <w:r>
        <w:rPr>
          <w:rFonts w:hint="eastAsia" w:ascii="仿宋" w:hAnsi="仿宋" w:eastAsia="仿宋" w:cs="仿宋"/>
          <w:sz w:val="30"/>
          <w:szCs w:val="30"/>
        </w:rPr>
        <w:t>版）》等有关规定和自律规范制定本《不良贷款资产支持证券信息披露表格体系》（简称《不良贷款表格体系》）。</w:t>
      </w:r>
    </w:p>
    <w:p w14:paraId="202EC1C8">
      <w:pPr>
        <w:snapToGrid w:val="0"/>
        <w:spacing w:line="560" w:lineRule="exact"/>
        <w:ind w:firstLine="602" w:firstLineChars="200"/>
        <w:jc w:val="both"/>
        <w:rPr>
          <w:rFonts w:ascii="仿宋" w:hAnsi="仿宋" w:eastAsia="仿宋" w:cs="仿宋"/>
          <w:b/>
          <w:sz w:val="30"/>
          <w:szCs w:val="30"/>
        </w:rPr>
      </w:pPr>
      <w:r>
        <w:rPr>
          <w:rFonts w:hint="eastAsia" w:ascii="仿宋" w:hAnsi="仿宋" w:eastAsia="仿宋" w:cs="仿宋"/>
          <w:b/>
          <w:sz w:val="30"/>
          <w:szCs w:val="30"/>
        </w:rPr>
        <w:t>一、使用说明</w:t>
      </w:r>
    </w:p>
    <w:p w14:paraId="52C75409">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（一）《</w:t>
      </w:r>
      <w:r>
        <w:rPr>
          <w:rFonts w:hint="eastAsia" w:ascii="仿宋" w:hAnsi="仿宋" w:eastAsia="仿宋" w:cs="仿宋"/>
          <w:sz w:val="30"/>
          <w:szCs w:val="30"/>
        </w:rPr>
        <w:t>不良贷款</w:t>
      </w:r>
      <w:r>
        <w:rPr>
          <w:rFonts w:hint="eastAsia" w:ascii="仿宋" w:hAnsi="仿宋" w:eastAsia="仿宋" w:cs="仿宋"/>
          <w:color w:val="000000"/>
          <w:sz w:val="30"/>
          <w:szCs w:val="30"/>
        </w:rPr>
        <w:t>表格体系》包括注册申请报告、发行说明书、受托机构报告和重大事件报告书四个部分，信息披露表格列示的内容是对注册申请报告、发行说明书、受托机构报告和重大事件报告书的最低信息披露要求。</w:t>
      </w:r>
    </w:p>
    <w:p w14:paraId="665BAE87">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1、注册申请报告列示发起机构注册发行不良贷款资产支持证券应披露的相关材料。</w:t>
      </w:r>
    </w:p>
    <w:p w14:paraId="493A7EF5">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注册申请报告应至少包括以下七个方面的内容：</w:t>
      </w:r>
    </w:p>
    <w:p w14:paraId="12759EB5">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（1）扉页、目录、注册基本信息；</w:t>
      </w:r>
    </w:p>
    <w:p w14:paraId="3D313C74">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（2）风险提示及风险披露；</w:t>
      </w:r>
    </w:p>
    <w:p w14:paraId="5859A98C">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（3）受托机构、发起机构以及其他中介机构信息；</w:t>
      </w:r>
    </w:p>
    <w:p w14:paraId="449C3E72">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（4）</w:t>
      </w:r>
      <w:r>
        <w:rPr>
          <w:rFonts w:hint="eastAsia" w:ascii="仿宋" w:hAnsi="仿宋" w:eastAsia="仿宋" w:cs="仿宋"/>
          <w:sz w:val="30"/>
          <w:szCs w:val="30"/>
        </w:rPr>
        <w:t>发起机构及中介机构相关经验及历史数据（如有）</w:t>
      </w:r>
    </w:p>
    <w:p w14:paraId="7EE6F263">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（5）交易条款信息；</w:t>
      </w:r>
    </w:p>
    <w:p w14:paraId="6B6B95DD">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（6）基础资产筛选标准</w:t>
      </w:r>
      <w:r>
        <w:rPr>
          <w:rFonts w:hint="eastAsia" w:ascii="仿宋" w:hAnsi="仿宋" w:eastAsia="仿宋" w:cs="仿宋"/>
          <w:sz w:val="30"/>
          <w:szCs w:val="30"/>
        </w:rPr>
        <w:t>和资产保证</w:t>
      </w:r>
      <w:r>
        <w:rPr>
          <w:rFonts w:hint="eastAsia" w:ascii="仿宋" w:hAnsi="仿宋" w:eastAsia="仿宋" w:cs="仿宋"/>
          <w:color w:val="000000"/>
          <w:sz w:val="30"/>
          <w:szCs w:val="30"/>
        </w:rPr>
        <w:t>；</w:t>
      </w:r>
    </w:p>
    <w:p w14:paraId="5249721E">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（7）信息披露安排。</w:t>
      </w:r>
    </w:p>
    <w:p w14:paraId="480A0DA2">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2、发行说明书应至少包括以下九个方面的内容：</w:t>
      </w:r>
    </w:p>
    <w:p w14:paraId="0209CC52">
      <w:pPr>
        <w:snapToGrid w:val="0"/>
        <w:spacing w:line="560" w:lineRule="exact"/>
        <w:ind w:left="180" w:firstLine="420"/>
        <w:jc w:val="both"/>
        <w:textAlignment w:val="baseline"/>
        <w:rPr>
          <w:rFonts w:ascii="仿宋" w:hAnsi="仿宋" w:eastAsia="仿宋" w:cs="仿宋"/>
          <w:color w:val="000000"/>
          <w:sz w:val="30"/>
          <w:szCs w:val="30"/>
        </w:rPr>
      </w:pPr>
      <w:r>
        <w:rPr>
          <w:rFonts w:hint="eastAsia" w:ascii="仿宋" w:hAnsi="仿宋" w:eastAsia="仿宋" w:cs="仿宋"/>
          <w:sz w:val="30"/>
          <w:szCs w:val="30"/>
        </w:rPr>
        <w:t>（1）本次发行不良贷款资产支持证券名称、受托机构、发起机构以及其他中介机构信息、分档情况等发行基本信息</w:t>
      </w:r>
      <w:r>
        <w:rPr>
          <w:rFonts w:hint="eastAsia" w:ascii="仿宋" w:hAnsi="仿宋" w:eastAsia="仿宋" w:cs="仿宋"/>
          <w:color w:val="000000"/>
          <w:sz w:val="30"/>
          <w:szCs w:val="30"/>
        </w:rPr>
        <w:t>；</w:t>
      </w:r>
    </w:p>
    <w:p w14:paraId="0581BC09">
      <w:pPr>
        <w:snapToGrid w:val="0"/>
        <w:spacing w:line="560" w:lineRule="exact"/>
        <w:ind w:left="180" w:firstLine="420"/>
        <w:jc w:val="both"/>
        <w:textAlignment w:val="baseline"/>
        <w:rPr>
          <w:rFonts w:ascii="仿宋" w:hAnsi="仿宋" w:eastAsia="仿宋" w:cs="仿宋"/>
          <w:color w:val="000000"/>
          <w:sz w:val="30"/>
          <w:szCs w:val="30"/>
        </w:rPr>
      </w:pPr>
      <w:r>
        <w:rPr>
          <w:rFonts w:hint="eastAsia" w:ascii="仿宋" w:hAnsi="仿宋" w:eastAsia="仿宋" w:cs="仿宋"/>
          <w:sz w:val="30"/>
          <w:szCs w:val="30"/>
        </w:rPr>
        <w:t>（2）</w:t>
      </w:r>
      <w:r>
        <w:rPr>
          <w:rFonts w:hint="eastAsia" w:ascii="仿宋" w:hAnsi="仿宋" w:eastAsia="仿宋" w:cs="仿宋"/>
          <w:color w:val="000000"/>
          <w:sz w:val="30"/>
          <w:szCs w:val="30"/>
        </w:rPr>
        <w:t>风险提示及风险披露；</w:t>
      </w:r>
    </w:p>
    <w:p w14:paraId="78015FBB">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（3）交易结构信息；</w:t>
      </w:r>
    </w:p>
    <w:p w14:paraId="0321DCFD">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（4）基础资产价值评估相关的尽职调查程序及方法、资产估值程序及回收预测依据；</w:t>
      </w:r>
    </w:p>
    <w:p w14:paraId="18BF9652">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（5）</w:t>
      </w:r>
      <w:r>
        <w:rPr>
          <w:rFonts w:hint="eastAsia" w:ascii="仿宋" w:hAnsi="仿宋" w:eastAsia="仿宋" w:cs="仿宋"/>
          <w:sz w:val="30"/>
          <w:szCs w:val="30"/>
        </w:rPr>
        <w:t>基础</w:t>
      </w:r>
      <w:r>
        <w:rPr>
          <w:rFonts w:hint="eastAsia" w:ascii="仿宋" w:hAnsi="仿宋" w:eastAsia="仿宋" w:cs="仿宋"/>
          <w:color w:val="000000"/>
          <w:sz w:val="30"/>
          <w:szCs w:val="30"/>
        </w:rPr>
        <w:t>资产总体信息；</w:t>
      </w:r>
    </w:p>
    <w:p w14:paraId="77F52B02">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（6）</w:t>
      </w:r>
      <w:r>
        <w:rPr>
          <w:rFonts w:hint="eastAsia" w:ascii="仿宋" w:hAnsi="仿宋" w:eastAsia="仿宋" w:cs="仿宋"/>
          <w:sz w:val="30"/>
          <w:szCs w:val="30"/>
        </w:rPr>
        <w:t>基础</w:t>
      </w:r>
      <w:r>
        <w:rPr>
          <w:rFonts w:hint="eastAsia" w:ascii="仿宋" w:hAnsi="仿宋" w:eastAsia="仿宋" w:cs="仿宋"/>
          <w:color w:val="000000"/>
          <w:sz w:val="30"/>
          <w:szCs w:val="30"/>
        </w:rPr>
        <w:t>资产分布信息及预计回收情况；</w:t>
      </w:r>
    </w:p>
    <w:p w14:paraId="6DE5441C">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（7）</w:t>
      </w:r>
      <w:r>
        <w:rPr>
          <w:rFonts w:hint="eastAsia" w:ascii="仿宋" w:hAnsi="仿宋" w:eastAsia="仿宋" w:cs="仿宋"/>
          <w:sz w:val="30"/>
          <w:szCs w:val="30"/>
        </w:rPr>
        <w:t>不良贷款资产支持证券</w:t>
      </w:r>
      <w:r>
        <w:rPr>
          <w:rFonts w:hint="eastAsia" w:ascii="仿宋" w:hAnsi="仿宋" w:eastAsia="仿宋" w:cs="仿宋"/>
          <w:color w:val="000000"/>
          <w:sz w:val="30"/>
          <w:szCs w:val="30"/>
        </w:rPr>
        <w:t>基础信息；</w:t>
      </w:r>
    </w:p>
    <w:p w14:paraId="6B2A2305">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（8）</w:t>
      </w:r>
      <w:r>
        <w:rPr>
          <w:rFonts w:hint="eastAsia" w:ascii="仿宋" w:hAnsi="仿宋" w:eastAsia="仿宋" w:cs="仿宋"/>
          <w:sz w:val="30"/>
          <w:szCs w:val="30"/>
        </w:rPr>
        <w:t>中介机构的专业意见</w:t>
      </w:r>
      <w:r>
        <w:rPr>
          <w:rFonts w:hint="eastAsia" w:ascii="仿宋" w:hAnsi="仿宋" w:eastAsia="仿宋" w:cs="仿宋"/>
          <w:color w:val="000000"/>
          <w:sz w:val="30"/>
          <w:szCs w:val="30"/>
        </w:rPr>
        <w:t>；</w:t>
      </w:r>
    </w:p>
    <w:p w14:paraId="29C41BA5">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（9）跟踪评级及后续信息披露安排。</w:t>
      </w:r>
    </w:p>
    <w:p w14:paraId="700CD8D2">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此外，注册阶段已披露且发行阶段无修改的相关内容，发行说明书中可免于披露，但需说明相关内容参照注册申请报告，具体包括：参与机构信息、发起机构及中介机构相关经验及历史数据、交易结构信息（信托账户设置、各交易条款设置、各触发条件设置、触发后各方责任及解决机制）及基础资产筛选标准和资产保证。</w:t>
      </w:r>
    </w:p>
    <w:p w14:paraId="644BD1FA">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3、受托机构报告列示受托机构在已发行的不良贷款资产支持证券存续期内，根据指引及本表格体系规定应披露的相关材料，并出具受托机构报告。</w:t>
      </w:r>
    </w:p>
    <w:p w14:paraId="4C89448A">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受托机构报告应至少包括以下五方面内容:</w:t>
      </w:r>
    </w:p>
    <w:p w14:paraId="27E8EB58">
      <w:pPr>
        <w:snapToGrid w:val="0"/>
        <w:spacing w:line="560" w:lineRule="exact"/>
        <w:ind w:left="180" w:firstLine="42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（1）扉页、目录、受托机构报告基本信息；</w:t>
      </w:r>
    </w:p>
    <w:p w14:paraId="64C323F0">
      <w:pPr>
        <w:snapToGrid w:val="0"/>
        <w:spacing w:line="560" w:lineRule="exact"/>
        <w:ind w:left="180" w:firstLine="42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（2）总信托账户及各信托子账户本期核算情况；</w:t>
      </w:r>
    </w:p>
    <w:p w14:paraId="443E8720">
      <w:pPr>
        <w:snapToGrid w:val="0"/>
        <w:spacing w:line="560" w:lineRule="exact"/>
        <w:ind w:left="180" w:firstLine="42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（3）证券日期及各档证券本息兑付情况；</w:t>
      </w:r>
    </w:p>
    <w:p w14:paraId="044CAC42">
      <w:pPr>
        <w:snapToGrid w:val="0"/>
        <w:spacing w:line="560" w:lineRule="exact"/>
        <w:ind w:left="180" w:firstLine="42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（4）资产池表现情况，包括资产池整体表现情况、资产池</w:t>
      </w:r>
      <w:r>
        <w:rPr>
          <w:rFonts w:hint="eastAsia" w:ascii="仿宋" w:hAnsi="仿宋" w:eastAsia="仿宋" w:cs="仿宋"/>
          <w:color w:val="000000"/>
          <w:sz w:val="30"/>
          <w:szCs w:val="30"/>
          <w:lang w:val="en-US" w:eastAsia="zh-CN"/>
        </w:rPr>
        <w:t>当前</w:t>
      </w:r>
      <w:r>
        <w:rPr>
          <w:rFonts w:hint="eastAsia" w:ascii="仿宋" w:hAnsi="仿宋" w:eastAsia="仿宋" w:cs="仿宋"/>
          <w:color w:val="000000"/>
          <w:sz w:val="30"/>
          <w:szCs w:val="30"/>
        </w:rPr>
        <w:t>表现情况、资产池现金流入情况、资产池现金流出情况及预计资产池未来表现情况等；</w:t>
      </w:r>
    </w:p>
    <w:p w14:paraId="24418133">
      <w:pPr>
        <w:tabs>
          <w:tab w:val="left" w:pos="2220"/>
        </w:tabs>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（5）信用增进方式及各信用增进方式的具体情况。</w:t>
      </w:r>
    </w:p>
    <w:p w14:paraId="51F9CBA3">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4、重大事件报告书列示已发行的，并</w:t>
      </w:r>
      <w:r>
        <w:rPr>
          <w:rFonts w:hint="eastAsia" w:ascii="仿宋" w:hAnsi="仿宋" w:eastAsia="仿宋" w:cs="仿宋"/>
          <w:color w:val="000000"/>
          <w:sz w:val="30"/>
          <w:szCs w:val="30"/>
          <w:lang w:val="en-US" w:eastAsia="zh-CN"/>
        </w:rPr>
        <w:t>在</w:t>
      </w:r>
      <w:r>
        <w:rPr>
          <w:rFonts w:hint="eastAsia" w:ascii="仿宋" w:hAnsi="仿宋" w:eastAsia="仿宋" w:cs="仿宋"/>
          <w:color w:val="000000"/>
          <w:sz w:val="30"/>
          <w:szCs w:val="30"/>
        </w:rPr>
        <w:t>存续期内的重大事件触发情况，受托机构应该在事件触发后三个工作日内及时披露相关信息。</w:t>
      </w:r>
    </w:p>
    <w:p w14:paraId="211307F5">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重大事件报告书包括对不良贷款资产支持证券投资价值有实质性影响的所有重大事件。</w:t>
      </w:r>
    </w:p>
    <w:p w14:paraId="77452080">
      <w:pPr>
        <w:tabs>
          <w:tab w:val="left" w:pos="2220"/>
        </w:tabs>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（二）受托机构、发起机构、</w:t>
      </w:r>
      <w:r>
        <w:rPr>
          <w:rFonts w:hint="eastAsia" w:ascii="仿宋" w:hAnsi="仿宋" w:eastAsia="仿宋" w:cs="仿宋"/>
          <w:sz w:val="30"/>
          <w:szCs w:val="30"/>
        </w:rPr>
        <w:t>中介机构</w:t>
      </w:r>
      <w:r>
        <w:rPr>
          <w:rFonts w:hint="eastAsia" w:ascii="仿宋" w:hAnsi="仿宋" w:eastAsia="仿宋" w:cs="仿宋"/>
          <w:color w:val="000000"/>
          <w:sz w:val="30"/>
          <w:szCs w:val="30"/>
        </w:rPr>
        <w:t>及其经办人员应按有关法律法规、规范性文件要求，编写注册、发行及存续期相关文件，发表专业意见，并对所出具的相关文件和意见承担相应法律责任。</w:t>
      </w:r>
    </w:p>
    <w:p w14:paraId="410DD4C8">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1、会计师事务所应依据相关规定进行尽职调查及相关专业服务，在会计意见书中对相关事项发表明确意见，对年度受托机构报告进行审计并出具审计报告。</w:t>
      </w:r>
    </w:p>
    <w:p w14:paraId="35FDDEAC">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2、律师事务所应在充分尽职调查的基础上，在法律意见书中对相关事项发表明确意见。</w:t>
      </w:r>
    </w:p>
    <w:p w14:paraId="58379FE0">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3、信用评级机构应依据《中国人民银行信用评级管理指导意见》等有关规定出具评级报告。</w:t>
      </w:r>
    </w:p>
    <w:p w14:paraId="22FAFE01">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4、证券发行前受托机构应按指引要求，填报注册申请报告、发行说明书，证券发行后受托机构应按指引要求填报受托机构报告、重大事件报告书。</w:t>
      </w:r>
    </w:p>
    <w:p w14:paraId="0BB227F0">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（三）受托机构应按以下要求填写表格：</w:t>
      </w:r>
    </w:p>
    <w:p w14:paraId="13F89570">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1、注册申请报告和发行说明书：应依据“适用范围”项下所列示的不同情形，填报所选表格内容，</w:t>
      </w:r>
      <w:r>
        <w:rPr>
          <w:rFonts w:hint="eastAsia" w:ascii="仿宋" w:hAnsi="仿宋" w:eastAsia="仿宋" w:cs="仿宋"/>
          <w:color w:val="000000"/>
          <w:sz w:val="30"/>
          <w:szCs w:val="30"/>
          <w:lang w:eastAsia="zh-CN"/>
        </w:rPr>
        <w:t>涉及</w:t>
      </w:r>
      <w:r>
        <w:rPr>
          <w:rFonts w:hint="eastAsia" w:ascii="仿宋" w:hAnsi="仿宋" w:eastAsia="仿宋" w:cs="仿宋"/>
          <w:color w:val="000000"/>
          <w:sz w:val="30"/>
          <w:szCs w:val="30"/>
        </w:rPr>
        <w:t>金额和时间的均需要标明单位。</w:t>
      </w:r>
    </w:p>
    <w:p w14:paraId="4137EB37">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2、受托机构报告和重大事件报告书：应依据“适用范围”项下所列示的不同情形，填报所选表格内容，</w:t>
      </w:r>
      <w:r>
        <w:rPr>
          <w:rFonts w:hint="eastAsia" w:ascii="仿宋" w:hAnsi="仿宋" w:eastAsia="仿宋" w:cs="仿宋"/>
          <w:color w:val="000000"/>
          <w:sz w:val="30"/>
          <w:szCs w:val="30"/>
          <w:lang w:eastAsia="zh-CN"/>
        </w:rPr>
        <w:t>涉及</w:t>
      </w:r>
      <w:r>
        <w:rPr>
          <w:rFonts w:hint="eastAsia" w:ascii="仿宋" w:hAnsi="仿宋" w:eastAsia="仿宋" w:cs="仿宋"/>
          <w:color w:val="000000"/>
          <w:sz w:val="30"/>
          <w:szCs w:val="30"/>
        </w:rPr>
        <w:t>金额和时间的均需要标明单位。</w:t>
      </w:r>
    </w:p>
    <w:p w14:paraId="27E2A337">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3、页码：应将披露内容所在文件的具体页码范围填写在“页码”项下。</w:t>
      </w:r>
    </w:p>
    <w:p w14:paraId="2E4760A8">
      <w:pPr>
        <w:snapToGrid w:val="0"/>
        <w:spacing w:line="560" w:lineRule="exact"/>
        <w:ind w:firstLine="600" w:firstLineChars="200"/>
        <w:jc w:val="both"/>
        <w:textAlignment w:val="baseline"/>
        <w:rPr>
          <w:rFonts w:ascii="仿宋" w:hAnsi="仿宋" w:eastAsia="仿宋" w:cs="仿宋"/>
          <w:color w:val="000000"/>
          <w:sz w:val="30"/>
          <w:szCs w:val="30"/>
        </w:rPr>
      </w:pPr>
      <w:r>
        <w:rPr>
          <w:rFonts w:hint="eastAsia" w:ascii="仿宋" w:hAnsi="仿宋" w:eastAsia="仿宋" w:cs="仿宋"/>
          <w:color w:val="000000"/>
          <w:sz w:val="30"/>
          <w:szCs w:val="30"/>
        </w:rPr>
        <w:t>4、备注：需要说明的特殊事项，应根据实际情况，在对应的“备注”项下进行说明。</w:t>
      </w:r>
    </w:p>
    <w:p w14:paraId="7B003283">
      <w:pPr>
        <w:snapToGrid w:val="0"/>
        <w:spacing w:line="560" w:lineRule="exact"/>
        <w:ind w:firstLine="600" w:firstLineChars="200"/>
        <w:jc w:val="both"/>
        <w:textAlignment w:val="baseline"/>
        <w:rPr>
          <w:rFonts w:ascii="仿宋" w:hAnsi="仿宋" w:eastAsia="仿宋" w:cs="仿宋"/>
          <w:sz w:val="30"/>
          <w:szCs w:val="30"/>
        </w:rPr>
      </w:pPr>
      <w:r>
        <w:rPr>
          <w:rFonts w:hint="eastAsia" w:ascii="仿宋" w:hAnsi="仿宋" w:eastAsia="仿宋" w:cs="仿宋"/>
          <w:sz w:val="30"/>
          <w:szCs w:val="30"/>
        </w:rPr>
        <w:t>（四）不适用情形说明</w:t>
      </w:r>
    </w:p>
    <w:p w14:paraId="0CA1C785">
      <w:pPr>
        <w:snapToGrid w:val="0"/>
        <w:spacing w:line="560" w:lineRule="exact"/>
        <w:ind w:firstLine="600" w:firstLineChars="200"/>
        <w:jc w:val="both"/>
        <w:textAlignment w:val="baseline"/>
        <w:rPr>
          <w:rFonts w:ascii="仿宋" w:hAnsi="仿宋" w:eastAsia="仿宋" w:cs="仿宋"/>
          <w:sz w:val="30"/>
          <w:szCs w:val="30"/>
        </w:rPr>
      </w:pPr>
      <w:r>
        <w:rPr>
          <w:rFonts w:hint="eastAsia" w:ascii="仿宋" w:hAnsi="仿宋" w:eastAsia="仿宋" w:cs="仿宋"/>
          <w:sz w:val="30"/>
          <w:szCs w:val="30"/>
        </w:rPr>
        <w:t>若本表格某些具体要求对个别基础资产确实不适用的，发起机构和受托机构可根据实际情况，在不影响披露内容完整性、不影响投资者进行重要投资风险判断的前提下做出适当修改，但应在相关信息披露文件中</w:t>
      </w:r>
      <w:r>
        <w:rPr>
          <w:rFonts w:hint="eastAsia" w:ascii="仿宋" w:hAnsi="仿宋" w:eastAsia="仿宋" w:cs="仿宋"/>
          <w:sz w:val="30"/>
          <w:szCs w:val="30"/>
          <w:lang w:eastAsia="zh-CN"/>
        </w:rPr>
        <w:t>作出</w:t>
      </w:r>
      <w:r>
        <w:rPr>
          <w:rFonts w:hint="eastAsia" w:ascii="仿宋" w:hAnsi="仿宋" w:eastAsia="仿宋" w:cs="仿宋"/>
          <w:sz w:val="30"/>
          <w:szCs w:val="30"/>
        </w:rPr>
        <w:t>说明。</w:t>
      </w:r>
    </w:p>
    <w:p w14:paraId="22F4C7C3">
      <w:pPr>
        <w:jc w:val="both"/>
        <w:rPr>
          <w:rFonts w:ascii="仿宋" w:hAnsi="仿宋" w:eastAsia="仿宋" w:cs="仿宋"/>
          <w:b/>
          <w:bCs/>
          <w:sz w:val="30"/>
          <w:szCs w:val="30"/>
        </w:rPr>
      </w:pPr>
      <w:r>
        <w:rPr>
          <w:rFonts w:hint="eastAsia" w:ascii="仿宋" w:hAnsi="仿宋" w:eastAsia="仿宋" w:cs="仿宋"/>
          <w:sz w:val="30"/>
          <w:szCs w:val="30"/>
        </w:rPr>
        <w:br w:type="page"/>
      </w:r>
      <w:r>
        <w:rPr>
          <w:rFonts w:hint="eastAsia" w:ascii="仿宋" w:hAnsi="仿宋" w:eastAsia="仿宋" w:cs="仿宋"/>
          <w:b/>
          <w:bCs/>
          <w:sz w:val="30"/>
          <w:szCs w:val="30"/>
        </w:rPr>
        <w:t>二、注册申请报告</w:t>
      </w:r>
    </w:p>
    <w:tbl>
      <w:tblPr>
        <w:tblStyle w:val="10"/>
        <w:tblW w:w="8442" w:type="dxa"/>
        <w:tblInd w:w="93" w:type="dxa"/>
        <w:tblLayout w:type="autofit"/>
        <w:tblCellMar>
          <w:top w:w="0" w:type="dxa"/>
          <w:left w:w="108" w:type="dxa"/>
          <w:bottom w:w="0" w:type="dxa"/>
          <w:right w:w="108" w:type="dxa"/>
        </w:tblCellMar>
      </w:tblPr>
      <w:tblGrid>
        <w:gridCol w:w="1168"/>
        <w:gridCol w:w="5097"/>
        <w:gridCol w:w="919"/>
        <w:gridCol w:w="1258"/>
      </w:tblGrid>
      <w:tr w14:paraId="66ADEF4F">
        <w:tblPrEx>
          <w:tblCellMar>
            <w:top w:w="0" w:type="dxa"/>
            <w:left w:w="108" w:type="dxa"/>
            <w:bottom w:w="0" w:type="dxa"/>
            <w:right w:w="108" w:type="dxa"/>
          </w:tblCellMar>
        </w:tblPrEx>
        <w:trPr>
          <w:trHeight w:val="510" w:hRule="atLeast"/>
        </w:trPr>
        <w:tc>
          <w:tcPr>
            <w:tcW w:w="8442" w:type="dxa"/>
            <w:gridSpan w:val="4"/>
            <w:tcBorders>
              <w:top w:val="single" w:color="auto" w:sz="4" w:space="0"/>
              <w:left w:val="single" w:color="auto" w:sz="4" w:space="0"/>
              <w:bottom w:val="single" w:color="auto" w:sz="4" w:space="0"/>
              <w:right w:val="single" w:color="000000" w:sz="4" w:space="0"/>
            </w:tcBorders>
            <w:noWrap/>
            <w:vAlign w:val="center"/>
          </w:tcPr>
          <w:p w14:paraId="15D54A84">
            <w:pPr>
              <w:jc w:val="both"/>
              <w:rPr>
                <w:rFonts w:ascii="仿宋" w:hAnsi="仿宋" w:eastAsia="仿宋" w:cs="仿宋"/>
                <w:b/>
                <w:color w:val="000000"/>
                <w:sz w:val="28"/>
                <w:szCs w:val="28"/>
              </w:rPr>
            </w:pPr>
            <w:r>
              <w:rPr>
                <w:rFonts w:hint="eastAsia" w:ascii="仿宋" w:hAnsi="仿宋" w:eastAsia="仿宋" w:cs="仿宋"/>
                <w:b/>
                <w:color w:val="000000"/>
                <w:sz w:val="28"/>
                <w:szCs w:val="28"/>
              </w:rPr>
              <w:t>注册申请报告</w:t>
            </w:r>
          </w:p>
        </w:tc>
      </w:tr>
      <w:tr w14:paraId="27311DCD">
        <w:tblPrEx>
          <w:tblCellMar>
            <w:top w:w="0" w:type="dxa"/>
            <w:left w:w="108" w:type="dxa"/>
            <w:bottom w:w="0" w:type="dxa"/>
            <w:right w:w="108" w:type="dxa"/>
          </w:tblCellMar>
        </w:tblPrEx>
        <w:trPr>
          <w:trHeight w:val="375" w:hRule="atLeast"/>
        </w:trPr>
        <w:tc>
          <w:tcPr>
            <w:tcW w:w="1168" w:type="dxa"/>
            <w:tcBorders>
              <w:top w:val="nil"/>
              <w:left w:val="single" w:color="auto" w:sz="4" w:space="0"/>
              <w:bottom w:val="single" w:color="auto" w:sz="4" w:space="0"/>
              <w:right w:val="single" w:color="auto" w:sz="4" w:space="0"/>
            </w:tcBorders>
            <w:noWrap/>
            <w:vAlign w:val="center"/>
          </w:tcPr>
          <w:p w14:paraId="39719283">
            <w:pPr>
              <w:jc w:val="both"/>
              <w:rPr>
                <w:rFonts w:ascii="仿宋" w:hAnsi="仿宋" w:eastAsia="仿宋" w:cs="仿宋"/>
                <w:color w:val="000000"/>
              </w:rPr>
            </w:pPr>
            <w:r>
              <w:rPr>
                <w:rFonts w:hint="eastAsia" w:ascii="仿宋" w:hAnsi="仿宋" w:eastAsia="仿宋" w:cs="仿宋"/>
                <w:color w:val="000000"/>
              </w:rPr>
              <w:t>序号</w:t>
            </w:r>
          </w:p>
        </w:tc>
        <w:tc>
          <w:tcPr>
            <w:tcW w:w="5097" w:type="dxa"/>
            <w:tcBorders>
              <w:top w:val="nil"/>
              <w:left w:val="nil"/>
              <w:bottom w:val="single" w:color="auto" w:sz="4" w:space="0"/>
              <w:right w:val="single" w:color="auto" w:sz="4" w:space="0"/>
            </w:tcBorders>
            <w:noWrap/>
            <w:vAlign w:val="center"/>
          </w:tcPr>
          <w:p w14:paraId="382133A2">
            <w:pPr>
              <w:jc w:val="both"/>
              <w:rPr>
                <w:rFonts w:ascii="仿宋" w:hAnsi="仿宋" w:eastAsia="仿宋" w:cs="仿宋"/>
                <w:color w:val="000000"/>
              </w:rPr>
            </w:pPr>
            <w:r>
              <w:rPr>
                <w:rFonts w:hint="eastAsia" w:ascii="仿宋" w:hAnsi="仿宋" w:eastAsia="仿宋" w:cs="仿宋"/>
                <w:color w:val="000000"/>
              </w:rPr>
              <w:t>内容</w:t>
            </w:r>
          </w:p>
        </w:tc>
        <w:tc>
          <w:tcPr>
            <w:tcW w:w="919" w:type="dxa"/>
            <w:tcBorders>
              <w:top w:val="nil"/>
              <w:left w:val="nil"/>
              <w:bottom w:val="single" w:color="auto" w:sz="4" w:space="0"/>
              <w:right w:val="single" w:color="auto" w:sz="4" w:space="0"/>
            </w:tcBorders>
            <w:noWrap/>
            <w:vAlign w:val="center"/>
          </w:tcPr>
          <w:p w14:paraId="4BCB5F8C">
            <w:pPr>
              <w:jc w:val="both"/>
              <w:rPr>
                <w:rFonts w:ascii="仿宋" w:hAnsi="仿宋" w:eastAsia="仿宋" w:cs="仿宋"/>
                <w:color w:val="000000"/>
              </w:rPr>
            </w:pPr>
            <w:r>
              <w:rPr>
                <w:rFonts w:hint="eastAsia" w:ascii="仿宋" w:hAnsi="仿宋" w:eastAsia="仿宋" w:cs="仿宋"/>
                <w:color w:val="000000"/>
              </w:rPr>
              <w:t>页码</w:t>
            </w:r>
          </w:p>
        </w:tc>
        <w:tc>
          <w:tcPr>
            <w:tcW w:w="1258" w:type="dxa"/>
            <w:tcBorders>
              <w:top w:val="nil"/>
              <w:left w:val="nil"/>
              <w:bottom w:val="single" w:color="auto" w:sz="4" w:space="0"/>
              <w:right w:val="single" w:color="auto" w:sz="4" w:space="0"/>
            </w:tcBorders>
            <w:noWrap/>
            <w:vAlign w:val="center"/>
          </w:tcPr>
          <w:p w14:paraId="3991E500">
            <w:pPr>
              <w:jc w:val="both"/>
              <w:rPr>
                <w:rFonts w:ascii="仿宋" w:hAnsi="仿宋" w:eastAsia="仿宋" w:cs="仿宋"/>
                <w:color w:val="000000"/>
              </w:rPr>
            </w:pPr>
            <w:r>
              <w:rPr>
                <w:rFonts w:hint="eastAsia" w:ascii="仿宋" w:hAnsi="仿宋" w:eastAsia="仿宋" w:cs="仿宋"/>
                <w:color w:val="000000"/>
              </w:rPr>
              <w:t>备注</w:t>
            </w:r>
          </w:p>
        </w:tc>
      </w:tr>
      <w:tr w14:paraId="211E6665">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30AE2D7C">
            <w:pPr>
              <w:jc w:val="both"/>
              <w:rPr>
                <w:rFonts w:ascii="仿宋" w:hAnsi="仿宋" w:eastAsia="仿宋" w:cs="仿宋"/>
                <w:b/>
                <w:color w:val="000000"/>
              </w:rPr>
            </w:pPr>
            <w:r>
              <w:rPr>
                <w:rFonts w:hint="eastAsia" w:ascii="仿宋" w:hAnsi="仿宋" w:eastAsia="仿宋" w:cs="仿宋"/>
                <w:b/>
                <w:color w:val="000000"/>
              </w:rPr>
              <w:t>Z-0</w:t>
            </w:r>
          </w:p>
        </w:tc>
        <w:tc>
          <w:tcPr>
            <w:tcW w:w="5097" w:type="dxa"/>
            <w:tcBorders>
              <w:top w:val="nil"/>
              <w:left w:val="nil"/>
              <w:bottom w:val="single" w:color="auto" w:sz="4" w:space="0"/>
              <w:right w:val="single" w:color="auto" w:sz="4" w:space="0"/>
            </w:tcBorders>
            <w:noWrap/>
            <w:vAlign w:val="center"/>
          </w:tcPr>
          <w:p w14:paraId="0313C7BD">
            <w:pPr>
              <w:jc w:val="both"/>
              <w:rPr>
                <w:rFonts w:ascii="仿宋" w:hAnsi="仿宋" w:eastAsia="仿宋" w:cs="仿宋"/>
                <w:b/>
                <w:color w:val="000000"/>
              </w:rPr>
            </w:pPr>
            <w:r>
              <w:rPr>
                <w:rFonts w:hint="eastAsia" w:ascii="仿宋" w:hAnsi="仿宋" w:eastAsia="仿宋" w:cs="仿宋"/>
                <w:b/>
                <w:color w:val="000000"/>
              </w:rPr>
              <w:t>扉页、目录、注册基本信息</w:t>
            </w:r>
          </w:p>
        </w:tc>
        <w:tc>
          <w:tcPr>
            <w:tcW w:w="919" w:type="dxa"/>
            <w:tcBorders>
              <w:top w:val="nil"/>
              <w:left w:val="nil"/>
              <w:bottom w:val="single" w:color="auto" w:sz="4" w:space="0"/>
              <w:right w:val="single" w:color="auto" w:sz="4" w:space="0"/>
            </w:tcBorders>
            <w:noWrap/>
            <w:vAlign w:val="center"/>
          </w:tcPr>
          <w:p w14:paraId="67CE7A8D">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05C2E553">
            <w:pPr>
              <w:jc w:val="both"/>
              <w:rPr>
                <w:rFonts w:ascii="仿宋" w:hAnsi="仿宋" w:eastAsia="仿宋" w:cs="仿宋"/>
                <w:b/>
                <w:color w:val="000000"/>
              </w:rPr>
            </w:pPr>
          </w:p>
        </w:tc>
      </w:tr>
      <w:tr w14:paraId="209A6B6D">
        <w:tblPrEx>
          <w:tblCellMar>
            <w:top w:w="0" w:type="dxa"/>
            <w:left w:w="108" w:type="dxa"/>
            <w:bottom w:w="0" w:type="dxa"/>
            <w:right w:w="108" w:type="dxa"/>
          </w:tblCellMar>
        </w:tblPrEx>
        <w:trPr>
          <w:trHeight w:val="270" w:hRule="atLeast"/>
        </w:trPr>
        <w:tc>
          <w:tcPr>
            <w:tcW w:w="1168" w:type="dxa"/>
            <w:tcBorders>
              <w:top w:val="nil"/>
              <w:left w:val="single" w:color="auto" w:sz="4" w:space="0"/>
              <w:bottom w:val="single" w:color="auto" w:sz="4" w:space="0"/>
              <w:right w:val="single" w:color="auto" w:sz="4" w:space="0"/>
            </w:tcBorders>
            <w:noWrap/>
            <w:vAlign w:val="center"/>
          </w:tcPr>
          <w:p w14:paraId="38799998">
            <w:pPr>
              <w:jc w:val="both"/>
              <w:rPr>
                <w:rFonts w:ascii="仿宋" w:hAnsi="仿宋" w:eastAsia="仿宋" w:cs="仿宋"/>
                <w:color w:val="000000"/>
              </w:rPr>
            </w:pPr>
            <w:r>
              <w:rPr>
                <w:rFonts w:hint="eastAsia" w:ascii="仿宋" w:hAnsi="仿宋" w:eastAsia="仿宋" w:cs="仿宋"/>
                <w:color w:val="000000"/>
              </w:rPr>
              <w:t>Z-0-1</w:t>
            </w:r>
          </w:p>
        </w:tc>
        <w:tc>
          <w:tcPr>
            <w:tcW w:w="5097" w:type="dxa"/>
            <w:tcBorders>
              <w:top w:val="nil"/>
              <w:left w:val="single" w:color="auto" w:sz="4" w:space="0"/>
              <w:bottom w:val="single" w:color="auto" w:sz="4" w:space="0"/>
              <w:right w:val="single" w:color="auto" w:sz="4" w:space="0"/>
            </w:tcBorders>
            <w:vAlign w:val="center"/>
          </w:tcPr>
          <w:p w14:paraId="5F013022">
            <w:pPr>
              <w:jc w:val="both"/>
              <w:rPr>
                <w:rFonts w:ascii="仿宋" w:hAnsi="仿宋" w:eastAsia="仿宋" w:cs="仿宋"/>
                <w:color w:val="000000"/>
              </w:rPr>
            </w:pPr>
            <w:r>
              <w:rPr>
                <w:rFonts w:hint="eastAsia" w:ascii="仿宋" w:hAnsi="仿宋" w:eastAsia="仿宋" w:cs="仿宋"/>
                <w:color w:val="000000"/>
              </w:rPr>
              <w:t>信贷资产支持证券名称</w:t>
            </w:r>
          </w:p>
        </w:tc>
        <w:tc>
          <w:tcPr>
            <w:tcW w:w="919" w:type="dxa"/>
            <w:tcBorders>
              <w:top w:val="nil"/>
              <w:left w:val="nil"/>
              <w:bottom w:val="single" w:color="auto" w:sz="4" w:space="0"/>
              <w:right w:val="single" w:color="auto" w:sz="4" w:space="0"/>
            </w:tcBorders>
            <w:noWrap/>
            <w:vAlign w:val="center"/>
          </w:tcPr>
          <w:p w14:paraId="5B79AA2F">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260A04E2">
            <w:pPr>
              <w:jc w:val="both"/>
              <w:rPr>
                <w:rFonts w:ascii="仿宋" w:hAnsi="仿宋" w:eastAsia="仿宋" w:cs="仿宋"/>
                <w:color w:val="000000"/>
              </w:rPr>
            </w:pPr>
            <w:r>
              <w:rPr>
                <w:rFonts w:hint="eastAsia" w:ascii="仿宋" w:hAnsi="仿宋" w:eastAsia="仿宋" w:cs="仿宋"/>
                <w:color w:val="000000"/>
              </w:rPr>
              <w:t>见附件1</w:t>
            </w:r>
          </w:p>
        </w:tc>
      </w:tr>
      <w:tr w14:paraId="031B248C">
        <w:tblPrEx>
          <w:tblCellMar>
            <w:top w:w="0" w:type="dxa"/>
            <w:left w:w="108" w:type="dxa"/>
            <w:bottom w:w="0" w:type="dxa"/>
            <w:right w:w="108" w:type="dxa"/>
          </w:tblCellMar>
        </w:tblPrEx>
        <w:trPr>
          <w:trHeight w:val="180" w:hRule="atLeast"/>
        </w:trPr>
        <w:tc>
          <w:tcPr>
            <w:tcW w:w="1168" w:type="dxa"/>
            <w:tcBorders>
              <w:top w:val="nil"/>
              <w:left w:val="single" w:color="auto" w:sz="4" w:space="0"/>
              <w:bottom w:val="single" w:color="auto" w:sz="4" w:space="0"/>
              <w:right w:val="single" w:color="auto" w:sz="4" w:space="0"/>
            </w:tcBorders>
            <w:noWrap/>
            <w:vAlign w:val="center"/>
          </w:tcPr>
          <w:p w14:paraId="521F9300">
            <w:pPr>
              <w:jc w:val="both"/>
              <w:rPr>
                <w:rFonts w:ascii="仿宋" w:hAnsi="仿宋" w:eastAsia="仿宋" w:cs="仿宋"/>
                <w:color w:val="000000"/>
              </w:rPr>
            </w:pPr>
            <w:r>
              <w:rPr>
                <w:rFonts w:hint="eastAsia" w:ascii="仿宋" w:hAnsi="仿宋" w:eastAsia="仿宋" w:cs="仿宋"/>
                <w:color w:val="000000"/>
              </w:rPr>
              <w:t>Z-0-2</w:t>
            </w:r>
          </w:p>
        </w:tc>
        <w:tc>
          <w:tcPr>
            <w:tcW w:w="5097" w:type="dxa"/>
            <w:tcBorders>
              <w:top w:val="nil"/>
              <w:left w:val="single" w:color="auto" w:sz="4" w:space="0"/>
              <w:bottom w:val="single" w:color="auto" w:sz="4" w:space="0"/>
              <w:right w:val="single" w:color="auto" w:sz="4" w:space="0"/>
            </w:tcBorders>
            <w:vAlign w:val="center"/>
          </w:tcPr>
          <w:p w14:paraId="5420C7C1">
            <w:pPr>
              <w:jc w:val="both"/>
              <w:rPr>
                <w:rFonts w:ascii="仿宋" w:hAnsi="仿宋" w:eastAsia="仿宋" w:cs="仿宋"/>
                <w:color w:val="000000"/>
              </w:rPr>
            </w:pPr>
            <w:r>
              <w:rPr>
                <w:rFonts w:hint="eastAsia" w:ascii="仿宋" w:hAnsi="仿宋" w:eastAsia="仿宋" w:cs="仿宋"/>
                <w:color w:val="000000"/>
              </w:rPr>
              <w:t>基础资产类型</w:t>
            </w:r>
          </w:p>
        </w:tc>
        <w:tc>
          <w:tcPr>
            <w:tcW w:w="919" w:type="dxa"/>
            <w:tcBorders>
              <w:top w:val="nil"/>
              <w:left w:val="nil"/>
              <w:bottom w:val="single" w:color="auto" w:sz="4" w:space="0"/>
              <w:right w:val="single" w:color="auto" w:sz="4" w:space="0"/>
            </w:tcBorders>
            <w:noWrap/>
            <w:vAlign w:val="center"/>
          </w:tcPr>
          <w:p w14:paraId="31DF6D30">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749556AF">
            <w:pPr>
              <w:jc w:val="both"/>
              <w:rPr>
                <w:rFonts w:ascii="仿宋" w:hAnsi="仿宋" w:eastAsia="仿宋" w:cs="仿宋"/>
                <w:color w:val="000000"/>
              </w:rPr>
            </w:pPr>
            <w:r>
              <w:rPr>
                <w:rFonts w:hint="eastAsia" w:ascii="仿宋" w:hAnsi="仿宋" w:eastAsia="仿宋" w:cs="仿宋"/>
                <w:color w:val="000000"/>
              </w:rPr>
              <w:t>见附件1</w:t>
            </w:r>
          </w:p>
        </w:tc>
      </w:tr>
      <w:tr w14:paraId="398AC5B9">
        <w:tblPrEx>
          <w:tblCellMar>
            <w:top w:w="0" w:type="dxa"/>
            <w:left w:w="108" w:type="dxa"/>
            <w:bottom w:w="0" w:type="dxa"/>
            <w:right w:w="108" w:type="dxa"/>
          </w:tblCellMar>
        </w:tblPrEx>
        <w:trPr>
          <w:trHeight w:val="810" w:hRule="atLeast"/>
        </w:trPr>
        <w:tc>
          <w:tcPr>
            <w:tcW w:w="1168" w:type="dxa"/>
            <w:tcBorders>
              <w:top w:val="nil"/>
              <w:left w:val="single" w:color="auto" w:sz="4" w:space="0"/>
              <w:bottom w:val="single" w:color="auto" w:sz="4" w:space="0"/>
              <w:right w:val="single" w:color="auto" w:sz="4" w:space="0"/>
            </w:tcBorders>
            <w:noWrap/>
            <w:vAlign w:val="center"/>
          </w:tcPr>
          <w:p w14:paraId="744CB892">
            <w:pPr>
              <w:jc w:val="both"/>
              <w:rPr>
                <w:rFonts w:ascii="仿宋" w:hAnsi="仿宋" w:eastAsia="仿宋" w:cs="仿宋"/>
                <w:color w:val="000000"/>
              </w:rPr>
            </w:pPr>
            <w:r>
              <w:rPr>
                <w:rFonts w:hint="eastAsia" w:ascii="仿宋" w:hAnsi="仿宋" w:eastAsia="仿宋" w:cs="仿宋"/>
                <w:color w:val="000000"/>
              </w:rPr>
              <w:t>Z-0-3</w:t>
            </w:r>
          </w:p>
        </w:tc>
        <w:tc>
          <w:tcPr>
            <w:tcW w:w="5097" w:type="dxa"/>
            <w:tcBorders>
              <w:top w:val="nil"/>
              <w:left w:val="single" w:color="auto" w:sz="4" w:space="0"/>
              <w:bottom w:val="single" w:color="auto" w:sz="4" w:space="0"/>
              <w:right w:val="single" w:color="auto" w:sz="4" w:space="0"/>
            </w:tcBorders>
            <w:vAlign w:val="center"/>
          </w:tcPr>
          <w:p w14:paraId="4240E1C8">
            <w:pPr>
              <w:jc w:val="both"/>
              <w:rPr>
                <w:rFonts w:ascii="仿宋" w:hAnsi="仿宋" w:eastAsia="仿宋" w:cs="仿宋"/>
                <w:color w:val="000000"/>
              </w:rPr>
            </w:pPr>
            <w:r>
              <w:rPr>
                <w:rFonts w:hint="eastAsia" w:ascii="仿宋" w:hAnsi="仿宋" w:eastAsia="仿宋" w:cs="仿宋"/>
                <w:color w:val="000000"/>
              </w:rPr>
              <w:t>信贷资产支持证券发行安排--写明本次注册的总金额及预计的发行期数及交易场所，如有必要可列明各期证券的发行时间段。</w:t>
            </w:r>
          </w:p>
        </w:tc>
        <w:tc>
          <w:tcPr>
            <w:tcW w:w="919" w:type="dxa"/>
            <w:tcBorders>
              <w:top w:val="nil"/>
              <w:left w:val="nil"/>
              <w:bottom w:val="single" w:color="auto" w:sz="4" w:space="0"/>
              <w:right w:val="single" w:color="auto" w:sz="4" w:space="0"/>
            </w:tcBorders>
            <w:noWrap/>
            <w:vAlign w:val="center"/>
          </w:tcPr>
          <w:p w14:paraId="048BD4D4">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460D37F7">
            <w:pPr>
              <w:jc w:val="both"/>
              <w:rPr>
                <w:rFonts w:ascii="仿宋" w:hAnsi="仿宋" w:eastAsia="仿宋" w:cs="仿宋"/>
                <w:color w:val="000000"/>
              </w:rPr>
            </w:pPr>
            <w:r>
              <w:rPr>
                <w:rFonts w:hint="eastAsia" w:ascii="仿宋" w:hAnsi="仿宋" w:eastAsia="仿宋" w:cs="仿宋"/>
                <w:color w:val="000000"/>
              </w:rPr>
              <w:t>见附件1</w:t>
            </w:r>
          </w:p>
        </w:tc>
      </w:tr>
      <w:tr w14:paraId="16298FB2">
        <w:tblPrEx>
          <w:tblCellMar>
            <w:top w:w="0" w:type="dxa"/>
            <w:left w:w="108" w:type="dxa"/>
            <w:bottom w:w="0" w:type="dxa"/>
            <w:right w:w="108" w:type="dxa"/>
          </w:tblCellMar>
        </w:tblPrEx>
        <w:trPr>
          <w:cantSplit/>
          <w:trHeight w:val="810" w:hRule="atLeast"/>
        </w:trPr>
        <w:tc>
          <w:tcPr>
            <w:tcW w:w="1168" w:type="dxa"/>
            <w:tcBorders>
              <w:top w:val="nil"/>
              <w:left w:val="single" w:color="auto" w:sz="4" w:space="0"/>
              <w:bottom w:val="single" w:color="auto" w:sz="4" w:space="0"/>
              <w:right w:val="single" w:color="auto" w:sz="4" w:space="0"/>
            </w:tcBorders>
            <w:noWrap/>
            <w:vAlign w:val="center"/>
          </w:tcPr>
          <w:p w14:paraId="18791E66">
            <w:pPr>
              <w:jc w:val="both"/>
              <w:rPr>
                <w:rFonts w:ascii="仿宋" w:hAnsi="仿宋" w:eastAsia="仿宋" w:cs="仿宋"/>
                <w:color w:val="000000"/>
              </w:rPr>
            </w:pPr>
            <w:r>
              <w:rPr>
                <w:rFonts w:hint="eastAsia" w:ascii="仿宋" w:hAnsi="仿宋" w:eastAsia="仿宋" w:cs="仿宋"/>
                <w:color w:val="000000"/>
              </w:rPr>
              <w:t>Z-0-4</w:t>
            </w:r>
          </w:p>
        </w:tc>
        <w:tc>
          <w:tcPr>
            <w:tcW w:w="5097" w:type="dxa"/>
            <w:tcBorders>
              <w:top w:val="nil"/>
              <w:left w:val="single" w:color="auto" w:sz="4" w:space="0"/>
              <w:bottom w:val="single" w:color="auto" w:sz="4" w:space="0"/>
              <w:right w:val="single" w:color="auto" w:sz="4" w:space="0"/>
            </w:tcBorders>
            <w:vAlign w:val="center"/>
          </w:tcPr>
          <w:p w14:paraId="2A66C985">
            <w:pPr>
              <w:jc w:val="both"/>
              <w:rPr>
                <w:rFonts w:ascii="仿宋" w:hAnsi="仿宋" w:eastAsia="仿宋" w:cs="仿宋"/>
                <w:color w:val="000000"/>
              </w:rPr>
            </w:pPr>
            <w:r>
              <w:rPr>
                <w:rFonts w:hint="eastAsia" w:ascii="仿宋" w:hAnsi="仿宋" w:eastAsia="仿宋" w:cs="仿宋"/>
                <w:color w:val="000000"/>
              </w:rPr>
              <w:t>发行方式可选择招标或簿记建档，拟采用簿记建档发行的，应说明采用簿记建档发行的必要性，定价、配售的具体原则和方式，以及防范操作风险和不正当利益输送的措施。</w:t>
            </w:r>
          </w:p>
        </w:tc>
        <w:tc>
          <w:tcPr>
            <w:tcW w:w="919" w:type="dxa"/>
            <w:tcBorders>
              <w:top w:val="nil"/>
              <w:left w:val="nil"/>
              <w:bottom w:val="single" w:color="auto" w:sz="4" w:space="0"/>
              <w:right w:val="single" w:color="auto" w:sz="4" w:space="0"/>
            </w:tcBorders>
            <w:noWrap/>
            <w:vAlign w:val="center"/>
          </w:tcPr>
          <w:p w14:paraId="6758590B">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7B77E076">
            <w:pPr>
              <w:jc w:val="both"/>
              <w:rPr>
                <w:rFonts w:ascii="仿宋" w:hAnsi="仿宋" w:eastAsia="仿宋" w:cs="仿宋"/>
                <w:color w:val="000000"/>
              </w:rPr>
            </w:pPr>
          </w:p>
        </w:tc>
      </w:tr>
      <w:tr w14:paraId="6469B600">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214ACACE">
            <w:pPr>
              <w:jc w:val="both"/>
              <w:rPr>
                <w:rFonts w:ascii="仿宋" w:hAnsi="仿宋" w:eastAsia="仿宋" w:cs="仿宋"/>
                <w:color w:val="000000"/>
              </w:rPr>
            </w:pPr>
            <w:r>
              <w:rPr>
                <w:rFonts w:hint="eastAsia" w:ascii="仿宋" w:hAnsi="仿宋" w:eastAsia="仿宋" w:cs="仿宋"/>
                <w:color w:val="000000"/>
              </w:rPr>
              <w:t>Z-0-5</w:t>
            </w:r>
          </w:p>
        </w:tc>
        <w:tc>
          <w:tcPr>
            <w:tcW w:w="5097" w:type="dxa"/>
            <w:tcBorders>
              <w:top w:val="nil"/>
              <w:left w:val="nil"/>
              <w:bottom w:val="single" w:color="auto" w:sz="4" w:space="0"/>
              <w:right w:val="single" w:color="auto" w:sz="4" w:space="0"/>
            </w:tcBorders>
            <w:vAlign w:val="center"/>
          </w:tcPr>
          <w:p w14:paraId="4591B7E9">
            <w:pPr>
              <w:jc w:val="both"/>
              <w:rPr>
                <w:rFonts w:ascii="仿宋" w:hAnsi="仿宋" w:eastAsia="仿宋" w:cs="仿宋"/>
                <w:color w:val="000000"/>
              </w:rPr>
            </w:pPr>
            <w:r>
              <w:rPr>
                <w:rFonts w:hint="eastAsia" w:ascii="仿宋" w:hAnsi="仿宋" w:eastAsia="仿宋" w:cs="仿宋"/>
                <w:color w:val="000000"/>
              </w:rPr>
              <w:t>目录--标明各章、节的标题及相应的页码。</w:t>
            </w:r>
          </w:p>
        </w:tc>
        <w:tc>
          <w:tcPr>
            <w:tcW w:w="919" w:type="dxa"/>
            <w:tcBorders>
              <w:top w:val="nil"/>
              <w:left w:val="nil"/>
              <w:bottom w:val="single" w:color="auto" w:sz="4" w:space="0"/>
              <w:right w:val="single" w:color="auto" w:sz="4" w:space="0"/>
            </w:tcBorders>
            <w:noWrap/>
            <w:vAlign w:val="center"/>
          </w:tcPr>
          <w:p w14:paraId="72A3D2A9">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5E727FA6">
            <w:pPr>
              <w:jc w:val="both"/>
              <w:rPr>
                <w:rFonts w:ascii="仿宋" w:hAnsi="仿宋" w:eastAsia="仿宋" w:cs="仿宋"/>
                <w:b/>
                <w:color w:val="000000"/>
              </w:rPr>
            </w:pPr>
          </w:p>
        </w:tc>
      </w:tr>
      <w:tr w14:paraId="45E255CB">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652D5DE3">
            <w:pPr>
              <w:jc w:val="both"/>
              <w:rPr>
                <w:rFonts w:ascii="仿宋" w:hAnsi="仿宋" w:eastAsia="仿宋" w:cs="仿宋"/>
                <w:b/>
                <w:color w:val="000000"/>
              </w:rPr>
            </w:pPr>
            <w:r>
              <w:rPr>
                <w:rFonts w:hint="eastAsia" w:ascii="仿宋" w:hAnsi="仿宋" w:eastAsia="仿宋" w:cs="仿宋"/>
                <w:b/>
                <w:color w:val="000000"/>
              </w:rPr>
              <w:t>Z-1</w:t>
            </w:r>
          </w:p>
        </w:tc>
        <w:tc>
          <w:tcPr>
            <w:tcW w:w="5097" w:type="dxa"/>
            <w:tcBorders>
              <w:top w:val="nil"/>
              <w:left w:val="nil"/>
              <w:bottom w:val="single" w:color="auto" w:sz="4" w:space="0"/>
              <w:right w:val="single" w:color="auto" w:sz="4" w:space="0"/>
            </w:tcBorders>
            <w:vAlign w:val="center"/>
          </w:tcPr>
          <w:p w14:paraId="21FE51E7">
            <w:pPr>
              <w:jc w:val="both"/>
              <w:rPr>
                <w:rFonts w:ascii="仿宋" w:hAnsi="仿宋" w:eastAsia="仿宋" w:cs="仿宋"/>
                <w:b/>
                <w:color w:val="000000"/>
              </w:rPr>
            </w:pPr>
            <w:r>
              <w:rPr>
                <w:rFonts w:hint="eastAsia" w:ascii="仿宋" w:hAnsi="仿宋" w:eastAsia="仿宋" w:cs="仿宋"/>
                <w:b/>
                <w:color w:val="000000"/>
              </w:rPr>
              <w:t>投资风险提示</w:t>
            </w:r>
          </w:p>
        </w:tc>
        <w:tc>
          <w:tcPr>
            <w:tcW w:w="919" w:type="dxa"/>
            <w:tcBorders>
              <w:top w:val="nil"/>
              <w:left w:val="nil"/>
              <w:bottom w:val="single" w:color="auto" w:sz="4" w:space="0"/>
              <w:right w:val="single" w:color="auto" w:sz="4" w:space="0"/>
            </w:tcBorders>
            <w:noWrap/>
            <w:vAlign w:val="center"/>
          </w:tcPr>
          <w:p w14:paraId="2904B6F2">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7C4BD97F">
            <w:pPr>
              <w:jc w:val="both"/>
              <w:rPr>
                <w:rFonts w:ascii="仿宋" w:hAnsi="仿宋" w:eastAsia="仿宋" w:cs="仿宋"/>
                <w:b/>
                <w:color w:val="000000"/>
              </w:rPr>
            </w:pPr>
          </w:p>
        </w:tc>
      </w:tr>
      <w:tr w14:paraId="66F4AB8D">
        <w:tblPrEx>
          <w:tblCellMar>
            <w:top w:w="0" w:type="dxa"/>
            <w:left w:w="108" w:type="dxa"/>
            <w:bottom w:w="0" w:type="dxa"/>
            <w:right w:w="108" w:type="dxa"/>
          </w:tblCellMar>
        </w:tblPrEx>
        <w:trPr>
          <w:trHeight w:val="540" w:hRule="atLeast"/>
        </w:trPr>
        <w:tc>
          <w:tcPr>
            <w:tcW w:w="1168" w:type="dxa"/>
            <w:tcBorders>
              <w:top w:val="nil"/>
              <w:left w:val="single" w:color="auto" w:sz="4" w:space="0"/>
              <w:bottom w:val="single" w:color="auto" w:sz="4" w:space="0"/>
              <w:right w:val="single" w:color="auto" w:sz="4" w:space="0"/>
            </w:tcBorders>
            <w:noWrap/>
            <w:vAlign w:val="center"/>
          </w:tcPr>
          <w:p w14:paraId="5A787CEC">
            <w:pPr>
              <w:jc w:val="both"/>
              <w:rPr>
                <w:rFonts w:ascii="仿宋" w:hAnsi="仿宋" w:eastAsia="仿宋" w:cs="仿宋"/>
                <w:color w:val="000000"/>
              </w:rPr>
            </w:pPr>
            <w:r>
              <w:rPr>
                <w:rFonts w:hint="eastAsia" w:ascii="仿宋" w:hAnsi="仿宋" w:eastAsia="仿宋" w:cs="仿宋"/>
                <w:color w:val="000000"/>
              </w:rPr>
              <w:t>Z-1-1</w:t>
            </w:r>
          </w:p>
        </w:tc>
        <w:tc>
          <w:tcPr>
            <w:tcW w:w="5097" w:type="dxa"/>
            <w:tcBorders>
              <w:top w:val="nil"/>
              <w:left w:val="nil"/>
              <w:bottom w:val="single" w:color="auto" w:sz="4" w:space="0"/>
              <w:right w:val="single" w:color="auto" w:sz="4" w:space="0"/>
            </w:tcBorders>
            <w:vAlign w:val="center"/>
          </w:tcPr>
          <w:p w14:paraId="6D53B39A">
            <w:pPr>
              <w:jc w:val="both"/>
              <w:rPr>
                <w:rFonts w:ascii="仿宋" w:hAnsi="仿宋" w:eastAsia="仿宋" w:cs="仿宋"/>
                <w:color w:val="000000"/>
              </w:rPr>
            </w:pPr>
            <w:r>
              <w:rPr>
                <w:rFonts w:hint="eastAsia" w:ascii="仿宋" w:hAnsi="仿宋" w:eastAsia="仿宋" w:cs="仿宋"/>
                <w:color w:val="000000"/>
              </w:rPr>
              <w:t>注册环节可预见的投资者面临的风险，例如现金流实际回收不足的风险、现金流回收时间波动的风险、利率风险、法律风险、政策风险、操作风险等，不同项目可根据实际情况列明。</w:t>
            </w:r>
          </w:p>
        </w:tc>
        <w:tc>
          <w:tcPr>
            <w:tcW w:w="919" w:type="dxa"/>
            <w:tcBorders>
              <w:top w:val="nil"/>
              <w:left w:val="nil"/>
              <w:bottom w:val="single" w:color="auto" w:sz="4" w:space="0"/>
              <w:right w:val="single" w:color="auto" w:sz="4" w:space="0"/>
            </w:tcBorders>
            <w:noWrap/>
            <w:vAlign w:val="center"/>
          </w:tcPr>
          <w:p w14:paraId="1527C28E">
            <w:pPr>
              <w:jc w:val="both"/>
              <w:rPr>
                <w:rFonts w:ascii="仿宋" w:hAnsi="仿宋" w:eastAsia="仿宋" w:cs="仿宋"/>
                <w:color w:val="000000"/>
              </w:rPr>
            </w:pPr>
          </w:p>
        </w:tc>
        <w:tc>
          <w:tcPr>
            <w:tcW w:w="1258" w:type="dxa"/>
            <w:tcBorders>
              <w:top w:val="nil"/>
              <w:left w:val="nil"/>
              <w:bottom w:val="single" w:color="auto" w:sz="4" w:space="0"/>
              <w:right w:val="single" w:color="auto" w:sz="4" w:space="0"/>
            </w:tcBorders>
            <w:noWrap/>
            <w:vAlign w:val="center"/>
          </w:tcPr>
          <w:p w14:paraId="0F3A36BC">
            <w:pPr>
              <w:jc w:val="both"/>
              <w:rPr>
                <w:rFonts w:ascii="仿宋" w:hAnsi="仿宋" w:eastAsia="仿宋" w:cs="仿宋"/>
                <w:color w:val="000000"/>
              </w:rPr>
            </w:pPr>
          </w:p>
        </w:tc>
      </w:tr>
      <w:tr w14:paraId="29B84C0B">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3ADB6C04">
            <w:pPr>
              <w:jc w:val="both"/>
              <w:rPr>
                <w:rFonts w:ascii="仿宋" w:hAnsi="仿宋" w:eastAsia="仿宋" w:cs="仿宋"/>
                <w:b/>
                <w:color w:val="000000"/>
              </w:rPr>
            </w:pPr>
            <w:r>
              <w:rPr>
                <w:rFonts w:hint="eastAsia" w:ascii="仿宋" w:hAnsi="仿宋" w:eastAsia="仿宋" w:cs="仿宋"/>
                <w:b/>
                <w:color w:val="000000"/>
              </w:rPr>
              <w:t>Z-2</w:t>
            </w:r>
          </w:p>
        </w:tc>
        <w:tc>
          <w:tcPr>
            <w:tcW w:w="5097" w:type="dxa"/>
            <w:tcBorders>
              <w:top w:val="nil"/>
              <w:left w:val="nil"/>
              <w:bottom w:val="single" w:color="auto" w:sz="4" w:space="0"/>
              <w:right w:val="single" w:color="auto" w:sz="4" w:space="0"/>
            </w:tcBorders>
            <w:vAlign w:val="center"/>
          </w:tcPr>
          <w:p w14:paraId="50695952">
            <w:pPr>
              <w:jc w:val="both"/>
              <w:rPr>
                <w:rFonts w:ascii="仿宋" w:hAnsi="仿宋" w:eastAsia="仿宋" w:cs="仿宋"/>
                <w:b/>
                <w:color w:val="000000"/>
              </w:rPr>
            </w:pPr>
            <w:r>
              <w:rPr>
                <w:rFonts w:hint="eastAsia" w:ascii="仿宋" w:hAnsi="仿宋" w:eastAsia="仿宋" w:cs="仿宋"/>
                <w:b/>
                <w:color w:val="000000"/>
              </w:rPr>
              <w:t>参与机构信息</w:t>
            </w:r>
            <w:r>
              <w:rPr>
                <w:rStyle w:val="17"/>
                <w:rFonts w:hint="eastAsia" w:ascii="仿宋" w:hAnsi="仿宋" w:eastAsia="仿宋" w:cs="仿宋"/>
                <w:b/>
                <w:color w:val="000000"/>
              </w:rPr>
              <w:footnoteReference w:id="1"/>
            </w:r>
          </w:p>
        </w:tc>
        <w:tc>
          <w:tcPr>
            <w:tcW w:w="919" w:type="dxa"/>
            <w:tcBorders>
              <w:top w:val="nil"/>
              <w:left w:val="nil"/>
              <w:bottom w:val="single" w:color="auto" w:sz="4" w:space="0"/>
              <w:right w:val="single" w:color="auto" w:sz="4" w:space="0"/>
            </w:tcBorders>
            <w:noWrap/>
            <w:vAlign w:val="center"/>
          </w:tcPr>
          <w:p w14:paraId="6398FC29">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618918E6">
            <w:pPr>
              <w:jc w:val="both"/>
              <w:rPr>
                <w:rFonts w:ascii="仿宋" w:hAnsi="仿宋" w:eastAsia="仿宋" w:cs="仿宋"/>
                <w:b/>
                <w:color w:val="000000"/>
              </w:rPr>
            </w:pPr>
          </w:p>
        </w:tc>
      </w:tr>
      <w:tr w14:paraId="1763EF34">
        <w:tblPrEx>
          <w:tblCellMar>
            <w:top w:w="0" w:type="dxa"/>
            <w:left w:w="108" w:type="dxa"/>
            <w:bottom w:w="0" w:type="dxa"/>
            <w:right w:w="108" w:type="dxa"/>
          </w:tblCellMar>
        </w:tblPrEx>
        <w:trPr>
          <w:trHeight w:val="1350" w:hRule="atLeast"/>
        </w:trPr>
        <w:tc>
          <w:tcPr>
            <w:tcW w:w="1168" w:type="dxa"/>
            <w:tcBorders>
              <w:top w:val="nil"/>
              <w:left w:val="single" w:color="auto" w:sz="4" w:space="0"/>
              <w:bottom w:val="single" w:color="auto" w:sz="4" w:space="0"/>
              <w:right w:val="single" w:color="auto" w:sz="4" w:space="0"/>
            </w:tcBorders>
            <w:noWrap/>
            <w:vAlign w:val="center"/>
          </w:tcPr>
          <w:p w14:paraId="5C9CCC06">
            <w:pPr>
              <w:jc w:val="both"/>
              <w:rPr>
                <w:rFonts w:ascii="仿宋" w:hAnsi="仿宋" w:eastAsia="仿宋" w:cs="仿宋"/>
                <w:color w:val="000000"/>
              </w:rPr>
            </w:pPr>
            <w:r>
              <w:rPr>
                <w:rFonts w:hint="eastAsia" w:ascii="仿宋" w:hAnsi="仿宋" w:eastAsia="仿宋" w:cs="仿宋"/>
                <w:color w:val="000000"/>
              </w:rPr>
              <w:t>Z-2-1</w:t>
            </w:r>
          </w:p>
        </w:tc>
        <w:tc>
          <w:tcPr>
            <w:tcW w:w="5097" w:type="dxa"/>
            <w:tcBorders>
              <w:top w:val="nil"/>
              <w:left w:val="single" w:color="auto" w:sz="4" w:space="0"/>
              <w:bottom w:val="single" w:color="auto" w:sz="4" w:space="0"/>
              <w:right w:val="single" w:color="auto" w:sz="4" w:space="0"/>
            </w:tcBorders>
            <w:vAlign w:val="center"/>
          </w:tcPr>
          <w:p w14:paraId="392F7B3B">
            <w:pPr>
              <w:jc w:val="both"/>
              <w:rPr>
                <w:rFonts w:ascii="仿宋" w:hAnsi="仿宋" w:eastAsia="仿宋" w:cs="仿宋"/>
                <w:color w:val="000000"/>
              </w:rPr>
            </w:pPr>
            <w:r>
              <w:rPr>
                <w:rFonts w:hint="eastAsia" w:ascii="仿宋" w:hAnsi="仿宋" w:eastAsia="仿宋" w:cs="仿宋"/>
                <w:color w:val="000000"/>
              </w:rPr>
              <w:t>各参与机构的选任标准及程序--信贷资产证券化业务中对相关参与机构，包含受托机构、主承销商、联席主承销商（如有）、贷款服务机构、资金保管机构、信用评级机构、会计师事务所、律师事务所、资产服务顾问（如有）、资产评估机构（如有）等的选择标准及程序，包括但不限于参与机构的选任原则、选任标准与选任程序。</w:t>
            </w:r>
          </w:p>
        </w:tc>
        <w:tc>
          <w:tcPr>
            <w:tcW w:w="919" w:type="dxa"/>
            <w:tcBorders>
              <w:top w:val="nil"/>
              <w:left w:val="nil"/>
              <w:bottom w:val="single" w:color="auto" w:sz="4" w:space="0"/>
              <w:right w:val="single" w:color="auto" w:sz="4" w:space="0"/>
            </w:tcBorders>
            <w:noWrap/>
            <w:vAlign w:val="center"/>
          </w:tcPr>
          <w:p w14:paraId="29232547">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4D687114">
            <w:pPr>
              <w:jc w:val="both"/>
              <w:rPr>
                <w:rFonts w:ascii="仿宋" w:hAnsi="仿宋" w:eastAsia="仿宋" w:cs="仿宋"/>
                <w:color w:val="000000"/>
              </w:rPr>
            </w:pPr>
          </w:p>
        </w:tc>
      </w:tr>
      <w:tr w14:paraId="7F0F898D">
        <w:tblPrEx>
          <w:tblCellMar>
            <w:top w:w="0" w:type="dxa"/>
            <w:left w:w="108" w:type="dxa"/>
            <w:bottom w:w="0" w:type="dxa"/>
            <w:right w:w="108" w:type="dxa"/>
          </w:tblCellMar>
        </w:tblPrEx>
        <w:trPr>
          <w:trHeight w:val="416" w:hRule="atLeast"/>
        </w:trPr>
        <w:tc>
          <w:tcPr>
            <w:tcW w:w="1168" w:type="dxa"/>
            <w:tcBorders>
              <w:top w:val="nil"/>
              <w:left w:val="single" w:color="auto" w:sz="4" w:space="0"/>
              <w:bottom w:val="single" w:color="auto" w:sz="4" w:space="0"/>
              <w:right w:val="single" w:color="auto" w:sz="4" w:space="0"/>
            </w:tcBorders>
            <w:noWrap/>
            <w:vAlign w:val="center"/>
          </w:tcPr>
          <w:p w14:paraId="40503840">
            <w:pPr>
              <w:jc w:val="both"/>
              <w:rPr>
                <w:rFonts w:ascii="仿宋" w:hAnsi="仿宋" w:eastAsia="仿宋" w:cs="仿宋"/>
                <w:color w:val="000000"/>
              </w:rPr>
            </w:pPr>
            <w:r>
              <w:rPr>
                <w:rFonts w:hint="eastAsia" w:ascii="仿宋" w:hAnsi="仿宋" w:eastAsia="仿宋" w:cs="仿宋"/>
                <w:color w:val="000000"/>
              </w:rPr>
              <w:t>Z-2-2</w:t>
            </w:r>
          </w:p>
        </w:tc>
        <w:tc>
          <w:tcPr>
            <w:tcW w:w="5097" w:type="dxa"/>
            <w:tcBorders>
              <w:top w:val="nil"/>
              <w:left w:val="single" w:color="auto" w:sz="4" w:space="0"/>
              <w:bottom w:val="single" w:color="auto" w:sz="4" w:space="0"/>
              <w:right w:val="single" w:color="auto" w:sz="4" w:space="0"/>
            </w:tcBorders>
            <w:vAlign w:val="center"/>
          </w:tcPr>
          <w:p w14:paraId="5F1EEC1D">
            <w:pPr>
              <w:jc w:val="both"/>
              <w:rPr>
                <w:rFonts w:ascii="仿宋" w:hAnsi="仿宋" w:eastAsia="仿宋" w:cs="仿宋"/>
                <w:color w:val="000000"/>
              </w:rPr>
            </w:pPr>
            <w:r>
              <w:rPr>
                <w:rFonts w:hint="eastAsia" w:ascii="仿宋" w:hAnsi="仿宋" w:eastAsia="仿宋" w:cs="仿宋"/>
                <w:color w:val="000000"/>
              </w:rPr>
              <w:t>各参与机构名单--所披露的内容包括但不限于各参与机构（如有）的名称、注册地址、法定代表人、联系人、联系电话、传真、邮政编码、网址等基本情况。注册时受托机构必须唯一，其他参与机构可多选。</w:t>
            </w:r>
          </w:p>
        </w:tc>
        <w:tc>
          <w:tcPr>
            <w:tcW w:w="919" w:type="dxa"/>
            <w:tcBorders>
              <w:top w:val="nil"/>
              <w:left w:val="nil"/>
              <w:bottom w:val="single" w:color="auto" w:sz="4" w:space="0"/>
              <w:right w:val="single" w:color="auto" w:sz="4" w:space="0"/>
            </w:tcBorders>
            <w:noWrap/>
            <w:vAlign w:val="center"/>
          </w:tcPr>
          <w:p w14:paraId="48030719">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007C4ADC">
            <w:pPr>
              <w:jc w:val="both"/>
              <w:rPr>
                <w:rFonts w:ascii="仿宋" w:hAnsi="仿宋" w:eastAsia="仿宋" w:cs="仿宋"/>
                <w:color w:val="000000"/>
              </w:rPr>
            </w:pPr>
          </w:p>
        </w:tc>
      </w:tr>
      <w:tr w14:paraId="5B32C034">
        <w:tblPrEx>
          <w:tblCellMar>
            <w:top w:w="0" w:type="dxa"/>
            <w:left w:w="108" w:type="dxa"/>
            <w:bottom w:w="0" w:type="dxa"/>
            <w:right w:w="108" w:type="dxa"/>
          </w:tblCellMar>
        </w:tblPrEx>
        <w:trPr>
          <w:trHeight w:val="1080" w:hRule="atLeast"/>
        </w:trPr>
        <w:tc>
          <w:tcPr>
            <w:tcW w:w="1168" w:type="dxa"/>
            <w:tcBorders>
              <w:top w:val="nil"/>
              <w:left w:val="single" w:color="auto" w:sz="4" w:space="0"/>
              <w:bottom w:val="single" w:color="auto" w:sz="4" w:space="0"/>
              <w:right w:val="single" w:color="auto" w:sz="4" w:space="0"/>
            </w:tcBorders>
            <w:noWrap/>
            <w:vAlign w:val="center"/>
          </w:tcPr>
          <w:p w14:paraId="4C7FCAB0">
            <w:pPr>
              <w:jc w:val="both"/>
              <w:rPr>
                <w:rFonts w:ascii="仿宋" w:hAnsi="仿宋" w:eastAsia="仿宋" w:cs="仿宋"/>
                <w:color w:val="000000"/>
              </w:rPr>
            </w:pPr>
            <w:r>
              <w:rPr>
                <w:rFonts w:hint="eastAsia" w:ascii="仿宋" w:hAnsi="仿宋" w:eastAsia="仿宋" w:cs="仿宋"/>
                <w:color w:val="000000"/>
              </w:rPr>
              <w:t>Z-2-3</w:t>
            </w:r>
          </w:p>
        </w:tc>
        <w:tc>
          <w:tcPr>
            <w:tcW w:w="5097" w:type="dxa"/>
            <w:tcBorders>
              <w:top w:val="nil"/>
              <w:left w:val="single" w:color="auto" w:sz="4" w:space="0"/>
              <w:bottom w:val="single" w:color="auto" w:sz="4" w:space="0"/>
              <w:right w:val="single" w:color="auto" w:sz="4" w:space="0"/>
            </w:tcBorders>
            <w:vAlign w:val="center"/>
          </w:tcPr>
          <w:p w14:paraId="46ED7280">
            <w:pPr>
              <w:jc w:val="both"/>
              <w:rPr>
                <w:rFonts w:ascii="仿宋" w:hAnsi="仿宋" w:eastAsia="仿宋" w:cs="仿宋"/>
                <w:color w:val="000000"/>
              </w:rPr>
            </w:pPr>
            <w:r>
              <w:rPr>
                <w:rFonts w:hint="eastAsia" w:ascii="仿宋" w:hAnsi="仿宋" w:eastAsia="仿宋" w:cs="仿宋"/>
                <w:color w:val="000000"/>
              </w:rPr>
              <w:t>发起机构资产证券化业务管理办法摘要--明确发起机构资产证券化业务的制度和流程，包括但不限于对业务管理办法的总述、相关参与机构描述、各部门职责、资产证券化业务发起的内部流程等。</w:t>
            </w:r>
          </w:p>
        </w:tc>
        <w:tc>
          <w:tcPr>
            <w:tcW w:w="919" w:type="dxa"/>
            <w:tcBorders>
              <w:top w:val="nil"/>
              <w:left w:val="nil"/>
              <w:bottom w:val="single" w:color="auto" w:sz="4" w:space="0"/>
              <w:right w:val="single" w:color="auto" w:sz="4" w:space="0"/>
            </w:tcBorders>
            <w:noWrap/>
            <w:vAlign w:val="center"/>
          </w:tcPr>
          <w:p w14:paraId="3774778E">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2CB817E0">
            <w:pPr>
              <w:jc w:val="both"/>
              <w:rPr>
                <w:rFonts w:ascii="仿宋" w:hAnsi="仿宋" w:eastAsia="仿宋" w:cs="仿宋"/>
                <w:color w:val="000000"/>
              </w:rPr>
            </w:pPr>
          </w:p>
        </w:tc>
      </w:tr>
      <w:tr w14:paraId="0A256BC6">
        <w:tblPrEx>
          <w:tblCellMar>
            <w:top w:w="0" w:type="dxa"/>
            <w:left w:w="108" w:type="dxa"/>
            <w:bottom w:w="0" w:type="dxa"/>
            <w:right w:w="108" w:type="dxa"/>
          </w:tblCellMar>
        </w:tblPrEx>
        <w:trPr>
          <w:trHeight w:val="2160" w:hRule="atLeast"/>
        </w:trPr>
        <w:tc>
          <w:tcPr>
            <w:tcW w:w="1168" w:type="dxa"/>
            <w:tcBorders>
              <w:top w:val="nil"/>
              <w:left w:val="single" w:color="auto" w:sz="4" w:space="0"/>
              <w:bottom w:val="single" w:color="auto" w:sz="4" w:space="0"/>
              <w:right w:val="single" w:color="auto" w:sz="4" w:space="0"/>
            </w:tcBorders>
            <w:noWrap/>
            <w:vAlign w:val="center"/>
          </w:tcPr>
          <w:p w14:paraId="2A53841C">
            <w:pPr>
              <w:jc w:val="both"/>
              <w:rPr>
                <w:rFonts w:ascii="仿宋" w:hAnsi="仿宋" w:eastAsia="仿宋" w:cs="仿宋"/>
                <w:color w:val="000000"/>
              </w:rPr>
            </w:pPr>
            <w:r>
              <w:rPr>
                <w:rFonts w:hint="eastAsia" w:ascii="仿宋" w:hAnsi="仿宋" w:eastAsia="仿宋" w:cs="仿宋"/>
                <w:color w:val="000000"/>
              </w:rPr>
              <w:t>Z-2-4</w:t>
            </w:r>
          </w:p>
        </w:tc>
        <w:tc>
          <w:tcPr>
            <w:tcW w:w="5097" w:type="dxa"/>
            <w:tcBorders>
              <w:top w:val="nil"/>
              <w:left w:val="single" w:color="auto" w:sz="4" w:space="0"/>
              <w:bottom w:val="single" w:color="auto" w:sz="4" w:space="0"/>
              <w:right w:val="single" w:color="auto" w:sz="4" w:space="0"/>
            </w:tcBorders>
            <w:vAlign w:val="center"/>
          </w:tcPr>
          <w:p w14:paraId="149D8064">
            <w:pPr>
              <w:jc w:val="both"/>
              <w:rPr>
                <w:rFonts w:ascii="仿宋" w:hAnsi="仿宋" w:eastAsia="仿宋" w:cs="仿宋"/>
                <w:color w:val="000000"/>
              </w:rPr>
            </w:pPr>
            <w:r>
              <w:rPr>
                <w:rFonts w:hint="eastAsia" w:ascii="仿宋" w:hAnsi="仿宋" w:eastAsia="仿宋" w:cs="仿宋"/>
                <w:color w:val="000000"/>
              </w:rPr>
              <w:t>发起机构资产证券化业务操作规程摘要--明确发起机构资产证券化业务的具体操作规程，包括但不限于对操作规程的总述、发起机构启动资产证券化业务的具体操作流程，例如基础资产池构建及尽职调查、交易结构设计、法律文件准备、定价发行、投资管理及会计处理、证券化信贷资产质量管理、风险监督与管理、合同管理等内容。</w:t>
            </w:r>
          </w:p>
        </w:tc>
        <w:tc>
          <w:tcPr>
            <w:tcW w:w="919" w:type="dxa"/>
            <w:tcBorders>
              <w:top w:val="nil"/>
              <w:left w:val="nil"/>
              <w:bottom w:val="single" w:color="auto" w:sz="4" w:space="0"/>
              <w:right w:val="single" w:color="auto" w:sz="4" w:space="0"/>
            </w:tcBorders>
            <w:noWrap/>
            <w:vAlign w:val="center"/>
          </w:tcPr>
          <w:p w14:paraId="0E85EFD4">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6B005DAA">
            <w:pPr>
              <w:jc w:val="both"/>
              <w:rPr>
                <w:rFonts w:ascii="仿宋" w:hAnsi="仿宋" w:eastAsia="仿宋" w:cs="仿宋"/>
                <w:color w:val="000000"/>
              </w:rPr>
            </w:pPr>
          </w:p>
        </w:tc>
      </w:tr>
      <w:tr w14:paraId="4533124A">
        <w:tblPrEx>
          <w:tblCellMar>
            <w:top w:w="0" w:type="dxa"/>
            <w:left w:w="108" w:type="dxa"/>
            <w:bottom w:w="0" w:type="dxa"/>
            <w:right w:w="108" w:type="dxa"/>
          </w:tblCellMar>
        </w:tblPrEx>
        <w:trPr>
          <w:trHeight w:val="1620" w:hRule="atLeast"/>
        </w:trPr>
        <w:tc>
          <w:tcPr>
            <w:tcW w:w="1168" w:type="dxa"/>
            <w:tcBorders>
              <w:top w:val="nil"/>
              <w:left w:val="single" w:color="auto" w:sz="4" w:space="0"/>
              <w:bottom w:val="single" w:color="auto" w:sz="4" w:space="0"/>
              <w:right w:val="single" w:color="auto" w:sz="4" w:space="0"/>
            </w:tcBorders>
            <w:noWrap/>
            <w:vAlign w:val="center"/>
          </w:tcPr>
          <w:p w14:paraId="745A918F">
            <w:pPr>
              <w:jc w:val="both"/>
              <w:rPr>
                <w:rFonts w:ascii="仿宋" w:hAnsi="仿宋" w:eastAsia="仿宋" w:cs="仿宋"/>
                <w:color w:val="000000"/>
              </w:rPr>
            </w:pPr>
            <w:r>
              <w:rPr>
                <w:rFonts w:hint="eastAsia" w:ascii="仿宋" w:hAnsi="仿宋" w:eastAsia="仿宋" w:cs="仿宋"/>
                <w:color w:val="000000"/>
              </w:rPr>
              <w:t>Z-2-5</w:t>
            </w:r>
          </w:p>
        </w:tc>
        <w:tc>
          <w:tcPr>
            <w:tcW w:w="5097" w:type="dxa"/>
            <w:tcBorders>
              <w:top w:val="nil"/>
              <w:left w:val="single" w:color="auto" w:sz="4" w:space="0"/>
              <w:bottom w:val="single" w:color="auto" w:sz="4" w:space="0"/>
              <w:right w:val="single" w:color="auto" w:sz="4" w:space="0"/>
            </w:tcBorders>
            <w:vAlign w:val="center"/>
          </w:tcPr>
          <w:p w14:paraId="1C159972">
            <w:pPr>
              <w:jc w:val="both"/>
              <w:rPr>
                <w:rFonts w:ascii="仿宋" w:hAnsi="仿宋" w:eastAsia="仿宋" w:cs="仿宋"/>
                <w:color w:val="000000"/>
              </w:rPr>
            </w:pPr>
            <w:r>
              <w:rPr>
                <w:rFonts w:hint="eastAsia" w:ascii="仿宋" w:hAnsi="仿宋" w:eastAsia="仿宋" w:cs="仿宋"/>
                <w:color w:val="000000"/>
              </w:rPr>
              <w:t>发起机构相关类型贷款</w:t>
            </w:r>
            <w:r>
              <w:rPr>
                <w:rStyle w:val="17"/>
                <w:rFonts w:hint="eastAsia" w:ascii="仿宋" w:hAnsi="仿宋" w:eastAsia="仿宋" w:cs="仿宋"/>
                <w:color w:val="000000"/>
              </w:rPr>
              <w:footnoteReference w:id="2"/>
            </w:r>
            <w:r>
              <w:rPr>
                <w:rFonts w:hint="eastAsia" w:ascii="仿宋" w:hAnsi="仿宋" w:eastAsia="仿宋" w:cs="仿宋"/>
                <w:color w:val="000000"/>
              </w:rPr>
              <w:t>管理办法摘要--明确发起机构作为资产的提供方，其贷款形成的标准、程序、以及其他影响贷款质量的制度规定，可包括对管理办法的总述、各部门职责与分工、贷款形成程序、风控政策、内部评级制度或授信内部评分的标准、授信评审标准（包括借款人评审、项目评审等）、贷后管理办法、五级分类的划分标准等。</w:t>
            </w:r>
          </w:p>
        </w:tc>
        <w:tc>
          <w:tcPr>
            <w:tcW w:w="919" w:type="dxa"/>
            <w:tcBorders>
              <w:top w:val="nil"/>
              <w:left w:val="nil"/>
              <w:bottom w:val="single" w:color="auto" w:sz="4" w:space="0"/>
              <w:right w:val="single" w:color="auto" w:sz="4" w:space="0"/>
            </w:tcBorders>
            <w:noWrap/>
            <w:vAlign w:val="center"/>
          </w:tcPr>
          <w:p w14:paraId="6543011D">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4F2A79B8">
            <w:pPr>
              <w:jc w:val="both"/>
              <w:rPr>
                <w:rFonts w:ascii="仿宋" w:hAnsi="仿宋" w:eastAsia="仿宋" w:cs="仿宋"/>
                <w:color w:val="000000"/>
              </w:rPr>
            </w:pPr>
          </w:p>
        </w:tc>
      </w:tr>
      <w:tr w14:paraId="006F76F1">
        <w:tblPrEx>
          <w:tblCellMar>
            <w:top w:w="0" w:type="dxa"/>
            <w:left w:w="108" w:type="dxa"/>
            <w:bottom w:w="0" w:type="dxa"/>
            <w:right w:w="108" w:type="dxa"/>
          </w:tblCellMar>
        </w:tblPrEx>
        <w:trPr>
          <w:trHeight w:val="1620" w:hRule="atLeast"/>
        </w:trPr>
        <w:tc>
          <w:tcPr>
            <w:tcW w:w="1168" w:type="dxa"/>
            <w:tcBorders>
              <w:top w:val="nil"/>
              <w:left w:val="single" w:color="auto" w:sz="4" w:space="0"/>
              <w:bottom w:val="single" w:color="auto" w:sz="4" w:space="0"/>
              <w:right w:val="single" w:color="auto" w:sz="4" w:space="0"/>
            </w:tcBorders>
            <w:noWrap/>
            <w:vAlign w:val="center"/>
          </w:tcPr>
          <w:p w14:paraId="02D94B51">
            <w:pPr>
              <w:jc w:val="both"/>
              <w:rPr>
                <w:rFonts w:ascii="仿宋" w:hAnsi="仿宋" w:eastAsia="仿宋" w:cs="仿宋"/>
                <w:color w:val="000000"/>
              </w:rPr>
            </w:pPr>
            <w:r>
              <w:rPr>
                <w:rFonts w:hint="eastAsia" w:ascii="仿宋" w:hAnsi="仿宋" w:eastAsia="仿宋" w:cs="仿宋"/>
                <w:color w:val="000000"/>
              </w:rPr>
              <w:t>Z-2-6</w:t>
            </w:r>
          </w:p>
        </w:tc>
        <w:tc>
          <w:tcPr>
            <w:tcW w:w="5097" w:type="dxa"/>
            <w:tcBorders>
              <w:top w:val="nil"/>
              <w:left w:val="single" w:color="auto" w:sz="4" w:space="0"/>
              <w:bottom w:val="single" w:color="auto" w:sz="4" w:space="0"/>
              <w:right w:val="single" w:color="auto" w:sz="4" w:space="0"/>
            </w:tcBorders>
            <w:vAlign w:val="center"/>
          </w:tcPr>
          <w:p w14:paraId="717EB407">
            <w:pPr>
              <w:jc w:val="both"/>
              <w:rPr>
                <w:rFonts w:ascii="仿宋" w:hAnsi="仿宋" w:eastAsia="仿宋" w:cs="仿宋"/>
                <w:color w:val="000000"/>
              </w:rPr>
            </w:pPr>
            <w:r>
              <w:rPr>
                <w:rFonts w:hint="eastAsia" w:ascii="仿宋" w:hAnsi="仿宋" w:eastAsia="仿宋" w:cs="仿宋"/>
              </w:rPr>
              <w:t>贷款服务机构资产证券化不良贷款相关服务管理办法摘要--贷款服务机构不良资产证券化贷款服务相关管理办法等可能影响资产池后续管理质量的相关制度介绍，可包括内部责任分工、服务流程、突发事件处理机制、管理资产池的原则、与管理贷款服务机构自有资产的异同等。</w:t>
            </w:r>
          </w:p>
        </w:tc>
        <w:tc>
          <w:tcPr>
            <w:tcW w:w="919" w:type="dxa"/>
            <w:tcBorders>
              <w:top w:val="nil"/>
              <w:left w:val="nil"/>
              <w:bottom w:val="single" w:color="auto" w:sz="4" w:space="0"/>
              <w:right w:val="single" w:color="auto" w:sz="4" w:space="0"/>
            </w:tcBorders>
            <w:noWrap/>
            <w:vAlign w:val="center"/>
          </w:tcPr>
          <w:p w14:paraId="158FC54F">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3B9128F1">
            <w:pPr>
              <w:jc w:val="both"/>
              <w:rPr>
                <w:rFonts w:ascii="仿宋" w:hAnsi="仿宋" w:eastAsia="仿宋" w:cs="仿宋"/>
                <w:color w:val="000000"/>
              </w:rPr>
            </w:pPr>
          </w:p>
        </w:tc>
      </w:tr>
      <w:tr w14:paraId="1D3E0811">
        <w:tblPrEx>
          <w:tblCellMar>
            <w:top w:w="0" w:type="dxa"/>
            <w:left w:w="108" w:type="dxa"/>
            <w:bottom w:w="0" w:type="dxa"/>
            <w:right w:w="108" w:type="dxa"/>
          </w:tblCellMar>
        </w:tblPrEx>
        <w:trPr>
          <w:trHeight w:val="557" w:hRule="atLeast"/>
        </w:trPr>
        <w:tc>
          <w:tcPr>
            <w:tcW w:w="1168" w:type="dxa"/>
            <w:tcBorders>
              <w:top w:val="nil"/>
              <w:left w:val="single" w:color="auto" w:sz="4" w:space="0"/>
              <w:bottom w:val="single" w:color="auto" w:sz="4" w:space="0"/>
              <w:right w:val="single" w:color="auto" w:sz="4" w:space="0"/>
            </w:tcBorders>
            <w:noWrap/>
            <w:vAlign w:val="center"/>
          </w:tcPr>
          <w:p w14:paraId="39726543">
            <w:pPr>
              <w:jc w:val="both"/>
              <w:rPr>
                <w:rFonts w:ascii="仿宋" w:hAnsi="仿宋" w:eastAsia="仿宋" w:cs="仿宋"/>
                <w:color w:val="000000"/>
              </w:rPr>
            </w:pPr>
            <w:r>
              <w:rPr>
                <w:rFonts w:hint="eastAsia" w:ascii="仿宋" w:hAnsi="仿宋" w:eastAsia="仿宋" w:cs="仿宋"/>
                <w:color w:val="000000"/>
              </w:rPr>
              <w:t>Z-2-7</w:t>
            </w:r>
          </w:p>
        </w:tc>
        <w:tc>
          <w:tcPr>
            <w:tcW w:w="5097" w:type="dxa"/>
            <w:tcBorders>
              <w:top w:val="single" w:color="auto" w:sz="4" w:space="0"/>
              <w:left w:val="nil"/>
              <w:bottom w:val="single" w:color="auto" w:sz="4" w:space="0"/>
              <w:right w:val="single" w:color="auto" w:sz="4" w:space="0"/>
            </w:tcBorders>
            <w:vAlign w:val="center"/>
          </w:tcPr>
          <w:p w14:paraId="05B258C1">
            <w:pPr>
              <w:jc w:val="both"/>
              <w:rPr>
                <w:rFonts w:ascii="仿宋" w:hAnsi="仿宋" w:eastAsia="仿宋" w:cs="仿宋"/>
                <w:color w:val="000000"/>
              </w:rPr>
            </w:pPr>
            <w:r>
              <w:rPr>
                <w:rFonts w:hint="eastAsia" w:ascii="仿宋" w:hAnsi="仿宋" w:eastAsia="仿宋" w:cs="仿宋"/>
                <w:color w:val="000000"/>
              </w:rPr>
              <w:t>受托机构对信托财产的投资管理安排--明确受托机构对信托财产的具体投资管理安排，包括但不限于受托机构对信托财产账户中的资金进行投资运用的投资范围、标准、原则及方式等。</w:t>
            </w:r>
          </w:p>
        </w:tc>
        <w:tc>
          <w:tcPr>
            <w:tcW w:w="919" w:type="dxa"/>
            <w:tcBorders>
              <w:top w:val="single" w:color="auto" w:sz="4" w:space="0"/>
              <w:left w:val="nil"/>
              <w:bottom w:val="single" w:color="auto" w:sz="4" w:space="0"/>
              <w:right w:val="single" w:color="auto" w:sz="4" w:space="0"/>
            </w:tcBorders>
            <w:noWrap/>
            <w:vAlign w:val="center"/>
          </w:tcPr>
          <w:p w14:paraId="77E13E46">
            <w:pPr>
              <w:jc w:val="both"/>
              <w:rPr>
                <w:rFonts w:ascii="仿宋" w:hAnsi="仿宋" w:eastAsia="仿宋" w:cs="仿宋"/>
                <w:color w:val="000000"/>
              </w:rPr>
            </w:pPr>
          </w:p>
        </w:tc>
        <w:tc>
          <w:tcPr>
            <w:tcW w:w="1258" w:type="dxa"/>
            <w:tcBorders>
              <w:top w:val="nil"/>
              <w:left w:val="nil"/>
              <w:bottom w:val="single" w:color="auto" w:sz="4" w:space="0"/>
              <w:right w:val="single" w:color="auto" w:sz="4" w:space="0"/>
            </w:tcBorders>
            <w:noWrap/>
            <w:vAlign w:val="center"/>
          </w:tcPr>
          <w:p w14:paraId="3B7A175D">
            <w:pPr>
              <w:jc w:val="both"/>
              <w:rPr>
                <w:rFonts w:ascii="仿宋" w:hAnsi="仿宋" w:eastAsia="仿宋" w:cs="仿宋"/>
                <w:color w:val="000000"/>
              </w:rPr>
            </w:pPr>
          </w:p>
        </w:tc>
      </w:tr>
      <w:tr w14:paraId="74D2EBD3">
        <w:tblPrEx>
          <w:tblCellMar>
            <w:top w:w="0" w:type="dxa"/>
            <w:left w:w="108" w:type="dxa"/>
            <w:bottom w:w="0" w:type="dxa"/>
            <w:right w:w="108" w:type="dxa"/>
          </w:tblCellMar>
        </w:tblPrEx>
        <w:trPr>
          <w:trHeight w:val="557" w:hRule="atLeast"/>
        </w:trPr>
        <w:tc>
          <w:tcPr>
            <w:tcW w:w="1168" w:type="dxa"/>
            <w:tcBorders>
              <w:top w:val="nil"/>
              <w:left w:val="single" w:color="auto" w:sz="4" w:space="0"/>
              <w:bottom w:val="single" w:color="auto" w:sz="4" w:space="0"/>
              <w:right w:val="single" w:color="auto" w:sz="4" w:space="0"/>
            </w:tcBorders>
            <w:noWrap/>
            <w:vAlign w:val="center"/>
          </w:tcPr>
          <w:p w14:paraId="61D33CA9">
            <w:pPr>
              <w:jc w:val="both"/>
              <w:rPr>
                <w:rFonts w:ascii="仿宋" w:hAnsi="仿宋" w:eastAsia="仿宋" w:cs="仿宋"/>
                <w:color w:val="000000"/>
              </w:rPr>
            </w:pPr>
            <w:r>
              <w:rPr>
                <w:rFonts w:hint="eastAsia" w:ascii="仿宋" w:hAnsi="仿宋" w:eastAsia="仿宋" w:cs="仿宋"/>
                <w:color w:val="000000"/>
              </w:rPr>
              <w:t>Z-2-8</w:t>
            </w:r>
          </w:p>
        </w:tc>
        <w:tc>
          <w:tcPr>
            <w:tcW w:w="5097" w:type="dxa"/>
            <w:tcBorders>
              <w:top w:val="single" w:color="auto" w:sz="4" w:space="0"/>
              <w:left w:val="nil"/>
              <w:bottom w:val="single" w:color="auto" w:sz="4" w:space="0"/>
              <w:right w:val="single" w:color="auto" w:sz="4" w:space="0"/>
            </w:tcBorders>
            <w:vAlign w:val="center"/>
          </w:tcPr>
          <w:p w14:paraId="11E645B1">
            <w:pPr>
              <w:jc w:val="both"/>
              <w:rPr>
                <w:rFonts w:ascii="仿宋" w:hAnsi="仿宋" w:eastAsia="仿宋" w:cs="仿宋"/>
                <w:color w:val="000000"/>
              </w:rPr>
            </w:pPr>
            <w:r>
              <w:rPr>
                <w:rFonts w:hint="eastAsia" w:ascii="仿宋" w:hAnsi="仿宋" w:eastAsia="仿宋" w:cs="仿宋"/>
                <w:color w:val="000000"/>
              </w:rPr>
              <w:t>资产池实际处置机构选聘、管理相关办法及其证券化不良贷款处置相关管理办法摘要——若贷款服务机构将资产池实际处置工作进一步委托的，需披露委托清收机构的选聘、管理、考核等的相关原则、机制；另有条件的可披露实际委托处置机构证券化资产处置相关管理办法摘要，如各部门主要职责及分工、不良贷款的处置流程及手段、不良贷款处置的考核和监督机制等。</w:t>
            </w:r>
          </w:p>
        </w:tc>
        <w:tc>
          <w:tcPr>
            <w:tcW w:w="919" w:type="dxa"/>
            <w:tcBorders>
              <w:top w:val="single" w:color="auto" w:sz="4" w:space="0"/>
              <w:left w:val="nil"/>
              <w:bottom w:val="single" w:color="auto" w:sz="4" w:space="0"/>
              <w:right w:val="single" w:color="auto" w:sz="4" w:space="0"/>
            </w:tcBorders>
            <w:noWrap/>
            <w:vAlign w:val="center"/>
          </w:tcPr>
          <w:p w14:paraId="76634A37">
            <w:pPr>
              <w:jc w:val="both"/>
              <w:rPr>
                <w:rFonts w:ascii="仿宋" w:hAnsi="仿宋" w:eastAsia="仿宋" w:cs="仿宋"/>
                <w:color w:val="000000"/>
              </w:rPr>
            </w:pPr>
          </w:p>
        </w:tc>
        <w:tc>
          <w:tcPr>
            <w:tcW w:w="1258" w:type="dxa"/>
            <w:tcBorders>
              <w:top w:val="nil"/>
              <w:left w:val="nil"/>
              <w:bottom w:val="single" w:color="auto" w:sz="4" w:space="0"/>
              <w:right w:val="single" w:color="auto" w:sz="4" w:space="0"/>
            </w:tcBorders>
            <w:noWrap/>
            <w:vAlign w:val="center"/>
          </w:tcPr>
          <w:p w14:paraId="093FD81A">
            <w:pPr>
              <w:jc w:val="both"/>
              <w:rPr>
                <w:rFonts w:ascii="仿宋" w:hAnsi="仿宋" w:eastAsia="仿宋" w:cs="仿宋"/>
                <w:color w:val="000000"/>
              </w:rPr>
            </w:pPr>
          </w:p>
        </w:tc>
      </w:tr>
      <w:tr w14:paraId="3ED759F0">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7325E5FF">
            <w:pPr>
              <w:jc w:val="both"/>
              <w:rPr>
                <w:rFonts w:ascii="仿宋" w:hAnsi="仿宋" w:eastAsia="仿宋" w:cs="仿宋"/>
                <w:b/>
                <w:color w:val="000000"/>
              </w:rPr>
            </w:pPr>
            <w:r>
              <w:rPr>
                <w:rFonts w:hint="eastAsia" w:ascii="仿宋" w:hAnsi="仿宋" w:eastAsia="仿宋" w:cs="仿宋"/>
                <w:b/>
                <w:color w:val="000000"/>
              </w:rPr>
              <w:t>Z-3</w:t>
            </w:r>
          </w:p>
        </w:tc>
        <w:tc>
          <w:tcPr>
            <w:tcW w:w="5097" w:type="dxa"/>
            <w:tcBorders>
              <w:top w:val="nil"/>
              <w:left w:val="nil"/>
              <w:bottom w:val="single" w:color="auto" w:sz="4" w:space="0"/>
              <w:right w:val="single" w:color="auto" w:sz="4" w:space="0"/>
            </w:tcBorders>
            <w:vAlign w:val="center"/>
          </w:tcPr>
          <w:p w14:paraId="4A1F8EE7">
            <w:pPr>
              <w:jc w:val="both"/>
              <w:rPr>
                <w:rFonts w:ascii="仿宋" w:hAnsi="仿宋" w:eastAsia="仿宋" w:cs="仿宋"/>
                <w:b/>
                <w:color w:val="000000"/>
              </w:rPr>
            </w:pPr>
            <w:r>
              <w:rPr>
                <w:rFonts w:hint="eastAsia" w:ascii="仿宋" w:hAnsi="仿宋" w:eastAsia="仿宋" w:cs="仿宋"/>
                <w:b/>
                <w:color w:val="000000"/>
              </w:rPr>
              <w:t>发起机构及中介机构相关经验及历史数据</w:t>
            </w:r>
          </w:p>
        </w:tc>
        <w:tc>
          <w:tcPr>
            <w:tcW w:w="919" w:type="dxa"/>
            <w:tcBorders>
              <w:top w:val="nil"/>
              <w:left w:val="nil"/>
              <w:bottom w:val="single" w:color="auto" w:sz="4" w:space="0"/>
              <w:right w:val="single" w:color="auto" w:sz="4" w:space="0"/>
            </w:tcBorders>
            <w:noWrap/>
            <w:vAlign w:val="center"/>
          </w:tcPr>
          <w:p w14:paraId="21579F5F">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7FCD87C9">
            <w:pPr>
              <w:jc w:val="both"/>
              <w:rPr>
                <w:rFonts w:ascii="仿宋" w:hAnsi="仿宋" w:eastAsia="仿宋" w:cs="仿宋"/>
                <w:b/>
                <w:color w:val="000000"/>
              </w:rPr>
            </w:pPr>
          </w:p>
        </w:tc>
      </w:tr>
      <w:tr w14:paraId="756C742A">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1C48C4CE">
            <w:pPr>
              <w:jc w:val="both"/>
              <w:rPr>
                <w:rFonts w:ascii="仿宋" w:hAnsi="仿宋" w:eastAsia="仿宋" w:cs="仿宋"/>
                <w:color w:val="000000"/>
              </w:rPr>
            </w:pPr>
            <w:r>
              <w:rPr>
                <w:rFonts w:hint="eastAsia" w:ascii="仿宋" w:hAnsi="仿宋" w:eastAsia="仿宋" w:cs="仿宋"/>
                <w:color w:val="000000"/>
              </w:rPr>
              <w:t>Z-3-1</w:t>
            </w:r>
          </w:p>
        </w:tc>
        <w:tc>
          <w:tcPr>
            <w:tcW w:w="5097" w:type="dxa"/>
            <w:tcBorders>
              <w:top w:val="nil"/>
              <w:left w:val="nil"/>
              <w:bottom w:val="single" w:color="auto" w:sz="4" w:space="0"/>
              <w:right w:val="single" w:color="auto" w:sz="4" w:space="0"/>
            </w:tcBorders>
            <w:vAlign w:val="center"/>
          </w:tcPr>
          <w:p w14:paraId="55B1C0FE">
            <w:pPr>
              <w:jc w:val="both"/>
              <w:rPr>
                <w:rFonts w:ascii="仿宋" w:hAnsi="仿宋" w:eastAsia="仿宋" w:cs="仿宋"/>
                <w:b/>
                <w:color w:val="000000"/>
              </w:rPr>
            </w:pPr>
            <w:r>
              <w:rPr>
                <w:rFonts w:hint="eastAsia" w:ascii="仿宋" w:hAnsi="仿宋" w:eastAsia="仿宋" w:cs="仿宋"/>
                <w:color w:val="000000"/>
              </w:rPr>
              <w:t>发起机构不良贷款相关情况、不良贷款证券化相关经验及历史数据--发起机构近五年</w:t>
            </w:r>
            <w:r>
              <w:rPr>
                <w:rStyle w:val="17"/>
                <w:rFonts w:hint="eastAsia" w:ascii="仿宋" w:hAnsi="仿宋" w:eastAsia="仿宋" w:cs="仿宋"/>
                <w:color w:val="000000"/>
              </w:rPr>
              <w:footnoteReference w:id="3"/>
            </w:r>
            <w:r>
              <w:rPr>
                <w:rFonts w:hint="eastAsia" w:ascii="仿宋" w:hAnsi="仿宋" w:eastAsia="仿宋" w:cs="仿宋"/>
                <w:color w:val="000000"/>
              </w:rPr>
              <w:t>与证券化不良贷款相关</w:t>
            </w:r>
            <w:r>
              <w:rPr>
                <w:rStyle w:val="17"/>
                <w:rFonts w:hint="eastAsia" w:ascii="仿宋" w:hAnsi="仿宋" w:eastAsia="仿宋" w:cs="仿宋"/>
                <w:color w:val="000000"/>
              </w:rPr>
              <w:footnoteReference w:id="4"/>
            </w:r>
            <w:r>
              <w:rPr>
                <w:rFonts w:hint="eastAsia" w:ascii="仿宋" w:hAnsi="仿宋" w:eastAsia="仿宋" w:cs="仿宋"/>
                <w:color w:val="000000"/>
              </w:rPr>
              <w:t>的贷款情况（包括但不限于五级分类贷款金额及占比、不良率</w:t>
            </w:r>
            <w:r>
              <w:rPr>
                <w:rStyle w:val="17"/>
                <w:rFonts w:hint="eastAsia" w:ascii="仿宋" w:hAnsi="仿宋" w:eastAsia="仿宋" w:cs="仿宋"/>
                <w:color w:val="000000"/>
              </w:rPr>
              <w:footnoteReference w:id="5"/>
            </w:r>
            <w:r>
              <w:rPr>
                <w:rFonts w:hint="eastAsia" w:ascii="仿宋" w:hAnsi="仿宋" w:eastAsia="仿宋" w:cs="仿宋"/>
                <w:color w:val="000000"/>
              </w:rPr>
              <w:t>等），资产证券化相关的各类型不良贷款的历史整体回收统计数据（如入池资产属于同一类业务，但分为信用类/抵押类，请按信用类/抵押类分别披露该类贷款的历史整体回收统计数据），以及曾担任不良贷款证券化产品发起机构的经验（如有）、同类型资产在银行间市场发行产品的基本情况及兑付情况（如有）等。</w:t>
            </w:r>
          </w:p>
        </w:tc>
        <w:tc>
          <w:tcPr>
            <w:tcW w:w="919" w:type="dxa"/>
            <w:tcBorders>
              <w:top w:val="nil"/>
              <w:left w:val="nil"/>
              <w:bottom w:val="single" w:color="auto" w:sz="4" w:space="0"/>
              <w:right w:val="single" w:color="auto" w:sz="4" w:space="0"/>
            </w:tcBorders>
            <w:noWrap/>
            <w:vAlign w:val="center"/>
          </w:tcPr>
          <w:p w14:paraId="437AA91C">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43716BD7">
            <w:pPr>
              <w:jc w:val="both"/>
              <w:rPr>
                <w:rFonts w:ascii="仿宋" w:hAnsi="仿宋" w:eastAsia="仿宋" w:cs="仿宋"/>
                <w:color w:val="000000"/>
              </w:rPr>
            </w:pPr>
            <w:r>
              <w:rPr>
                <w:rFonts w:hint="eastAsia" w:ascii="仿宋" w:hAnsi="仿宋" w:eastAsia="仿宋" w:cs="仿宋"/>
                <w:color w:val="000000"/>
              </w:rPr>
              <w:t>不良贷款历史整体回收统计数据表格模板见附件2</w:t>
            </w:r>
            <w:r>
              <w:rPr>
                <w:rStyle w:val="17"/>
                <w:rFonts w:hint="eastAsia" w:ascii="仿宋" w:hAnsi="仿宋" w:eastAsia="仿宋" w:cs="仿宋"/>
                <w:color w:val="000000"/>
              </w:rPr>
              <w:footnoteReference w:id="6"/>
            </w:r>
            <w:r>
              <w:rPr>
                <w:rFonts w:hint="eastAsia" w:ascii="仿宋" w:hAnsi="仿宋" w:eastAsia="仿宋" w:cs="仿宋"/>
                <w:color w:val="000000"/>
              </w:rPr>
              <w:t>、附件3，同类型资产在银行间市场发行产品的基本情况及兑付情况模板见附件4</w:t>
            </w:r>
          </w:p>
        </w:tc>
      </w:tr>
      <w:tr w14:paraId="2FE2D22B">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29ADA1F0">
            <w:pPr>
              <w:jc w:val="both"/>
              <w:rPr>
                <w:rFonts w:ascii="仿宋" w:hAnsi="仿宋" w:eastAsia="仿宋" w:cs="仿宋"/>
                <w:color w:val="000000"/>
              </w:rPr>
            </w:pPr>
            <w:r>
              <w:rPr>
                <w:rFonts w:hint="eastAsia" w:ascii="仿宋" w:hAnsi="仿宋" w:eastAsia="仿宋" w:cs="仿宋"/>
                <w:color w:val="000000"/>
              </w:rPr>
              <w:t>Z-3-2</w:t>
            </w:r>
          </w:p>
        </w:tc>
        <w:tc>
          <w:tcPr>
            <w:tcW w:w="5097" w:type="dxa"/>
            <w:tcBorders>
              <w:top w:val="nil"/>
              <w:left w:val="nil"/>
              <w:bottom w:val="single" w:color="auto" w:sz="4" w:space="0"/>
              <w:right w:val="single" w:color="auto" w:sz="4" w:space="0"/>
            </w:tcBorders>
            <w:vAlign w:val="center"/>
          </w:tcPr>
          <w:p w14:paraId="15524CC2">
            <w:pPr>
              <w:jc w:val="both"/>
              <w:rPr>
                <w:rFonts w:ascii="仿宋" w:hAnsi="仿宋" w:eastAsia="仿宋" w:cs="仿宋"/>
                <w:b/>
                <w:color w:val="000000"/>
              </w:rPr>
            </w:pPr>
            <w:r>
              <w:rPr>
                <w:rFonts w:hint="eastAsia" w:ascii="仿宋" w:hAnsi="仿宋" w:eastAsia="仿宋" w:cs="仿宋"/>
                <w:color w:val="000000"/>
              </w:rPr>
              <w:t>贷款服务机构不良贷款证券化相关经验（如有）及历史数据--贷款服务机构曾担任不良贷款证券化产品贷款服务机构的经验（如有），例如相关证券的兑付情况、处置回收情况等。</w:t>
            </w:r>
          </w:p>
        </w:tc>
        <w:tc>
          <w:tcPr>
            <w:tcW w:w="919" w:type="dxa"/>
            <w:tcBorders>
              <w:top w:val="nil"/>
              <w:left w:val="nil"/>
              <w:bottom w:val="single" w:color="auto" w:sz="4" w:space="0"/>
              <w:right w:val="single" w:color="auto" w:sz="4" w:space="0"/>
            </w:tcBorders>
            <w:noWrap/>
            <w:vAlign w:val="center"/>
          </w:tcPr>
          <w:p w14:paraId="011E21DA">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0AF873E1">
            <w:pPr>
              <w:jc w:val="both"/>
              <w:rPr>
                <w:rFonts w:ascii="仿宋" w:hAnsi="仿宋" w:eastAsia="仿宋" w:cs="仿宋"/>
                <w:b/>
                <w:color w:val="000000"/>
              </w:rPr>
            </w:pPr>
          </w:p>
        </w:tc>
      </w:tr>
      <w:tr w14:paraId="718C6196">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73343CDC">
            <w:pPr>
              <w:jc w:val="both"/>
              <w:rPr>
                <w:rFonts w:ascii="仿宋" w:hAnsi="仿宋" w:eastAsia="仿宋" w:cs="仿宋"/>
                <w:color w:val="000000"/>
              </w:rPr>
            </w:pPr>
            <w:r>
              <w:rPr>
                <w:rFonts w:hint="eastAsia" w:ascii="仿宋" w:hAnsi="仿宋" w:eastAsia="仿宋" w:cs="仿宋"/>
                <w:color w:val="000000"/>
              </w:rPr>
              <w:t>Z-3-3</w:t>
            </w:r>
          </w:p>
        </w:tc>
        <w:tc>
          <w:tcPr>
            <w:tcW w:w="5097" w:type="dxa"/>
            <w:tcBorders>
              <w:top w:val="nil"/>
              <w:left w:val="nil"/>
              <w:bottom w:val="single" w:color="auto" w:sz="4" w:space="0"/>
              <w:right w:val="single" w:color="auto" w:sz="4" w:space="0"/>
            </w:tcBorders>
            <w:vAlign w:val="center"/>
          </w:tcPr>
          <w:p w14:paraId="2BF801F6">
            <w:pPr>
              <w:jc w:val="both"/>
              <w:rPr>
                <w:rFonts w:ascii="仿宋" w:hAnsi="仿宋" w:eastAsia="仿宋" w:cs="仿宋"/>
                <w:b/>
                <w:color w:val="000000"/>
              </w:rPr>
            </w:pPr>
            <w:r>
              <w:rPr>
                <w:rFonts w:hint="eastAsia" w:ascii="仿宋" w:hAnsi="仿宋" w:eastAsia="仿宋" w:cs="仿宋"/>
                <w:color w:val="000000"/>
              </w:rPr>
              <w:t>资产服务顾问</w:t>
            </w:r>
            <w:r>
              <w:rPr>
                <w:rFonts w:hint="eastAsia" w:ascii="仿宋" w:hAnsi="仿宋" w:eastAsia="仿宋" w:cs="仿宋"/>
              </w:rPr>
              <w:t>（</w:t>
            </w:r>
            <w:r>
              <w:rPr>
                <w:rFonts w:hint="eastAsia" w:ascii="仿宋" w:hAnsi="仿宋" w:eastAsia="仿宋" w:cs="仿宋"/>
                <w:color w:val="000000"/>
              </w:rPr>
              <w:t>如有</w:t>
            </w:r>
            <w:r>
              <w:rPr>
                <w:rFonts w:hint="eastAsia" w:ascii="仿宋" w:hAnsi="仿宋" w:eastAsia="仿宋" w:cs="仿宋"/>
              </w:rPr>
              <w:t>）</w:t>
            </w:r>
            <w:r>
              <w:rPr>
                <w:rFonts w:hint="eastAsia" w:ascii="仿宋" w:hAnsi="仿宋" w:eastAsia="仿宋" w:cs="仿宋"/>
                <w:color w:val="000000"/>
              </w:rPr>
              <w:t>不良贷款证券化相关经验介绍—曾担任资产服务顾问的经验介绍（如有），例如相关证券中承担的义务、权利等。</w:t>
            </w:r>
          </w:p>
        </w:tc>
        <w:tc>
          <w:tcPr>
            <w:tcW w:w="919" w:type="dxa"/>
            <w:tcBorders>
              <w:top w:val="nil"/>
              <w:left w:val="nil"/>
              <w:bottom w:val="single" w:color="auto" w:sz="4" w:space="0"/>
              <w:right w:val="single" w:color="auto" w:sz="4" w:space="0"/>
            </w:tcBorders>
            <w:noWrap/>
            <w:vAlign w:val="center"/>
          </w:tcPr>
          <w:p w14:paraId="3FDBD064">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2B01E507">
            <w:pPr>
              <w:jc w:val="both"/>
              <w:rPr>
                <w:rFonts w:ascii="仿宋" w:hAnsi="仿宋" w:eastAsia="仿宋" w:cs="仿宋"/>
                <w:b/>
                <w:color w:val="000000"/>
              </w:rPr>
            </w:pPr>
          </w:p>
        </w:tc>
      </w:tr>
      <w:tr w14:paraId="0EC37A3B">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4C66E7B6">
            <w:pPr>
              <w:jc w:val="both"/>
              <w:rPr>
                <w:rFonts w:ascii="仿宋" w:hAnsi="仿宋" w:eastAsia="仿宋" w:cs="仿宋"/>
                <w:color w:val="000000"/>
              </w:rPr>
            </w:pPr>
            <w:r>
              <w:rPr>
                <w:rFonts w:hint="eastAsia" w:ascii="仿宋" w:hAnsi="仿宋" w:eastAsia="仿宋" w:cs="仿宋"/>
                <w:color w:val="000000"/>
              </w:rPr>
              <w:t>Z-3-4</w:t>
            </w:r>
          </w:p>
        </w:tc>
        <w:tc>
          <w:tcPr>
            <w:tcW w:w="5097" w:type="dxa"/>
            <w:tcBorders>
              <w:top w:val="nil"/>
              <w:left w:val="nil"/>
              <w:bottom w:val="single" w:color="auto" w:sz="4" w:space="0"/>
              <w:right w:val="single" w:color="auto" w:sz="4" w:space="0"/>
            </w:tcBorders>
            <w:vAlign w:val="center"/>
          </w:tcPr>
          <w:p w14:paraId="5C962320">
            <w:pPr>
              <w:jc w:val="both"/>
              <w:rPr>
                <w:rFonts w:ascii="仿宋" w:hAnsi="仿宋" w:eastAsia="仿宋" w:cs="仿宋"/>
                <w:b/>
                <w:color w:val="000000"/>
              </w:rPr>
            </w:pPr>
            <w:r>
              <w:rPr>
                <w:rFonts w:hint="eastAsia" w:ascii="仿宋" w:hAnsi="仿宋" w:eastAsia="仿宋" w:cs="仿宋"/>
                <w:color w:val="000000"/>
              </w:rPr>
              <w:t>资产池实际处置机构不良贷款处置经验及相关历史数据——若贷款服务机构将资产池实际处置工作进一步委托的，应披露贷款服务机构与实际处置机构整体业务合作情况，包括</w:t>
            </w:r>
            <w:r>
              <w:rPr>
                <w:rFonts w:hint="eastAsia" w:ascii="仿宋" w:hAnsi="仿宋" w:eastAsia="仿宋" w:cs="仿宋"/>
                <w:color w:val="000000"/>
                <w:lang w:eastAsia="zh-CN"/>
              </w:rPr>
              <w:t>但</w:t>
            </w:r>
            <w:r>
              <w:rPr>
                <w:rFonts w:hint="eastAsia" w:ascii="仿宋" w:hAnsi="仿宋" w:eastAsia="仿宋" w:cs="仿宋"/>
                <w:color w:val="000000"/>
              </w:rPr>
              <w:t>不限于合作处置机构数量、区域分布情况等；另有条件的需披露实际处置机构不良贷款处置团队情况（包括但不限于人员设置情况、从事不良贷款处置的年限、主要服务客户、不良贷款处置经验等）以及曾担任不良贷款证券化产品实际处置责任的经验（如有）。</w:t>
            </w:r>
          </w:p>
        </w:tc>
        <w:tc>
          <w:tcPr>
            <w:tcW w:w="919" w:type="dxa"/>
            <w:tcBorders>
              <w:top w:val="nil"/>
              <w:left w:val="nil"/>
              <w:bottom w:val="single" w:color="auto" w:sz="4" w:space="0"/>
              <w:right w:val="single" w:color="auto" w:sz="4" w:space="0"/>
            </w:tcBorders>
            <w:noWrap/>
            <w:vAlign w:val="center"/>
          </w:tcPr>
          <w:p w14:paraId="58F072E5">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4CCDD85C">
            <w:pPr>
              <w:jc w:val="both"/>
              <w:rPr>
                <w:rFonts w:ascii="仿宋" w:hAnsi="仿宋" w:eastAsia="仿宋" w:cs="仿宋"/>
                <w:b/>
                <w:color w:val="000000"/>
              </w:rPr>
            </w:pPr>
          </w:p>
        </w:tc>
      </w:tr>
      <w:tr w14:paraId="773C0E1E">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42809770">
            <w:pPr>
              <w:jc w:val="both"/>
              <w:rPr>
                <w:rFonts w:ascii="仿宋" w:hAnsi="仿宋" w:eastAsia="仿宋" w:cs="仿宋"/>
                <w:b/>
                <w:color w:val="000000"/>
              </w:rPr>
            </w:pPr>
            <w:r>
              <w:rPr>
                <w:rFonts w:hint="eastAsia" w:ascii="仿宋" w:hAnsi="仿宋" w:eastAsia="仿宋" w:cs="仿宋"/>
                <w:b/>
                <w:color w:val="000000"/>
              </w:rPr>
              <w:t>Z-4</w:t>
            </w:r>
          </w:p>
        </w:tc>
        <w:tc>
          <w:tcPr>
            <w:tcW w:w="5097" w:type="dxa"/>
            <w:tcBorders>
              <w:top w:val="nil"/>
              <w:left w:val="nil"/>
              <w:bottom w:val="single" w:color="auto" w:sz="4" w:space="0"/>
              <w:right w:val="single" w:color="auto" w:sz="4" w:space="0"/>
            </w:tcBorders>
            <w:vAlign w:val="center"/>
          </w:tcPr>
          <w:p w14:paraId="2466A73B">
            <w:pPr>
              <w:jc w:val="both"/>
              <w:rPr>
                <w:rFonts w:ascii="仿宋" w:hAnsi="仿宋" w:eastAsia="仿宋" w:cs="仿宋"/>
                <w:b/>
                <w:color w:val="000000"/>
              </w:rPr>
            </w:pPr>
            <w:r>
              <w:rPr>
                <w:rFonts w:hint="eastAsia" w:ascii="仿宋" w:hAnsi="仿宋" w:eastAsia="仿宋" w:cs="仿宋"/>
                <w:b/>
                <w:color w:val="000000"/>
              </w:rPr>
              <w:t>交易条款信息</w:t>
            </w:r>
            <w:r>
              <w:rPr>
                <w:rStyle w:val="17"/>
                <w:rFonts w:hint="eastAsia" w:ascii="仿宋" w:hAnsi="仿宋" w:eastAsia="仿宋" w:cs="仿宋"/>
                <w:b/>
                <w:color w:val="000000"/>
              </w:rPr>
              <w:footnoteReference w:id="7"/>
            </w:r>
          </w:p>
        </w:tc>
        <w:tc>
          <w:tcPr>
            <w:tcW w:w="919" w:type="dxa"/>
            <w:tcBorders>
              <w:top w:val="nil"/>
              <w:left w:val="nil"/>
              <w:bottom w:val="single" w:color="auto" w:sz="4" w:space="0"/>
              <w:right w:val="single" w:color="auto" w:sz="4" w:space="0"/>
            </w:tcBorders>
            <w:noWrap/>
            <w:vAlign w:val="center"/>
          </w:tcPr>
          <w:p w14:paraId="748D6A1D">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1F82A59F">
            <w:pPr>
              <w:jc w:val="both"/>
              <w:rPr>
                <w:rFonts w:ascii="仿宋" w:hAnsi="仿宋" w:eastAsia="仿宋" w:cs="仿宋"/>
                <w:b/>
                <w:color w:val="000000"/>
              </w:rPr>
            </w:pPr>
          </w:p>
        </w:tc>
      </w:tr>
      <w:tr w14:paraId="325AAF7E">
        <w:tblPrEx>
          <w:tblCellMar>
            <w:top w:w="0" w:type="dxa"/>
            <w:left w:w="108" w:type="dxa"/>
            <w:bottom w:w="0" w:type="dxa"/>
            <w:right w:w="108" w:type="dxa"/>
          </w:tblCellMar>
        </w:tblPrEx>
        <w:trPr>
          <w:trHeight w:val="1080" w:hRule="atLeast"/>
        </w:trPr>
        <w:tc>
          <w:tcPr>
            <w:tcW w:w="1168" w:type="dxa"/>
            <w:tcBorders>
              <w:top w:val="nil"/>
              <w:left w:val="single" w:color="auto" w:sz="4" w:space="0"/>
              <w:bottom w:val="single" w:color="auto" w:sz="4" w:space="0"/>
              <w:right w:val="single" w:color="auto" w:sz="4" w:space="0"/>
            </w:tcBorders>
            <w:noWrap/>
            <w:vAlign w:val="center"/>
          </w:tcPr>
          <w:p w14:paraId="3D56E4BB">
            <w:pPr>
              <w:jc w:val="both"/>
              <w:rPr>
                <w:rFonts w:ascii="仿宋" w:hAnsi="仿宋" w:eastAsia="仿宋" w:cs="仿宋"/>
                <w:color w:val="000000"/>
              </w:rPr>
            </w:pPr>
            <w:r>
              <w:rPr>
                <w:rFonts w:hint="eastAsia" w:ascii="仿宋" w:hAnsi="仿宋" w:eastAsia="仿宋" w:cs="仿宋"/>
                <w:color w:val="000000"/>
              </w:rPr>
              <w:t>Z-4-1</w:t>
            </w:r>
          </w:p>
        </w:tc>
        <w:tc>
          <w:tcPr>
            <w:tcW w:w="5097" w:type="dxa"/>
            <w:tcBorders>
              <w:top w:val="nil"/>
              <w:left w:val="single" w:color="auto" w:sz="4" w:space="0"/>
              <w:bottom w:val="single" w:color="auto" w:sz="4" w:space="0"/>
              <w:right w:val="single" w:color="auto" w:sz="4" w:space="0"/>
            </w:tcBorders>
            <w:vAlign w:val="center"/>
          </w:tcPr>
          <w:p w14:paraId="7832D976">
            <w:pPr>
              <w:jc w:val="both"/>
              <w:rPr>
                <w:rFonts w:ascii="仿宋" w:hAnsi="仿宋" w:eastAsia="仿宋" w:cs="仿宋"/>
                <w:color w:val="000000"/>
              </w:rPr>
            </w:pPr>
            <w:r>
              <w:rPr>
                <w:rFonts w:hint="eastAsia" w:ascii="仿宋" w:hAnsi="仿宋" w:eastAsia="仿宋" w:cs="仿宋"/>
                <w:color w:val="000000"/>
              </w:rPr>
              <w:t>交易结构及各当事方的主要权利与义务--明确各参与机构在交易文件中确定的权利和义务。包含受托机构、发起机构、贷款服务机构、资金保管机构、主承销商、联席主承销商（如有）、资产服务顾问（如有）、资产评估机构（如有）等。</w:t>
            </w:r>
          </w:p>
        </w:tc>
        <w:tc>
          <w:tcPr>
            <w:tcW w:w="919" w:type="dxa"/>
            <w:tcBorders>
              <w:top w:val="nil"/>
              <w:left w:val="nil"/>
              <w:bottom w:val="single" w:color="auto" w:sz="4" w:space="0"/>
              <w:right w:val="single" w:color="auto" w:sz="4" w:space="0"/>
            </w:tcBorders>
            <w:noWrap/>
            <w:vAlign w:val="center"/>
          </w:tcPr>
          <w:p w14:paraId="09721053">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719BBA98">
            <w:pPr>
              <w:jc w:val="both"/>
              <w:rPr>
                <w:rFonts w:ascii="仿宋" w:hAnsi="仿宋" w:eastAsia="仿宋" w:cs="仿宋"/>
                <w:color w:val="000000"/>
              </w:rPr>
            </w:pPr>
          </w:p>
        </w:tc>
      </w:tr>
      <w:tr w14:paraId="3F138250">
        <w:tblPrEx>
          <w:tblCellMar>
            <w:top w:w="0" w:type="dxa"/>
            <w:left w:w="108" w:type="dxa"/>
            <w:bottom w:w="0" w:type="dxa"/>
            <w:right w:w="108" w:type="dxa"/>
          </w:tblCellMar>
        </w:tblPrEx>
        <w:trPr>
          <w:trHeight w:val="1080" w:hRule="atLeast"/>
        </w:trPr>
        <w:tc>
          <w:tcPr>
            <w:tcW w:w="1168" w:type="dxa"/>
            <w:tcBorders>
              <w:top w:val="nil"/>
              <w:left w:val="single" w:color="auto" w:sz="4" w:space="0"/>
              <w:bottom w:val="single" w:color="auto" w:sz="4" w:space="0"/>
              <w:right w:val="single" w:color="auto" w:sz="4" w:space="0"/>
            </w:tcBorders>
            <w:noWrap/>
            <w:vAlign w:val="center"/>
          </w:tcPr>
          <w:p w14:paraId="0E53B810">
            <w:pPr>
              <w:jc w:val="both"/>
              <w:rPr>
                <w:rFonts w:ascii="仿宋" w:hAnsi="仿宋" w:eastAsia="仿宋" w:cs="仿宋"/>
                <w:color w:val="000000"/>
              </w:rPr>
            </w:pPr>
            <w:r>
              <w:rPr>
                <w:rFonts w:hint="eastAsia" w:ascii="仿宋" w:hAnsi="仿宋" w:eastAsia="仿宋" w:cs="仿宋"/>
                <w:color w:val="000000"/>
              </w:rPr>
              <w:t>Z-4-2</w:t>
            </w:r>
          </w:p>
        </w:tc>
        <w:tc>
          <w:tcPr>
            <w:tcW w:w="5097" w:type="dxa"/>
            <w:tcBorders>
              <w:top w:val="nil"/>
              <w:left w:val="single" w:color="auto" w:sz="4" w:space="0"/>
              <w:bottom w:val="single" w:color="auto" w:sz="4" w:space="0"/>
              <w:right w:val="single" w:color="auto" w:sz="4" w:space="0"/>
            </w:tcBorders>
            <w:vAlign w:val="center"/>
          </w:tcPr>
          <w:p w14:paraId="0A16339E">
            <w:pPr>
              <w:jc w:val="both"/>
              <w:rPr>
                <w:rFonts w:ascii="仿宋" w:hAnsi="仿宋" w:eastAsia="仿宋" w:cs="仿宋"/>
                <w:color w:val="000000"/>
              </w:rPr>
            </w:pPr>
            <w:r>
              <w:rPr>
                <w:rFonts w:hint="eastAsia" w:ascii="仿宋" w:hAnsi="仿宋" w:eastAsia="仿宋" w:cs="仿宋"/>
                <w:color w:val="000000"/>
              </w:rPr>
              <w:t>信托账户设置--交易中账户的开立情况，如回收款账户、处置费用账户、可分配现金账户及各二级账户下三级账户的设置情况等。各项目可根据实际情况披露，发行环节如有调整，需要在发行说明书中说明。</w:t>
            </w:r>
          </w:p>
        </w:tc>
        <w:tc>
          <w:tcPr>
            <w:tcW w:w="919" w:type="dxa"/>
            <w:tcBorders>
              <w:top w:val="nil"/>
              <w:left w:val="nil"/>
              <w:bottom w:val="single" w:color="auto" w:sz="4" w:space="0"/>
              <w:right w:val="single" w:color="auto" w:sz="4" w:space="0"/>
            </w:tcBorders>
            <w:noWrap/>
            <w:vAlign w:val="center"/>
          </w:tcPr>
          <w:p w14:paraId="6424E679">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363B95B1">
            <w:pPr>
              <w:jc w:val="both"/>
              <w:rPr>
                <w:rFonts w:ascii="仿宋" w:hAnsi="仿宋" w:eastAsia="仿宋" w:cs="仿宋"/>
                <w:color w:val="000000"/>
              </w:rPr>
            </w:pPr>
          </w:p>
        </w:tc>
      </w:tr>
      <w:tr w14:paraId="76A99BDB">
        <w:tblPrEx>
          <w:tblCellMar>
            <w:top w:w="0" w:type="dxa"/>
            <w:left w:w="108" w:type="dxa"/>
            <w:bottom w:w="0" w:type="dxa"/>
            <w:right w:w="108" w:type="dxa"/>
          </w:tblCellMar>
        </w:tblPrEx>
        <w:trPr>
          <w:trHeight w:val="1080" w:hRule="atLeast"/>
        </w:trPr>
        <w:tc>
          <w:tcPr>
            <w:tcW w:w="1168" w:type="dxa"/>
            <w:tcBorders>
              <w:top w:val="nil"/>
              <w:left w:val="single" w:color="auto" w:sz="4" w:space="0"/>
              <w:bottom w:val="single" w:color="auto" w:sz="4" w:space="0"/>
              <w:right w:val="single" w:color="auto" w:sz="4" w:space="0"/>
            </w:tcBorders>
            <w:noWrap/>
            <w:vAlign w:val="center"/>
          </w:tcPr>
          <w:p w14:paraId="134319F0">
            <w:pPr>
              <w:jc w:val="both"/>
              <w:rPr>
                <w:rFonts w:ascii="仿宋" w:hAnsi="仿宋" w:eastAsia="仿宋" w:cs="仿宋"/>
                <w:color w:val="000000"/>
              </w:rPr>
            </w:pPr>
            <w:r>
              <w:rPr>
                <w:rFonts w:hint="eastAsia" w:ascii="仿宋" w:hAnsi="仿宋" w:eastAsia="仿宋" w:cs="仿宋"/>
                <w:color w:val="000000"/>
              </w:rPr>
              <w:t>Z-4-3</w:t>
            </w:r>
          </w:p>
        </w:tc>
        <w:tc>
          <w:tcPr>
            <w:tcW w:w="5097" w:type="dxa"/>
            <w:tcBorders>
              <w:top w:val="nil"/>
              <w:left w:val="single" w:color="auto" w:sz="4" w:space="0"/>
              <w:bottom w:val="single" w:color="auto" w:sz="4" w:space="0"/>
              <w:right w:val="single" w:color="auto" w:sz="4" w:space="0"/>
            </w:tcBorders>
            <w:vAlign w:val="center"/>
          </w:tcPr>
          <w:p w14:paraId="3DBB086D">
            <w:pPr>
              <w:jc w:val="both"/>
              <w:rPr>
                <w:rFonts w:ascii="仿宋" w:hAnsi="仿宋" w:eastAsia="仿宋" w:cs="仿宋"/>
                <w:color w:val="000000"/>
              </w:rPr>
            </w:pPr>
            <w:r>
              <w:rPr>
                <w:rFonts w:hint="eastAsia" w:ascii="仿宋" w:hAnsi="仿宋" w:eastAsia="仿宋" w:cs="仿宋"/>
                <w:color w:val="000000"/>
              </w:rPr>
              <w:t>各交易条款设置—例如回购交易条款、赎回交易条款、终止交易条款等，若在结构设计上涉及到其他类似的交易条款，可按以上规则进行披露。</w:t>
            </w:r>
          </w:p>
        </w:tc>
        <w:tc>
          <w:tcPr>
            <w:tcW w:w="919" w:type="dxa"/>
            <w:tcBorders>
              <w:top w:val="nil"/>
              <w:left w:val="nil"/>
              <w:bottom w:val="single" w:color="auto" w:sz="4" w:space="0"/>
              <w:right w:val="single" w:color="auto" w:sz="4" w:space="0"/>
            </w:tcBorders>
            <w:noWrap/>
            <w:vAlign w:val="center"/>
          </w:tcPr>
          <w:p w14:paraId="1F1ADB40">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3E919184">
            <w:pPr>
              <w:jc w:val="both"/>
              <w:rPr>
                <w:rFonts w:ascii="仿宋" w:hAnsi="仿宋" w:eastAsia="仿宋" w:cs="仿宋"/>
                <w:color w:val="000000"/>
              </w:rPr>
            </w:pPr>
          </w:p>
        </w:tc>
      </w:tr>
      <w:tr w14:paraId="6C97ED7A">
        <w:tblPrEx>
          <w:tblCellMar>
            <w:top w:w="0" w:type="dxa"/>
            <w:left w:w="108" w:type="dxa"/>
            <w:bottom w:w="0" w:type="dxa"/>
            <w:right w:w="108" w:type="dxa"/>
          </w:tblCellMar>
        </w:tblPrEx>
        <w:trPr>
          <w:trHeight w:val="1080" w:hRule="atLeast"/>
        </w:trPr>
        <w:tc>
          <w:tcPr>
            <w:tcW w:w="1168" w:type="dxa"/>
            <w:tcBorders>
              <w:top w:val="nil"/>
              <w:left w:val="single" w:color="auto" w:sz="4" w:space="0"/>
              <w:bottom w:val="single" w:color="auto" w:sz="4" w:space="0"/>
              <w:right w:val="single" w:color="auto" w:sz="4" w:space="0"/>
            </w:tcBorders>
            <w:noWrap/>
            <w:vAlign w:val="center"/>
          </w:tcPr>
          <w:p w14:paraId="619219BF">
            <w:pPr>
              <w:jc w:val="both"/>
              <w:rPr>
                <w:rFonts w:ascii="仿宋" w:hAnsi="仿宋" w:eastAsia="仿宋" w:cs="仿宋"/>
                <w:color w:val="000000"/>
              </w:rPr>
            </w:pPr>
            <w:r>
              <w:rPr>
                <w:rFonts w:hint="eastAsia" w:ascii="仿宋" w:hAnsi="仿宋" w:eastAsia="仿宋" w:cs="仿宋"/>
                <w:color w:val="000000"/>
              </w:rPr>
              <w:t>Z-4-4</w:t>
            </w:r>
          </w:p>
        </w:tc>
        <w:tc>
          <w:tcPr>
            <w:tcW w:w="5097" w:type="dxa"/>
            <w:tcBorders>
              <w:top w:val="nil"/>
              <w:left w:val="single" w:color="auto" w:sz="4" w:space="0"/>
              <w:bottom w:val="single" w:color="auto" w:sz="4" w:space="0"/>
              <w:right w:val="single" w:color="auto" w:sz="4" w:space="0"/>
            </w:tcBorders>
            <w:vAlign w:val="center"/>
          </w:tcPr>
          <w:p w14:paraId="3671F980">
            <w:pPr>
              <w:jc w:val="both"/>
              <w:rPr>
                <w:rFonts w:ascii="仿宋" w:hAnsi="仿宋" w:eastAsia="仿宋" w:cs="仿宋"/>
                <w:color w:val="000000"/>
              </w:rPr>
            </w:pPr>
            <w:r>
              <w:rPr>
                <w:rFonts w:hint="eastAsia" w:ascii="仿宋" w:hAnsi="仿宋" w:eastAsia="仿宋" w:cs="仿宋"/>
                <w:color w:val="000000"/>
              </w:rPr>
              <w:t>各触发条件设置、触发后各方责任及解决机制—例如违约事件触发条件、权利完善事件触发条件、个别通知事件触发条件等触发条件及触发后各方责任、解决机制，若在结构设计上涉及到其他类似的触发条件，可按以上规则进行披露。</w:t>
            </w:r>
          </w:p>
        </w:tc>
        <w:tc>
          <w:tcPr>
            <w:tcW w:w="919" w:type="dxa"/>
            <w:tcBorders>
              <w:top w:val="nil"/>
              <w:left w:val="nil"/>
              <w:bottom w:val="single" w:color="auto" w:sz="4" w:space="0"/>
              <w:right w:val="single" w:color="auto" w:sz="4" w:space="0"/>
            </w:tcBorders>
            <w:noWrap/>
            <w:vAlign w:val="center"/>
          </w:tcPr>
          <w:p w14:paraId="54034360">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740A6CB0">
            <w:pPr>
              <w:jc w:val="both"/>
              <w:rPr>
                <w:rFonts w:ascii="仿宋" w:hAnsi="仿宋" w:eastAsia="仿宋" w:cs="仿宋"/>
                <w:color w:val="000000"/>
              </w:rPr>
            </w:pPr>
          </w:p>
        </w:tc>
      </w:tr>
      <w:tr w14:paraId="4A5BD8B3">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2184D0FD">
            <w:pPr>
              <w:jc w:val="both"/>
              <w:rPr>
                <w:rFonts w:ascii="仿宋" w:hAnsi="仿宋" w:eastAsia="仿宋" w:cs="仿宋"/>
                <w:b/>
                <w:color w:val="000000"/>
              </w:rPr>
            </w:pPr>
            <w:r>
              <w:rPr>
                <w:rFonts w:hint="eastAsia" w:ascii="仿宋" w:hAnsi="仿宋" w:eastAsia="仿宋" w:cs="仿宋"/>
                <w:b/>
                <w:color w:val="000000"/>
              </w:rPr>
              <w:t>Z-5</w:t>
            </w:r>
          </w:p>
        </w:tc>
        <w:tc>
          <w:tcPr>
            <w:tcW w:w="5097" w:type="dxa"/>
            <w:tcBorders>
              <w:top w:val="nil"/>
              <w:left w:val="nil"/>
              <w:bottom w:val="single" w:color="auto" w:sz="4" w:space="0"/>
              <w:right w:val="single" w:color="auto" w:sz="4" w:space="0"/>
            </w:tcBorders>
            <w:vAlign w:val="center"/>
          </w:tcPr>
          <w:p w14:paraId="35D76121">
            <w:pPr>
              <w:jc w:val="both"/>
              <w:rPr>
                <w:rFonts w:ascii="仿宋" w:hAnsi="仿宋" w:eastAsia="仿宋" w:cs="仿宋"/>
                <w:b/>
                <w:color w:val="000000"/>
              </w:rPr>
            </w:pPr>
            <w:r>
              <w:rPr>
                <w:rFonts w:hint="eastAsia" w:ascii="仿宋" w:hAnsi="仿宋" w:eastAsia="仿宋" w:cs="仿宋"/>
                <w:b/>
                <w:color w:val="000000"/>
              </w:rPr>
              <w:t>基础资产筛选标准和资产保证</w:t>
            </w:r>
          </w:p>
        </w:tc>
        <w:tc>
          <w:tcPr>
            <w:tcW w:w="919" w:type="dxa"/>
            <w:tcBorders>
              <w:top w:val="nil"/>
              <w:left w:val="nil"/>
              <w:bottom w:val="single" w:color="auto" w:sz="4" w:space="0"/>
              <w:right w:val="single" w:color="auto" w:sz="4" w:space="0"/>
            </w:tcBorders>
            <w:noWrap/>
            <w:vAlign w:val="center"/>
          </w:tcPr>
          <w:p w14:paraId="76C1F84C">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78CB8245">
            <w:pPr>
              <w:jc w:val="both"/>
              <w:rPr>
                <w:rFonts w:ascii="仿宋" w:hAnsi="仿宋" w:eastAsia="仿宋" w:cs="仿宋"/>
                <w:b/>
                <w:color w:val="000000"/>
              </w:rPr>
            </w:pPr>
          </w:p>
        </w:tc>
      </w:tr>
      <w:tr w14:paraId="7347B5BD">
        <w:tblPrEx>
          <w:tblCellMar>
            <w:top w:w="0" w:type="dxa"/>
            <w:left w:w="108" w:type="dxa"/>
            <w:bottom w:w="0" w:type="dxa"/>
            <w:right w:w="108" w:type="dxa"/>
          </w:tblCellMar>
        </w:tblPrEx>
        <w:trPr>
          <w:trHeight w:val="1288" w:hRule="atLeast"/>
        </w:trPr>
        <w:tc>
          <w:tcPr>
            <w:tcW w:w="1168" w:type="dxa"/>
            <w:tcBorders>
              <w:top w:val="nil"/>
              <w:left w:val="single" w:color="auto" w:sz="4" w:space="0"/>
              <w:bottom w:val="single" w:color="auto" w:sz="4" w:space="0"/>
              <w:right w:val="single" w:color="auto" w:sz="4" w:space="0"/>
            </w:tcBorders>
            <w:noWrap/>
            <w:vAlign w:val="center"/>
          </w:tcPr>
          <w:p w14:paraId="01E58B77">
            <w:pPr>
              <w:jc w:val="both"/>
              <w:rPr>
                <w:rFonts w:ascii="仿宋" w:hAnsi="仿宋" w:eastAsia="仿宋" w:cs="仿宋"/>
                <w:color w:val="000000"/>
              </w:rPr>
            </w:pPr>
            <w:r>
              <w:rPr>
                <w:rFonts w:hint="eastAsia" w:ascii="仿宋" w:hAnsi="仿宋" w:eastAsia="仿宋" w:cs="仿宋"/>
                <w:color w:val="000000"/>
              </w:rPr>
              <w:t>Z-5-1</w:t>
            </w:r>
          </w:p>
        </w:tc>
        <w:tc>
          <w:tcPr>
            <w:tcW w:w="5097" w:type="dxa"/>
            <w:tcBorders>
              <w:top w:val="nil"/>
              <w:left w:val="single" w:color="auto" w:sz="4" w:space="0"/>
              <w:bottom w:val="single" w:color="auto" w:sz="4" w:space="0"/>
              <w:right w:val="single" w:color="auto" w:sz="4" w:space="0"/>
            </w:tcBorders>
            <w:vAlign w:val="center"/>
          </w:tcPr>
          <w:p w14:paraId="475C5DC4">
            <w:pPr>
              <w:jc w:val="both"/>
              <w:rPr>
                <w:rFonts w:ascii="仿宋" w:hAnsi="仿宋" w:eastAsia="仿宋" w:cs="仿宋"/>
                <w:color w:val="000000"/>
              </w:rPr>
            </w:pPr>
            <w:r>
              <w:rPr>
                <w:rFonts w:hint="eastAsia" w:ascii="仿宋" w:hAnsi="仿宋" w:eastAsia="仿宋" w:cs="仿宋"/>
                <w:color w:val="000000"/>
              </w:rPr>
              <w:t>筛选标准--明确该期入池资产的标准，即选定入池资产的硬性标准，不符合该标准的资产应予以赎回，或不能入池。原则上包括但不限于以下信息：债权合法有效性、贷款五级分类、贷款币种、单个借款人在发起机构的同类型贷款是否全部入池</w:t>
            </w:r>
            <w:r>
              <w:rPr>
                <w:rStyle w:val="17"/>
                <w:rFonts w:hint="eastAsia" w:ascii="仿宋" w:hAnsi="仿宋" w:eastAsia="仿宋" w:cs="仿宋"/>
                <w:color w:val="000000"/>
              </w:rPr>
              <w:footnoteReference w:id="8"/>
            </w:r>
            <w:r>
              <w:rPr>
                <w:rFonts w:hint="eastAsia" w:ascii="仿宋" w:hAnsi="仿宋" w:eastAsia="仿宋" w:cs="仿宋"/>
                <w:color w:val="000000"/>
              </w:rPr>
              <w:t>等。</w:t>
            </w:r>
          </w:p>
        </w:tc>
        <w:tc>
          <w:tcPr>
            <w:tcW w:w="919" w:type="dxa"/>
            <w:tcBorders>
              <w:top w:val="nil"/>
              <w:left w:val="nil"/>
              <w:bottom w:val="single" w:color="auto" w:sz="4" w:space="0"/>
              <w:right w:val="single" w:color="auto" w:sz="4" w:space="0"/>
            </w:tcBorders>
            <w:noWrap/>
            <w:vAlign w:val="center"/>
          </w:tcPr>
          <w:p w14:paraId="35CB4ED6">
            <w:pPr>
              <w:jc w:val="both"/>
              <w:rPr>
                <w:rFonts w:ascii="仿宋" w:hAnsi="仿宋" w:eastAsia="仿宋" w:cs="仿宋"/>
                <w:color w:val="000000"/>
              </w:rPr>
            </w:pPr>
          </w:p>
        </w:tc>
        <w:tc>
          <w:tcPr>
            <w:tcW w:w="1258" w:type="dxa"/>
            <w:tcBorders>
              <w:top w:val="nil"/>
              <w:left w:val="single" w:color="auto" w:sz="4" w:space="0"/>
              <w:bottom w:val="single" w:color="auto" w:sz="4" w:space="0"/>
              <w:right w:val="single" w:color="auto" w:sz="4" w:space="0"/>
            </w:tcBorders>
            <w:noWrap/>
            <w:vAlign w:val="center"/>
          </w:tcPr>
          <w:p w14:paraId="738430A6">
            <w:pPr>
              <w:jc w:val="both"/>
              <w:rPr>
                <w:rFonts w:ascii="仿宋" w:hAnsi="仿宋" w:eastAsia="仿宋" w:cs="仿宋"/>
                <w:color w:val="000000"/>
              </w:rPr>
            </w:pPr>
          </w:p>
        </w:tc>
      </w:tr>
      <w:tr w14:paraId="18936E34">
        <w:tblPrEx>
          <w:tblCellMar>
            <w:top w:w="0" w:type="dxa"/>
            <w:left w:w="108" w:type="dxa"/>
            <w:bottom w:w="0" w:type="dxa"/>
            <w:right w:w="108" w:type="dxa"/>
          </w:tblCellMar>
        </w:tblPrEx>
        <w:trPr>
          <w:trHeight w:val="810" w:hRule="atLeast"/>
        </w:trPr>
        <w:tc>
          <w:tcPr>
            <w:tcW w:w="1168" w:type="dxa"/>
            <w:tcBorders>
              <w:top w:val="nil"/>
              <w:left w:val="single" w:color="auto" w:sz="4" w:space="0"/>
              <w:bottom w:val="single" w:color="auto" w:sz="4" w:space="0"/>
              <w:right w:val="single" w:color="auto" w:sz="4" w:space="0"/>
            </w:tcBorders>
            <w:noWrap/>
            <w:vAlign w:val="center"/>
          </w:tcPr>
          <w:p w14:paraId="3207BC44">
            <w:pPr>
              <w:jc w:val="both"/>
              <w:rPr>
                <w:rFonts w:ascii="仿宋" w:hAnsi="仿宋" w:eastAsia="仿宋" w:cs="仿宋"/>
                <w:color w:val="000000"/>
              </w:rPr>
            </w:pPr>
            <w:r>
              <w:rPr>
                <w:rFonts w:hint="eastAsia" w:ascii="仿宋" w:hAnsi="仿宋" w:eastAsia="仿宋" w:cs="仿宋"/>
                <w:color w:val="000000"/>
              </w:rPr>
              <w:t>Z-5-2</w:t>
            </w:r>
          </w:p>
        </w:tc>
        <w:tc>
          <w:tcPr>
            <w:tcW w:w="5097" w:type="dxa"/>
            <w:tcBorders>
              <w:top w:val="single" w:color="auto" w:sz="4" w:space="0"/>
              <w:left w:val="nil"/>
              <w:bottom w:val="single" w:color="auto" w:sz="4" w:space="0"/>
              <w:right w:val="single" w:color="auto" w:sz="4" w:space="0"/>
            </w:tcBorders>
            <w:vAlign w:val="center"/>
          </w:tcPr>
          <w:p w14:paraId="340FBF3E">
            <w:pPr>
              <w:jc w:val="both"/>
              <w:rPr>
                <w:rFonts w:ascii="仿宋" w:hAnsi="仿宋" w:eastAsia="仿宋" w:cs="仿宋"/>
                <w:color w:val="000000"/>
              </w:rPr>
            </w:pPr>
            <w:r>
              <w:rPr>
                <w:rFonts w:hint="eastAsia" w:ascii="仿宋" w:hAnsi="仿宋" w:eastAsia="仿宋" w:cs="仿宋"/>
                <w:color w:val="000000"/>
              </w:rPr>
              <w:t>资产保证--指委托人在约定中所做的关于资产池以及每一笔贷款在初始起算日和信托财产交付日的状况的全部陈述和保证。</w:t>
            </w:r>
          </w:p>
        </w:tc>
        <w:tc>
          <w:tcPr>
            <w:tcW w:w="919" w:type="dxa"/>
            <w:tcBorders>
              <w:top w:val="single" w:color="auto" w:sz="4" w:space="0"/>
              <w:left w:val="nil"/>
              <w:bottom w:val="single" w:color="auto" w:sz="4" w:space="0"/>
              <w:right w:val="single" w:color="auto" w:sz="4" w:space="0"/>
            </w:tcBorders>
            <w:noWrap/>
            <w:vAlign w:val="center"/>
          </w:tcPr>
          <w:p w14:paraId="6473F6AB">
            <w:pPr>
              <w:jc w:val="both"/>
              <w:rPr>
                <w:rFonts w:ascii="仿宋" w:hAnsi="仿宋" w:eastAsia="仿宋" w:cs="仿宋"/>
                <w:color w:val="000000"/>
              </w:rPr>
            </w:pPr>
          </w:p>
        </w:tc>
        <w:tc>
          <w:tcPr>
            <w:tcW w:w="1258" w:type="dxa"/>
            <w:tcBorders>
              <w:top w:val="nil"/>
              <w:left w:val="nil"/>
              <w:bottom w:val="single" w:color="auto" w:sz="4" w:space="0"/>
              <w:right w:val="single" w:color="auto" w:sz="4" w:space="0"/>
            </w:tcBorders>
            <w:noWrap/>
            <w:vAlign w:val="center"/>
          </w:tcPr>
          <w:p w14:paraId="5F7AD36F">
            <w:pPr>
              <w:jc w:val="both"/>
              <w:rPr>
                <w:rFonts w:ascii="仿宋" w:hAnsi="仿宋" w:eastAsia="仿宋" w:cs="仿宋"/>
                <w:color w:val="000000"/>
              </w:rPr>
            </w:pPr>
          </w:p>
        </w:tc>
      </w:tr>
      <w:tr w14:paraId="4DF9C62F">
        <w:tblPrEx>
          <w:tblCellMar>
            <w:top w:w="0" w:type="dxa"/>
            <w:left w:w="108" w:type="dxa"/>
            <w:bottom w:w="0" w:type="dxa"/>
            <w:right w:w="108" w:type="dxa"/>
          </w:tblCellMar>
        </w:tblPrEx>
        <w:trPr>
          <w:trHeight w:val="285" w:hRule="atLeast"/>
        </w:trPr>
        <w:tc>
          <w:tcPr>
            <w:tcW w:w="1168" w:type="dxa"/>
            <w:tcBorders>
              <w:top w:val="nil"/>
              <w:left w:val="single" w:color="auto" w:sz="4" w:space="0"/>
              <w:bottom w:val="single" w:color="auto" w:sz="4" w:space="0"/>
              <w:right w:val="single" w:color="auto" w:sz="4" w:space="0"/>
            </w:tcBorders>
            <w:noWrap/>
            <w:vAlign w:val="center"/>
          </w:tcPr>
          <w:p w14:paraId="334E1ADB">
            <w:pPr>
              <w:jc w:val="both"/>
              <w:rPr>
                <w:rFonts w:ascii="仿宋" w:hAnsi="仿宋" w:eastAsia="仿宋" w:cs="仿宋"/>
                <w:b/>
                <w:color w:val="000000"/>
              </w:rPr>
            </w:pPr>
            <w:r>
              <w:rPr>
                <w:rFonts w:hint="eastAsia" w:ascii="仿宋" w:hAnsi="仿宋" w:eastAsia="仿宋" w:cs="仿宋"/>
                <w:b/>
                <w:color w:val="000000"/>
              </w:rPr>
              <w:t>Z-6</w:t>
            </w:r>
          </w:p>
        </w:tc>
        <w:tc>
          <w:tcPr>
            <w:tcW w:w="5097" w:type="dxa"/>
            <w:tcBorders>
              <w:top w:val="nil"/>
              <w:left w:val="nil"/>
              <w:bottom w:val="single" w:color="auto" w:sz="4" w:space="0"/>
              <w:right w:val="single" w:color="auto" w:sz="4" w:space="0"/>
            </w:tcBorders>
            <w:vAlign w:val="center"/>
          </w:tcPr>
          <w:p w14:paraId="3CD35C65">
            <w:pPr>
              <w:jc w:val="both"/>
              <w:rPr>
                <w:rFonts w:ascii="仿宋" w:hAnsi="仿宋" w:eastAsia="仿宋" w:cs="仿宋"/>
                <w:b/>
                <w:color w:val="000000"/>
              </w:rPr>
            </w:pPr>
            <w:r>
              <w:rPr>
                <w:rFonts w:hint="eastAsia" w:ascii="仿宋" w:hAnsi="仿宋" w:eastAsia="仿宋" w:cs="仿宋"/>
                <w:b/>
                <w:color w:val="000000"/>
              </w:rPr>
              <w:t>信息披露安排</w:t>
            </w:r>
          </w:p>
        </w:tc>
        <w:tc>
          <w:tcPr>
            <w:tcW w:w="919" w:type="dxa"/>
            <w:tcBorders>
              <w:top w:val="nil"/>
              <w:left w:val="nil"/>
              <w:bottom w:val="single" w:color="auto" w:sz="4" w:space="0"/>
              <w:right w:val="single" w:color="auto" w:sz="4" w:space="0"/>
            </w:tcBorders>
            <w:noWrap/>
            <w:vAlign w:val="center"/>
          </w:tcPr>
          <w:p w14:paraId="48A67DD0">
            <w:pPr>
              <w:jc w:val="both"/>
              <w:rPr>
                <w:rFonts w:ascii="仿宋" w:hAnsi="仿宋" w:eastAsia="仿宋" w:cs="仿宋"/>
                <w:b/>
                <w:color w:val="000000"/>
              </w:rPr>
            </w:pPr>
          </w:p>
        </w:tc>
        <w:tc>
          <w:tcPr>
            <w:tcW w:w="1258" w:type="dxa"/>
            <w:tcBorders>
              <w:top w:val="nil"/>
              <w:left w:val="nil"/>
              <w:bottom w:val="single" w:color="auto" w:sz="4" w:space="0"/>
              <w:right w:val="single" w:color="auto" w:sz="4" w:space="0"/>
            </w:tcBorders>
            <w:noWrap/>
            <w:vAlign w:val="center"/>
          </w:tcPr>
          <w:p w14:paraId="73E3A031">
            <w:pPr>
              <w:jc w:val="both"/>
              <w:rPr>
                <w:rFonts w:ascii="仿宋" w:hAnsi="仿宋" w:eastAsia="仿宋" w:cs="仿宋"/>
                <w:b/>
                <w:color w:val="000000"/>
              </w:rPr>
            </w:pPr>
          </w:p>
        </w:tc>
      </w:tr>
      <w:tr w14:paraId="6C428D77">
        <w:tblPrEx>
          <w:tblCellMar>
            <w:top w:w="0" w:type="dxa"/>
            <w:left w:w="108" w:type="dxa"/>
            <w:bottom w:w="0" w:type="dxa"/>
            <w:right w:w="108" w:type="dxa"/>
          </w:tblCellMar>
        </w:tblPrEx>
        <w:trPr>
          <w:trHeight w:val="1080" w:hRule="atLeast"/>
        </w:trPr>
        <w:tc>
          <w:tcPr>
            <w:tcW w:w="1168" w:type="dxa"/>
            <w:tcBorders>
              <w:top w:val="nil"/>
              <w:left w:val="single" w:color="auto" w:sz="4" w:space="0"/>
              <w:bottom w:val="single" w:color="auto" w:sz="4" w:space="0"/>
              <w:right w:val="single" w:color="auto" w:sz="4" w:space="0"/>
            </w:tcBorders>
            <w:noWrap/>
            <w:vAlign w:val="center"/>
          </w:tcPr>
          <w:p w14:paraId="4AB33ABC">
            <w:pPr>
              <w:jc w:val="both"/>
              <w:rPr>
                <w:rFonts w:ascii="仿宋" w:hAnsi="仿宋" w:eastAsia="仿宋" w:cs="仿宋"/>
                <w:color w:val="000000"/>
              </w:rPr>
            </w:pPr>
            <w:r>
              <w:rPr>
                <w:rFonts w:hint="eastAsia" w:ascii="仿宋" w:hAnsi="仿宋" w:eastAsia="仿宋" w:cs="仿宋"/>
                <w:color w:val="000000"/>
              </w:rPr>
              <w:t>Z-6-1</w:t>
            </w:r>
          </w:p>
        </w:tc>
        <w:tc>
          <w:tcPr>
            <w:tcW w:w="5097" w:type="dxa"/>
            <w:tcBorders>
              <w:top w:val="nil"/>
              <w:left w:val="nil"/>
              <w:bottom w:val="single" w:color="auto" w:sz="4" w:space="0"/>
              <w:right w:val="single" w:color="auto" w:sz="4" w:space="0"/>
            </w:tcBorders>
            <w:vAlign w:val="center"/>
          </w:tcPr>
          <w:p w14:paraId="6041E5F2">
            <w:pPr>
              <w:jc w:val="both"/>
              <w:rPr>
                <w:rFonts w:ascii="仿宋" w:hAnsi="仿宋" w:eastAsia="仿宋" w:cs="仿宋"/>
                <w:color w:val="000000"/>
              </w:rPr>
            </w:pPr>
            <w:r>
              <w:rPr>
                <w:rFonts w:hint="eastAsia" w:ascii="仿宋" w:hAnsi="仿宋" w:eastAsia="仿宋" w:cs="仿宋"/>
                <w:color w:val="000000"/>
              </w:rPr>
              <w:t>发行及存续期的信息披露要求、披露方式、途径及内容，明确特殊事件发生后的信息披露机制，以及其他影响产品风险及投资者判断的信息披露安排。</w:t>
            </w:r>
          </w:p>
        </w:tc>
        <w:tc>
          <w:tcPr>
            <w:tcW w:w="919" w:type="dxa"/>
            <w:tcBorders>
              <w:top w:val="nil"/>
              <w:left w:val="nil"/>
              <w:bottom w:val="single" w:color="auto" w:sz="4" w:space="0"/>
              <w:right w:val="single" w:color="auto" w:sz="4" w:space="0"/>
            </w:tcBorders>
            <w:noWrap/>
            <w:vAlign w:val="center"/>
          </w:tcPr>
          <w:p w14:paraId="562566E7">
            <w:pPr>
              <w:jc w:val="both"/>
              <w:rPr>
                <w:rFonts w:ascii="仿宋" w:hAnsi="仿宋" w:eastAsia="仿宋" w:cs="仿宋"/>
                <w:color w:val="000000"/>
              </w:rPr>
            </w:pPr>
          </w:p>
        </w:tc>
        <w:tc>
          <w:tcPr>
            <w:tcW w:w="1258" w:type="dxa"/>
            <w:tcBorders>
              <w:top w:val="nil"/>
              <w:left w:val="nil"/>
              <w:bottom w:val="single" w:color="auto" w:sz="4" w:space="0"/>
              <w:right w:val="single" w:color="auto" w:sz="4" w:space="0"/>
            </w:tcBorders>
            <w:noWrap/>
            <w:vAlign w:val="center"/>
          </w:tcPr>
          <w:p w14:paraId="78126963">
            <w:pPr>
              <w:jc w:val="both"/>
              <w:rPr>
                <w:rFonts w:ascii="仿宋" w:hAnsi="仿宋" w:eastAsia="仿宋" w:cs="仿宋"/>
                <w:color w:val="000000"/>
              </w:rPr>
            </w:pPr>
          </w:p>
        </w:tc>
      </w:tr>
    </w:tbl>
    <w:p w14:paraId="4B16F52C">
      <w:pPr>
        <w:jc w:val="both"/>
        <w:rPr>
          <w:rFonts w:ascii="仿宋" w:hAnsi="仿宋" w:eastAsia="仿宋" w:cs="仿宋"/>
          <w:color w:val="000000"/>
        </w:rPr>
      </w:pPr>
    </w:p>
    <w:p w14:paraId="430B9026">
      <w:pPr>
        <w:jc w:val="both"/>
        <w:rPr>
          <w:rFonts w:ascii="仿宋" w:hAnsi="仿宋" w:eastAsia="仿宋" w:cs="仿宋"/>
          <w:b/>
          <w:color w:val="000000"/>
        </w:rPr>
      </w:pPr>
    </w:p>
    <w:p w14:paraId="6D5F3B3C">
      <w:pPr>
        <w:jc w:val="both"/>
        <w:rPr>
          <w:rFonts w:ascii="仿宋" w:hAnsi="仿宋" w:eastAsia="仿宋" w:cs="仿宋"/>
          <w:b/>
          <w:color w:val="000000"/>
        </w:rPr>
      </w:pPr>
      <w:r>
        <w:rPr>
          <w:rFonts w:hint="eastAsia" w:ascii="仿宋" w:hAnsi="仿宋" w:eastAsia="仿宋" w:cs="仿宋"/>
          <w:b/>
          <w:color w:val="000000"/>
        </w:rPr>
        <w:t>附件1：注册基本信息</w:t>
      </w:r>
    </w:p>
    <w:tbl>
      <w:tblPr>
        <w:tblStyle w:val="10"/>
        <w:tblW w:w="5000" w:type="pct"/>
        <w:tblInd w:w="0" w:type="dxa"/>
        <w:tblLayout w:type="autofit"/>
        <w:tblCellMar>
          <w:top w:w="0" w:type="dxa"/>
          <w:left w:w="108" w:type="dxa"/>
          <w:bottom w:w="0" w:type="dxa"/>
          <w:right w:w="108" w:type="dxa"/>
        </w:tblCellMar>
      </w:tblPr>
      <w:tblGrid>
        <w:gridCol w:w="3935"/>
        <w:gridCol w:w="4587"/>
      </w:tblGrid>
      <w:tr w14:paraId="48A20E44">
        <w:tblPrEx>
          <w:tblCellMar>
            <w:top w:w="0" w:type="dxa"/>
            <w:left w:w="108" w:type="dxa"/>
            <w:bottom w:w="0" w:type="dxa"/>
            <w:right w:w="108" w:type="dxa"/>
          </w:tblCellMar>
        </w:tblPrEx>
        <w:trPr>
          <w:trHeight w:val="270" w:hRule="atLeast"/>
        </w:trPr>
        <w:tc>
          <w:tcPr>
            <w:tcW w:w="2309" w:type="pct"/>
            <w:tcBorders>
              <w:top w:val="single" w:color="auto" w:sz="4" w:space="0"/>
              <w:left w:val="single" w:color="auto" w:sz="4" w:space="0"/>
              <w:bottom w:val="single" w:color="auto" w:sz="4" w:space="0"/>
              <w:right w:val="single" w:color="auto" w:sz="4" w:space="0"/>
            </w:tcBorders>
            <w:noWrap/>
            <w:vAlign w:val="center"/>
          </w:tcPr>
          <w:p w14:paraId="3317F64A">
            <w:pPr>
              <w:jc w:val="both"/>
              <w:rPr>
                <w:rFonts w:ascii="仿宋" w:hAnsi="仿宋" w:eastAsia="仿宋" w:cs="仿宋"/>
                <w:color w:val="000000"/>
                <w:sz w:val="20"/>
                <w:szCs w:val="20"/>
              </w:rPr>
            </w:pPr>
            <w:r>
              <w:rPr>
                <w:rFonts w:hint="eastAsia" w:ascii="仿宋" w:hAnsi="仿宋" w:eastAsia="仿宋" w:cs="仿宋"/>
                <w:color w:val="000000"/>
                <w:sz w:val="20"/>
                <w:szCs w:val="20"/>
              </w:rPr>
              <w:t>信贷资产支持证券名称</w:t>
            </w:r>
          </w:p>
        </w:tc>
        <w:tc>
          <w:tcPr>
            <w:tcW w:w="2691" w:type="pct"/>
            <w:tcBorders>
              <w:top w:val="single" w:color="auto" w:sz="4" w:space="0"/>
              <w:left w:val="nil"/>
              <w:bottom w:val="single" w:color="auto" w:sz="4" w:space="0"/>
              <w:right w:val="single" w:color="auto" w:sz="4" w:space="0"/>
            </w:tcBorders>
            <w:noWrap/>
            <w:vAlign w:val="center"/>
          </w:tcPr>
          <w:p w14:paraId="177A8EA9">
            <w:pPr>
              <w:jc w:val="both"/>
              <w:rPr>
                <w:rFonts w:ascii="仿宋" w:hAnsi="仿宋" w:eastAsia="仿宋" w:cs="仿宋"/>
                <w:color w:val="000000"/>
                <w:sz w:val="22"/>
                <w:szCs w:val="22"/>
              </w:rPr>
            </w:pPr>
          </w:p>
        </w:tc>
      </w:tr>
      <w:tr w14:paraId="6D47E4A5">
        <w:tblPrEx>
          <w:tblCellMar>
            <w:top w:w="0" w:type="dxa"/>
            <w:left w:w="108" w:type="dxa"/>
            <w:bottom w:w="0" w:type="dxa"/>
            <w:right w:w="108" w:type="dxa"/>
          </w:tblCellMar>
        </w:tblPrEx>
        <w:trPr>
          <w:trHeight w:val="270" w:hRule="atLeast"/>
        </w:trPr>
        <w:tc>
          <w:tcPr>
            <w:tcW w:w="2309" w:type="pct"/>
            <w:tcBorders>
              <w:top w:val="nil"/>
              <w:left w:val="single" w:color="auto" w:sz="4" w:space="0"/>
              <w:bottom w:val="single" w:color="auto" w:sz="4" w:space="0"/>
              <w:right w:val="single" w:color="auto" w:sz="4" w:space="0"/>
            </w:tcBorders>
            <w:noWrap/>
            <w:vAlign w:val="center"/>
          </w:tcPr>
          <w:p w14:paraId="4A535145">
            <w:pPr>
              <w:jc w:val="both"/>
              <w:rPr>
                <w:rFonts w:ascii="仿宋" w:hAnsi="仿宋" w:eastAsia="仿宋" w:cs="仿宋"/>
                <w:color w:val="000000"/>
                <w:sz w:val="20"/>
                <w:szCs w:val="20"/>
              </w:rPr>
            </w:pPr>
            <w:r>
              <w:rPr>
                <w:rFonts w:hint="eastAsia" w:ascii="仿宋" w:hAnsi="仿宋" w:eastAsia="仿宋" w:cs="仿宋"/>
                <w:color w:val="000000"/>
                <w:sz w:val="20"/>
                <w:szCs w:val="20"/>
              </w:rPr>
              <w:t>基础资产类型</w:t>
            </w:r>
          </w:p>
        </w:tc>
        <w:tc>
          <w:tcPr>
            <w:tcW w:w="2691" w:type="pct"/>
            <w:tcBorders>
              <w:top w:val="nil"/>
              <w:left w:val="nil"/>
              <w:bottom w:val="single" w:color="auto" w:sz="4" w:space="0"/>
              <w:right w:val="single" w:color="auto" w:sz="4" w:space="0"/>
            </w:tcBorders>
            <w:noWrap/>
            <w:vAlign w:val="center"/>
          </w:tcPr>
          <w:p w14:paraId="0914CFA1">
            <w:pPr>
              <w:jc w:val="both"/>
              <w:rPr>
                <w:rFonts w:ascii="仿宋" w:hAnsi="仿宋" w:eastAsia="仿宋" w:cs="仿宋"/>
                <w:color w:val="000000"/>
                <w:sz w:val="22"/>
                <w:szCs w:val="22"/>
              </w:rPr>
            </w:pPr>
          </w:p>
        </w:tc>
      </w:tr>
      <w:tr w14:paraId="5F61DA20">
        <w:tblPrEx>
          <w:tblCellMar>
            <w:top w:w="0" w:type="dxa"/>
            <w:left w:w="108" w:type="dxa"/>
            <w:bottom w:w="0" w:type="dxa"/>
            <w:right w:w="108" w:type="dxa"/>
          </w:tblCellMar>
        </w:tblPrEx>
        <w:trPr>
          <w:trHeight w:val="270" w:hRule="atLeast"/>
        </w:trPr>
        <w:tc>
          <w:tcPr>
            <w:tcW w:w="2309" w:type="pct"/>
            <w:tcBorders>
              <w:top w:val="nil"/>
              <w:left w:val="single" w:color="auto" w:sz="4" w:space="0"/>
              <w:bottom w:val="single" w:color="auto" w:sz="4" w:space="0"/>
              <w:right w:val="single" w:color="auto" w:sz="4" w:space="0"/>
            </w:tcBorders>
            <w:noWrap/>
            <w:vAlign w:val="center"/>
          </w:tcPr>
          <w:p w14:paraId="3646C37F">
            <w:pPr>
              <w:jc w:val="both"/>
              <w:rPr>
                <w:rFonts w:ascii="仿宋" w:hAnsi="仿宋" w:eastAsia="仿宋" w:cs="仿宋"/>
                <w:color w:val="000000"/>
                <w:sz w:val="20"/>
                <w:szCs w:val="20"/>
              </w:rPr>
            </w:pPr>
            <w:r>
              <w:rPr>
                <w:rFonts w:hint="eastAsia" w:ascii="仿宋" w:hAnsi="仿宋" w:eastAsia="仿宋" w:cs="仿宋"/>
                <w:color w:val="000000"/>
                <w:sz w:val="20"/>
                <w:szCs w:val="20"/>
              </w:rPr>
              <w:t>注册总金额</w:t>
            </w:r>
          </w:p>
        </w:tc>
        <w:tc>
          <w:tcPr>
            <w:tcW w:w="2691" w:type="pct"/>
            <w:tcBorders>
              <w:top w:val="nil"/>
              <w:left w:val="nil"/>
              <w:bottom w:val="single" w:color="auto" w:sz="4" w:space="0"/>
              <w:right w:val="single" w:color="auto" w:sz="4" w:space="0"/>
            </w:tcBorders>
            <w:noWrap/>
            <w:vAlign w:val="center"/>
          </w:tcPr>
          <w:p w14:paraId="3F69DEF8">
            <w:pPr>
              <w:jc w:val="both"/>
              <w:rPr>
                <w:rFonts w:ascii="仿宋" w:hAnsi="仿宋" w:eastAsia="仿宋" w:cs="仿宋"/>
                <w:color w:val="000000"/>
                <w:sz w:val="22"/>
                <w:szCs w:val="22"/>
              </w:rPr>
            </w:pPr>
          </w:p>
        </w:tc>
      </w:tr>
      <w:tr w14:paraId="4DB8208B">
        <w:tblPrEx>
          <w:tblCellMar>
            <w:top w:w="0" w:type="dxa"/>
            <w:left w:w="108" w:type="dxa"/>
            <w:bottom w:w="0" w:type="dxa"/>
            <w:right w:w="108" w:type="dxa"/>
          </w:tblCellMar>
        </w:tblPrEx>
        <w:trPr>
          <w:trHeight w:val="270" w:hRule="atLeast"/>
        </w:trPr>
        <w:tc>
          <w:tcPr>
            <w:tcW w:w="2309" w:type="pct"/>
            <w:tcBorders>
              <w:top w:val="nil"/>
              <w:left w:val="single" w:color="auto" w:sz="4" w:space="0"/>
              <w:bottom w:val="single" w:color="auto" w:sz="4" w:space="0"/>
              <w:right w:val="single" w:color="auto" w:sz="4" w:space="0"/>
            </w:tcBorders>
            <w:noWrap/>
            <w:vAlign w:val="center"/>
          </w:tcPr>
          <w:p w14:paraId="1B158F1A">
            <w:pPr>
              <w:jc w:val="both"/>
              <w:rPr>
                <w:rFonts w:ascii="仿宋" w:hAnsi="仿宋" w:eastAsia="仿宋" w:cs="仿宋"/>
                <w:color w:val="000000"/>
                <w:sz w:val="20"/>
                <w:szCs w:val="20"/>
              </w:rPr>
            </w:pPr>
            <w:r>
              <w:rPr>
                <w:rFonts w:hint="eastAsia" w:ascii="仿宋" w:hAnsi="仿宋" w:eastAsia="仿宋" w:cs="仿宋"/>
                <w:color w:val="000000"/>
                <w:sz w:val="20"/>
                <w:szCs w:val="20"/>
              </w:rPr>
              <w:t>预计发行期数</w:t>
            </w:r>
          </w:p>
        </w:tc>
        <w:tc>
          <w:tcPr>
            <w:tcW w:w="2691" w:type="pct"/>
            <w:tcBorders>
              <w:top w:val="nil"/>
              <w:left w:val="nil"/>
              <w:bottom w:val="single" w:color="auto" w:sz="4" w:space="0"/>
              <w:right w:val="single" w:color="auto" w:sz="4" w:space="0"/>
            </w:tcBorders>
            <w:noWrap/>
            <w:vAlign w:val="center"/>
          </w:tcPr>
          <w:p w14:paraId="7181C8BB">
            <w:pPr>
              <w:jc w:val="both"/>
              <w:rPr>
                <w:rFonts w:ascii="仿宋" w:hAnsi="仿宋" w:eastAsia="仿宋" w:cs="仿宋"/>
                <w:color w:val="000000"/>
                <w:sz w:val="22"/>
                <w:szCs w:val="22"/>
              </w:rPr>
            </w:pPr>
          </w:p>
        </w:tc>
      </w:tr>
      <w:tr w14:paraId="3FDA1505">
        <w:tblPrEx>
          <w:tblCellMar>
            <w:top w:w="0" w:type="dxa"/>
            <w:left w:w="108" w:type="dxa"/>
            <w:bottom w:w="0" w:type="dxa"/>
            <w:right w:w="108" w:type="dxa"/>
          </w:tblCellMar>
        </w:tblPrEx>
        <w:trPr>
          <w:trHeight w:val="270" w:hRule="atLeast"/>
        </w:trPr>
        <w:tc>
          <w:tcPr>
            <w:tcW w:w="2309" w:type="pct"/>
            <w:tcBorders>
              <w:top w:val="nil"/>
              <w:left w:val="single" w:color="auto" w:sz="4" w:space="0"/>
              <w:bottom w:val="single" w:color="auto" w:sz="4" w:space="0"/>
              <w:right w:val="single" w:color="auto" w:sz="4" w:space="0"/>
            </w:tcBorders>
            <w:noWrap/>
            <w:vAlign w:val="center"/>
          </w:tcPr>
          <w:p w14:paraId="37D5353E">
            <w:pPr>
              <w:jc w:val="both"/>
              <w:rPr>
                <w:rFonts w:ascii="仿宋" w:hAnsi="仿宋" w:eastAsia="仿宋" w:cs="仿宋"/>
                <w:color w:val="000000"/>
                <w:sz w:val="20"/>
                <w:szCs w:val="20"/>
              </w:rPr>
            </w:pPr>
            <w:r>
              <w:rPr>
                <w:rFonts w:hint="eastAsia" w:ascii="仿宋" w:hAnsi="仿宋" w:eastAsia="仿宋" w:cs="仿宋"/>
                <w:color w:val="000000"/>
                <w:sz w:val="20"/>
                <w:szCs w:val="20"/>
              </w:rPr>
              <w:t>交易场所</w:t>
            </w:r>
          </w:p>
        </w:tc>
        <w:tc>
          <w:tcPr>
            <w:tcW w:w="2691" w:type="pct"/>
            <w:tcBorders>
              <w:top w:val="nil"/>
              <w:left w:val="nil"/>
              <w:bottom w:val="single" w:color="auto" w:sz="4" w:space="0"/>
              <w:right w:val="single" w:color="auto" w:sz="4" w:space="0"/>
            </w:tcBorders>
            <w:noWrap/>
            <w:vAlign w:val="center"/>
          </w:tcPr>
          <w:p w14:paraId="18918CB3">
            <w:pPr>
              <w:jc w:val="both"/>
              <w:rPr>
                <w:rFonts w:ascii="仿宋" w:hAnsi="仿宋" w:eastAsia="仿宋" w:cs="仿宋"/>
                <w:color w:val="000000"/>
                <w:sz w:val="22"/>
                <w:szCs w:val="22"/>
              </w:rPr>
            </w:pPr>
          </w:p>
        </w:tc>
      </w:tr>
      <w:tr w14:paraId="79AAF50A">
        <w:tblPrEx>
          <w:tblCellMar>
            <w:top w:w="0" w:type="dxa"/>
            <w:left w:w="108" w:type="dxa"/>
            <w:bottom w:w="0" w:type="dxa"/>
            <w:right w:w="108" w:type="dxa"/>
          </w:tblCellMar>
        </w:tblPrEx>
        <w:trPr>
          <w:trHeight w:val="270" w:hRule="atLeast"/>
        </w:trPr>
        <w:tc>
          <w:tcPr>
            <w:tcW w:w="2309" w:type="pct"/>
            <w:tcBorders>
              <w:top w:val="nil"/>
              <w:left w:val="single" w:color="auto" w:sz="4" w:space="0"/>
              <w:bottom w:val="single" w:color="auto" w:sz="4" w:space="0"/>
              <w:right w:val="single" w:color="auto" w:sz="4" w:space="0"/>
            </w:tcBorders>
            <w:noWrap/>
            <w:vAlign w:val="center"/>
          </w:tcPr>
          <w:p w14:paraId="6D0998F9">
            <w:pPr>
              <w:jc w:val="both"/>
              <w:rPr>
                <w:rFonts w:ascii="仿宋" w:hAnsi="仿宋" w:eastAsia="仿宋" w:cs="仿宋"/>
                <w:color w:val="000000"/>
                <w:sz w:val="20"/>
                <w:szCs w:val="20"/>
              </w:rPr>
            </w:pPr>
            <w:r>
              <w:rPr>
                <w:rFonts w:hint="eastAsia" w:ascii="仿宋" w:hAnsi="仿宋" w:eastAsia="仿宋" w:cs="仿宋"/>
                <w:color w:val="000000"/>
                <w:sz w:val="20"/>
                <w:szCs w:val="20"/>
              </w:rPr>
              <w:t>注册有效期</w:t>
            </w:r>
          </w:p>
        </w:tc>
        <w:tc>
          <w:tcPr>
            <w:tcW w:w="2691" w:type="pct"/>
            <w:tcBorders>
              <w:top w:val="nil"/>
              <w:left w:val="nil"/>
              <w:bottom w:val="single" w:color="auto" w:sz="4" w:space="0"/>
              <w:right w:val="single" w:color="auto" w:sz="4" w:space="0"/>
            </w:tcBorders>
            <w:noWrap/>
            <w:vAlign w:val="center"/>
          </w:tcPr>
          <w:p w14:paraId="5B0F0D40">
            <w:pPr>
              <w:jc w:val="both"/>
              <w:rPr>
                <w:rFonts w:ascii="仿宋" w:hAnsi="仿宋" w:eastAsia="仿宋" w:cs="仿宋"/>
                <w:color w:val="000000"/>
                <w:sz w:val="22"/>
                <w:szCs w:val="22"/>
              </w:rPr>
            </w:pPr>
          </w:p>
        </w:tc>
      </w:tr>
    </w:tbl>
    <w:p w14:paraId="75D26C28">
      <w:pPr>
        <w:jc w:val="both"/>
        <w:rPr>
          <w:rFonts w:ascii="仿宋" w:hAnsi="仿宋" w:eastAsia="仿宋" w:cs="仿宋"/>
          <w:color w:val="000000"/>
        </w:rPr>
      </w:pPr>
    </w:p>
    <w:p w14:paraId="73D97FC7">
      <w:pPr>
        <w:rPr>
          <w:rFonts w:ascii="仿宋" w:hAnsi="仿宋" w:eastAsia="仿宋" w:cs="仿宋"/>
          <w:b/>
          <w:color w:val="000000"/>
        </w:rPr>
      </w:pPr>
      <w:r>
        <w:rPr>
          <w:rFonts w:hint="eastAsia" w:ascii="仿宋" w:hAnsi="仿宋" w:eastAsia="仿宋" w:cs="仿宋"/>
          <w:b/>
          <w:color w:val="000000"/>
        </w:rPr>
        <w:t>附件2：不良贷款历史整体回收统计数据</w:t>
      </w:r>
    </w:p>
    <w:tbl>
      <w:tblPr>
        <w:tblStyle w:val="10"/>
        <w:tblW w:w="501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134"/>
        <w:gridCol w:w="2135"/>
        <w:gridCol w:w="2135"/>
        <w:gridCol w:w="2135"/>
      </w:tblGrid>
      <w:tr w14:paraId="4D849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250" w:type="pct"/>
            <w:vAlign w:val="center"/>
          </w:tcPr>
          <w:p w14:paraId="2B61F2F8">
            <w:pPr>
              <w:rPr>
                <w:rFonts w:ascii="仿宋" w:hAnsi="仿宋" w:eastAsia="仿宋" w:cs="仿宋"/>
                <w:color w:val="000000"/>
                <w:sz w:val="22"/>
                <w:szCs w:val="22"/>
              </w:rPr>
            </w:pPr>
            <w:r>
              <w:rPr>
                <w:rFonts w:hint="eastAsia" w:ascii="仿宋" w:hAnsi="仿宋" w:eastAsia="仿宋" w:cs="仿宋"/>
                <w:color w:val="000000"/>
                <w:sz w:val="22"/>
                <w:szCs w:val="22"/>
              </w:rPr>
              <w:t>成为不良时间</w:t>
            </w:r>
          </w:p>
        </w:tc>
        <w:tc>
          <w:tcPr>
            <w:tcW w:w="1250" w:type="pct"/>
            <w:vAlign w:val="center"/>
          </w:tcPr>
          <w:p w14:paraId="6075019A">
            <w:pPr>
              <w:rPr>
                <w:rFonts w:ascii="仿宋" w:hAnsi="仿宋" w:eastAsia="仿宋" w:cs="仿宋"/>
                <w:color w:val="000000"/>
                <w:sz w:val="22"/>
                <w:szCs w:val="22"/>
              </w:rPr>
            </w:pPr>
            <w:r>
              <w:rPr>
                <w:rFonts w:hint="eastAsia" w:ascii="仿宋" w:hAnsi="仿宋" w:eastAsia="仿宋" w:cs="仿宋"/>
                <w:color w:val="000000"/>
                <w:sz w:val="22"/>
                <w:szCs w:val="22"/>
              </w:rPr>
              <w:t>12个月回收率</w:t>
            </w:r>
            <w:r>
              <w:rPr>
                <w:rStyle w:val="17"/>
                <w:rFonts w:hint="eastAsia" w:ascii="仿宋" w:hAnsi="仿宋" w:eastAsia="仿宋" w:cs="仿宋"/>
                <w:color w:val="000000"/>
                <w:sz w:val="22"/>
                <w:szCs w:val="22"/>
              </w:rPr>
              <w:footnoteReference w:id="9"/>
            </w:r>
          </w:p>
        </w:tc>
        <w:tc>
          <w:tcPr>
            <w:tcW w:w="1250" w:type="pct"/>
            <w:vAlign w:val="center"/>
          </w:tcPr>
          <w:p w14:paraId="2EF8457B">
            <w:pPr>
              <w:rPr>
                <w:rFonts w:ascii="仿宋" w:hAnsi="仿宋" w:eastAsia="仿宋" w:cs="仿宋"/>
                <w:color w:val="000000"/>
                <w:sz w:val="22"/>
                <w:szCs w:val="22"/>
              </w:rPr>
            </w:pPr>
            <w:r>
              <w:rPr>
                <w:rFonts w:hint="eastAsia" w:ascii="仿宋" w:hAnsi="仿宋" w:eastAsia="仿宋" w:cs="仿宋"/>
                <w:color w:val="000000"/>
                <w:sz w:val="22"/>
                <w:szCs w:val="22"/>
              </w:rPr>
              <w:t>24个月回收率</w:t>
            </w:r>
          </w:p>
        </w:tc>
        <w:tc>
          <w:tcPr>
            <w:tcW w:w="1250" w:type="pct"/>
            <w:vAlign w:val="center"/>
          </w:tcPr>
          <w:p w14:paraId="28868715">
            <w:pPr>
              <w:rPr>
                <w:rFonts w:ascii="仿宋" w:hAnsi="仿宋" w:eastAsia="仿宋" w:cs="仿宋"/>
                <w:color w:val="000000"/>
                <w:sz w:val="22"/>
                <w:szCs w:val="22"/>
              </w:rPr>
            </w:pPr>
            <w:r>
              <w:rPr>
                <w:rFonts w:hint="eastAsia" w:ascii="仿宋" w:hAnsi="仿宋" w:eastAsia="仿宋" w:cs="仿宋"/>
                <w:color w:val="000000"/>
                <w:sz w:val="22"/>
                <w:szCs w:val="22"/>
              </w:rPr>
              <w:t>36个月回收率</w:t>
            </w:r>
          </w:p>
        </w:tc>
      </w:tr>
      <w:tr w14:paraId="353E2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5F20A3E1">
            <w:pPr>
              <w:rPr>
                <w:rFonts w:ascii="仿宋" w:hAnsi="仿宋" w:eastAsia="仿宋" w:cs="仿宋"/>
                <w:color w:val="000000"/>
                <w:sz w:val="22"/>
                <w:szCs w:val="22"/>
              </w:rPr>
            </w:pPr>
            <w:r>
              <w:rPr>
                <w:rFonts w:hint="eastAsia" w:ascii="仿宋" w:hAnsi="仿宋" w:eastAsia="仿宋" w:cs="仿宋"/>
                <w:color w:val="000000"/>
                <w:sz w:val="22"/>
                <w:szCs w:val="22"/>
              </w:rPr>
              <w:t>2015年1月</w:t>
            </w:r>
            <w:r>
              <w:rPr>
                <w:rStyle w:val="17"/>
                <w:rFonts w:hint="eastAsia" w:ascii="仿宋" w:hAnsi="仿宋" w:eastAsia="仿宋" w:cs="仿宋"/>
                <w:color w:val="000000"/>
                <w:sz w:val="22"/>
                <w:szCs w:val="22"/>
              </w:rPr>
              <w:footnoteReference w:id="10"/>
            </w:r>
          </w:p>
        </w:tc>
        <w:tc>
          <w:tcPr>
            <w:tcW w:w="1250" w:type="pct"/>
            <w:vAlign w:val="center"/>
          </w:tcPr>
          <w:p w14:paraId="4D16FC64">
            <w:pPr>
              <w:rPr>
                <w:rFonts w:ascii="仿宋" w:hAnsi="仿宋" w:eastAsia="仿宋" w:cs="仿宋"/>
                <w:color w:val="000000"/>
                <w:sz w:val="22"/>
                <w:szCs w:val="22"/>
              </w:rPr>
            </w:pPr>
          </w:p>
        </w:tc>
        <w:tc>
          <w:tcPr>
            <w:tcW w:w="1250" w:type="pct"/>
            <w:vAlign w:val="center"/>
          </w:tcPr>
          <w:p w14:paraId="00A38B7F">
            <w:pPr>
              <w:rPr>
                <w:rFonts w:ascii="仿宋" w:hAnsi="仿宋" w:eastAsia="仿宋" w:cs="仿宋"/>
                <w:color w:val="000000"/>
                <w:sz w:val="22"/>
                <w:szCs w:val="22"/>
              </w:rPr>
            </w:pPr>
          </w:p>
        </w:tc>
        <w:tc>
          <w:tcPr>
            <w:tcW w:w="1250" w:type="pct"/>
            <w:vAlign w:val="center"/>
          </w:tcPr>
          <w:p w14:paraId="58B36302">
            <w:pPr>
              <w:rPr>
                <w:rFonts w:ascii="仿宋" w:hAnsi="仿宋" w:eastAsia="仿宋" w:cs="仿宋"/>
                <w:color w:val="000000"/>
                <w:sz w:val="22"/>
                <w:szCs w:val="22"/>
              </w:rPr>
            </w:pPr>
          </w:p>
        </w:tc>
      </w:tr>
      <w:tr w14:paraId="73799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1D2B3AE5">
            <w:pPr>
              <w:rPr>
                <w:rFonts w:ascii="仿宋" w:hAnsi="仿宋" w:eastAsia="仿宋" w:cs="仿宋"/>
                <w:color w:val="000000"/>
                <w:sz w:val="22"/>
                <w:szCs w:val="22"/>
              </w:rPr>
            </w:pPr>
            <w:r>
              <w:rPr>
                <w:rFonts w:hint="eastAsia" w:ascii="仿宋" w:hAnsi="仿宋" w:eastAsia="仿宋" w:cs="仿宋"/>
                <w:color w:val="000000"/>
                <w:sz w:val="22"/>
                <w:szCs w:val="22"/>
              </w:rPr>
              <w:t>2015年2月</w:t>
            </w:r>
          </w:p>
        </w:tc>
        <w:tc>
          <w:tcPr>
            <w:tcW w:w="1250" w:type="pct"/>
            <w:vAlign w:val="center"/>
          </w:tcPr>
          <w:p w14:paraId="2F7D3E6F">
            <w:pPr>
              <w:rPr>
                <w:rFonts w:ascii="仿宋" w:hAnsi="仿宋" w:eastAsia="仿宋" w:cs="仿宋"/>
                <w:color w:val="000000"/>
                <w:sz w:val="22"/>
                <w:szCs w:val="22"/>
              </w:rPr>
            </w:pPr>
          </w:p>
        </w:tc>
        <w:tc>
          <w:tcPr>
            <w:tcW w:w="1250" w:type="pct"/>
            <w:vAlign w:val="center"/>
          </w:tcPr>
          <w:p w14:paraId="44715D6E">
            <w:pPr>
              <w:rPr>
                <w:rFonts w:ascii="仿宋" w:hAnsi="仿宋" w:eastAsia="仿宋" w:cs="仿宋"/>
                <w:color w:val="000000"/>
                <w:sz w:val="22"/>
                <w:szCs w:val="22"/>
              </w:rPr>
            </w:pPr>
          </w:p>
        </w:tc>
        <w:tc>
          <w:tcPr>
            <w:tcW w:w="1250" w:type="pct"/>
            <w:vAlign w:val="center"/>
          </w:tcPr>
          <w:p w14:paraId="1C9632F7">
            <w:pPr>
              <w:rPr>
                <w:rFonts w:ascii="仿宋" w:hAnsi="仿宋" w:eastAsia="仿宋" w:cs="仿宋"/>
                <w:color w:val="000000"/>
                <w:sz w:val="22"/>
                <w:szCs w:val="22"/>
              </w:rPr>
            </w:pPr>
          </w:p>
        </w:tc>
      </w:tr>
      <w:tr w14:paraId="0F352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tcPr>
          <w:p w14:paraId="1FA2E1A3">
            <w:pPr>
              <w:rPr>
                <w:rFonts w:ascii="仿宋" w:hAnsi="仿宋" w:eastAsia="仿宋" w:cs="仿宋"/>
                <w:color w:val="000000"/>
                <w:sz w:val="22"/>
                <w:szCs w:val="22"/>
              </w:rPr>
            </w:pPr>
            <w:r>
              <w:rPr>
                <w:rFonts w:hint="eastAsia" w:ascii="仿宋" w:hAnsi="仿宋" w:eastAsia="仿宋" w:cs="仿宋"/>
                <w:color w:val="000000"/>
                <w:sz w:val="22"/>
                <w:szCs w:val="22"/>
              </w:rPr>
              <w:t>2015年3月</w:t>
            </w:r>
          </w:p>
        </w:tc>
        <w:tc>
          <w:tcPr>
            <w:tcW w:w="1250" w:type="pct"/>
            <w:vAlign w:val="center"/>
          </w:tcPr>
          <w:p w14:paraId="1787D54E">
            <w:pPr>
              <w:rPr>
                <w:rFonts w:ascii="仿宋" w:hAnsi="仿宋" w:eastAsia="仿宋" w:cs="仿宋"/>
                <w:color w:val="000000"/>
                <w:sz w:val="22"/>
                <w:szCs w:val="22"/>
              </w:rPr>
            </w:pPr>
          </w:p>
        </w:tc>
        <w:tc>
          <w:tcPr>
            <w:tcW w:w="1250" w:type="pct"/>
            <w:vAlign w:val="center"/>
          </w:tcPr>
          <w:p w14:paraId="59FDD15F">
            <w:pPr>
              <w:rPr>
                <w:rFonts w:ascii="仿宋" w:hAnsi="仿宋" w:eastAsia="仿宋" w:cs="仿宋"/>
                <w:color w:val="000000"/>
                <w:sz w:val="22"/>
                <w:szCs w:val="22"/>
              </w:rPr>
            </w:pPr>
          </w:p>
        </w:tc>
        <w:tc>
          <w:tcPr>
            <w:tcW w:w="1250" w:type="pct"/>
            <w:vAlign w:val="center"/>
          </w:tcPr>
          <w:p w14:paraId="7E682E17">
            <w:pPr>
              <w:rPr>
                <w:rFonts w:ascii="仿宋" w:hAnsi="仿宋" w:eastAsia="仿宋" w:cs="仿宋"/>
                <w:color w:val="000000"/>
                <w:sz w:val="22"/>
                <w:szCs w:val="22"/>
              </w:rPr>
            </w:pPr>
          </w:p>
        </w:tc>
      </w:tr>
      <w:tr w14:paraId="63E24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tcPr>
          <w:p w14:paraId="2F488CE9">
            <w:pPr>
              <w:rPr>
                <w:rFonts w:ascii="仿宋" w:hAnsi="仿宋" w:eastAsia="仿宋" w:cs="仿宋"/>
                <w:color w:val="000000"/>
                <w:sz w:val="22"/>
                <w:szCs w:val="22"/>
              </w:rPr>
            </w:pPr>
            <w:r>
              <w:rPr>
                <w:rFonts w:hint="eastAsia" w:ascii="仿宋" w:hAnsi="仿宋" w:eastAsia="仿宋" w:cs="仿宋"/>
                <w:color w:val="000000"/>
                <w:sz w:val="22"/>
                <w:szCs w:val="22"/>
              </w:rPr>
              <w:t>2015年4月</w:t>
            </w:r>
          </w:p>
        </w:tc>
        <w:tc>
          <w:tcPr>
            <w:tcW w:w="1250" w:type="pct"/>
            <w:vAlign w:val="center"/>
          </w:tcPr>
          <w:p w14:paraId="5EBE08DD">
            <w:pPr>
              <w:rPr>
                <w:rFonts w:ascii="仿宋" w:hAnsi="仿宋" w:eastAsia="仿宋" w:cs="仿宋"/>
                <w:color w:val="000000"/>
                <w:sz w:val="22"/>
                <w:szCs w:val="22"/>
              </w:rPr>
            </w:pPr>
          </w:p>
        </w:tc>
        <w:tc>
          <w:tcPr>
            <w:tcW w:w="1250" w:type="pct"/>
            <w:vAlign w:val="center"/>
          </w:tcPr>
          <w:p w14:paraId="2BC9B0AC">
            <w:pPr>
              <w:rPr>
                <w:rFonts w:ascii="仿宋" w:hAnsi="仿宋" w:eastAsia="仿宋" w:cs="仿宋"/>
                <w:color w:val="000000"/>
                <w:sz w:val="22"/>
                <w:szCs w:val="22"/>
              </w:rPr>
            </w:pPr>
          </w:p>
        </w:tc>
        <w:tc>
          <w:tcPr>
            <w:tcW w:w="1250" w:type="pct"/>
            <w:vAlign w:val="center"/>
          </w:tcPr>
          <w:p w14:paraId="64F29697">
            <w:pPr>
              <w:rPr>
                <w:rFonts w:ascii="仿宋" w:hAnsi="仿宋" w:eastAsia="仿宋" w:cs="仿宋"/>
                <w:color w:val="000000"/>
                <w:sz w:val="22"/>
                <w:szCs w:val="22"/>
              </w:rPr>
            </w:pPr>
          </w:p>
        </w:tc>
      </w:tr>
      <w:tr w14:paraId="2313C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tcPr>
          <w:p w14:paraId="5D72F300">
            <w:pPr>
              <w:rPr>
                <w:rFonts w:ascii="仿宋" w:hAnsi="仿宋" w:eastAsia="仿宋" w:cs="仿宋"/>
                <w:color w:val="000000"/>
                <w:sz w:val="22"/>
                <w:szCs w:val="22"/>
              </w:rPr>
            </w:pPr>
            <w:r>
              <w:rPr>
                <w:rFonts w:hint="eastAsia" w:ascii="仿宋" w:hAnsi="仿宋" w:eastAsia="仿宋" w:cs="仿宋"/>
                <w:color w:val="000000"/>
                <w:sz w:val="22"/>
                <w:szCs w:val="22"/>
              </w:rPr>
              <w:t>2015年5月</w:t>
            </w:r>
          </w:p>
        </w:tc>
        <w:tc>
          <w:tcPr>
            <w:tcW w:w="1250" w:type="pct"/>
            <w:vAlign w:val="center"/>
          </w:tcPr>
          <w:p w14:paraId="0238879F">
            <w:pPr>
              <w:rPr>
                <w:rFonts w:ascii="仿宋" w:hAnsi="仿宋" w:eastAsia="仿宋" w:cs="仿宋"/>
                <w:color w:val="000000"/>
                <w:sz w:val="22"/>
                <w:szCs w:val="22"/>
              </w:rPr>
            </w:pPr>
          </w:p>
        </w:tc>
        <w:tc>
          <w:tcPr>
            <w:tcW w:w="1250" w:type="pct"/>
            <w:vAlign w:val="center"/>
          </w:tcPr>
          <w:p w14:paraId="52FB0477">
            <w:pPr>
              <w:rPr>
                <w:rFonts w:ascii="仿宋" w:hAnsi="仿宋" w:eastAsia="仿宋" w:cs="仿宋"/>
                <w:color w:val="000000"/>
                <w:sz w:val="22"/>
                <w:szCs w:val="22"/>
              </w:rPr>
            </w:pPr>
          </w:p>
        </w:tc>
        <w:tc>
          <w:tcPr>
            <w:tcW w:w="1250" w:type="pct"/>
            <w:vAlign w:val="center"/>
          </w:tcPr>
          <w:p w14:paraId="74171B07">
            <w:pPr>
              <w:rPr>
                <w:rFonts w:ascii="仿宋" w:hAnsi="仿宋" w:eastAsia="仿宋" w:cs="仿宋"/>
                <w:color w:val="000000"/>
                <w:sz w:val="22"/>
                <w:szCs w:val="22"/>
              </w:rPr>
            </w:pPr>
          </w:p>
        </w:tc>
      </w:tr>
      <w:tr w14:paraId="138D1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tcPr>
          <w:p w14:paraId="6B9EAA0F">
            <w:pPr>
              <w:rPr>
                <w:rFonts w:ascii="仿宋" w:hAnsi="仿宋" w:eastAsia="仿宋" w:cs="仿宋"/>
                <w:color w:val="000000"/>
                <w:sz w:val="22"/>
                <w:szCs w:val="22"/>
              </w:rPr>
            </w:pPr>
            <w:r>
              <w:rPr>
                <w:rFonts w:hint="eastAsia" w:ascii="仿宋" w:hAnsi="仿宋" w:eastAsia="仿宋" w:cs="仿宋"/>
                <w:color w:val="000000"/>
                <w:sz w:val="22"/>
                <w:szCs w:val="22"/>
              </w:rPr>
              <w:t>2015年6月</w:t>
            </w:r>
          </w:p>
        </w:tc>
        <w:tc>
          <w:tcPr>
            <w:tcW w:w="1250" w:type="pct"/>
            <w:vAlign w:val="center"/>
          </w:tcPr>
          <w:p w14:paraId="6F55C2C4">
            <w:pPr>
              <w:rPr>
                <w:rFonts w:ascii="仿宋" w:hAnsi="仿宋" w:eastAsia="仿宋" w:cs="仿宋"/>
                <w:color w:val="000000"/>
                <w:sz w:val="22"/>
                <w:szCs w:val="22"/>
              </w:rPr>
            </w:pPr>
          </w:p>
        </w:tc>
        <w:tc>
          <w:tcPr>
            <w:tcW w:w="1250" w:type="pct"/>
            <w:vAlign w:val="center"/>
          </w:tcPr>
          <w:p w14:paraId="7523117C">
            <w:pPr>
              <w:rPr>
                <w:rFonts w:ascii="仿宋" w:hAnsi="仿宋" w:eastAsia="仿宋" w:cs="仿宋"/>
                <w:color w:val="000000"/>
                <w:sz w:val="22"/>
                <w:szCs w:val="22"/>
              </w:rPr>
            </w:pPr>
          </w:p>
        </w:tc>
        <w:tc>
          <w:tcPr>
            <w:tcW w:w="1250" w:type="pct"/>
            <w:vAlign w:val="center"/>
          </w:tcPr>
          <w:p w14:paraId="1B972640">
            <w:pPr>
              <w:rPr>
                <w:rFonts w:ascii="仿宋" w:hAnsi="仿宋" w:eastAsia="仿宋" w:cs="仿宋"/>
                <w:color w:val="000000"/>
                <w:sz w:val="22"/>
                <w:szCs w:val="22"/>
              </w:rPr>
            </w:pPr>
          </w:p>
        </w:tc>
      </w:tr>
    </w:tbl>
    <w:p w14:paraId="3D2AD859">
      <w:pPr>
        <w:rPr>
          <w:rFonts w:ascii="仿宋" w:hAnsi="仿宋" w:eastAsia="仿宋" w:cs="仿宋"/>
          <w:b/>
          <w:color w:val="000000"/>
        </w:rPr>
      </w:pPr>
    </w:p>
    <w:p w14:paraId="4E3FFFCC">
      <w:pPr>
        <w:rPr>
          <w:rFonts w:ascii="仿宋" w:hAnsi="仿宋" w:eastAsia="仿宋" w:cs="仿宋"/>
          <w:b/>
          <w:color w:val="000000"/>
        </w:rPr>
      </w:pPr>
      <w:r>
        <w:rPr>
          <w:rFonts w:hint="eastAsia" w:ascii="仿宋" w:hAnsi="仿宋" w:eastAsia="仿宋" w:cs="仿宋"/>
          <w:b/>
          <w:color w:val="000000"/>
        </w:rPr>
        <w:t>附件3：近五年及一期不良贷款处置情况</w:t>
      </w:r>
    </w:p>
    <w:tbl>
      <w:tblPr>
        <w:tblStyle w:val="11"/>
        <w:tblW w:w="0" w:type="auto"/>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1508"/>
        <w:gridCol w:w="1108"/>
        <w:gridCol w:w="1108"/>
        <w:gridCol w:w="1108"/>
        <w:gridCol w:w="1108"/>
        <w:gridCol w:w="1108"/>
      </w:tblGrid>
      <w:tr w14:paraId="6F77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E9900B7">
            <w:pPr>
              <w:jc w:val="both"/>
              <w:rPr>
                <w:rFonts w:ascii="仿宋" w:hAnsi="仿宋" w:eastAsia="仿宋" w:cs="仿宋"/>
                <w:color w:val="000000"/>
                <w:sz w:val="20"/>
                <w:szCs w:val="20"/>
              </w:rPr>
            </w:pPr>
            <w:r>
              <w:rPr>
                <w:rFonts w:hint="eastAsia" w:ascii="仿宋" w:hAnsi="仿宋" w:eastAsia="仿宋" w:cs="仿宋"/>
                <w:color w:val="000000"/>
                <w:sz w:val="20"/>
                <w:szCs w:val="20"/>
              </w:rPr>
              <w:t>主要指标</w:t>
            </w:r>
          </w:p>
        </w:tc>
        <w:tc>
          <w:tcPr>
            <w:tcW w:w="0" w:type="auto"/>
          </w:tcPr>
          <w:p w14:paraId="22957D7C">
            <w:pPr>
              <w:rPr>
                <w:rFonts w:ascii="仿宋" w:hAnsi="仿宋" w:eastAsia="仿宋" w:cs="仿宋"/>
                <w:color w:val="000000"/>
                <w:sz w:val="22"/>
                <w:szCs w:val="22"/>
              </w:rPr>
            </w:pPr>
            <w:r>
              <w:rPr>
                <w:rFonts w:hint="eastAsia" w:ascii="仿宋" w:hAnsi="仿宋" w:eastAsia="仿宋" w:cs="仿宋"/>
                <w:color w:val="000000"/>
                <w:sz w:val="22"/>
                <w:szCs w:val="22"/>
              </w:rPr>
              <w:t>2025年1-6月</w:t>
            </w:r>
          </w:p>
        </w:tc>
        <w:tc>
          <w:tcPr>
            <w:tcW w:w="0" w:type="auto"/>
          </w:tcPr>
          <w:p w14:paraId="531CA387">
            <w:pPr>
              <w:rPr>
                <w:rFonts w:ascii="仿宋" w:hAnsi="仿宋" w:eastAsia="仿宋" w:cs="仿宋"/>
                <w:color w:val="000000"/>
                <w:sz w:val="22"/>
                <w:szCs w:val="22"/>
              </w:rPr>
            </w:pPr>
            <w:r>
              <w:rPr>
                <w:rFonts w:hint="eastAsia" w:ascii="仿宋" w:hAnsi="仿宋" w:eastAsia="仿宋" w:cs="仿宋"/>
                <w:color w:val="000000"/>
                <w:sz w:val="22"/>
                <w:szCs w:val="22"/>
              </w:rPr>
              <w:t>2024年度</w:t>
            </w:r>
          </w:p>
        </w:tc>
        <w:tc>
          <w:tcPr>
            <w:tcW w:w="0" w:type="auto"/>
          </w:tcPr>
          <w:p w14:paraId="3A4437D8">
            <w:pPr>
              <w:rPr>
                <w:rFonts w:ascii="仿宋" w:hAnsi="仿宋" w:eastAsia="仿宋" w:cs="仿宋"/>
                <w:color w:val="000000"/>
                <w:sz w:val="22"/>
                <w:szCs w:val="22"/>
              </w:rPr>
            </w:pPr>
            <w:r>
              <w:rPr>
                <w:rFonts w:hint="eastAsia" w:ascii="仿宋" w:hAnsi="仿宋" w:eastAsia="仿宋" w:cs="仿宋"/>
                <w:color w:val="000000"/>
                <w:sz w:val="22"/>
                <w:szCs w:val="22"/>
              </w:rPr>
              <w:t>2023年度</w:t>
            </w:r>
          </w:p>
        </w:tc>
        <w:tc>
          <w:tcPr>
            <w:tcW w:w="0" w:type="auto"/>
          </w:tcPr>
          <w:p w14:paraId="704CF198">
            <w:pPr>
              <w:rPr>
                <w:rFonts w:ascii="仿宋" w:hAnsi="仿宋" w:eastAsia="仿宋" w:cs="仿宋"/>
                <w:color w:val="000000"/>
                <w:sz w:val="22"/>
                <w:szCs w:val="22"/>
              </w:rPr>
            </w:pPr>
            <w:r>
              <w:rPr>
                <w:rFonts w:hint="eastAsia" w:ascii="仿宋" w:hAnsi="仿宋" w:eastAsia="仿宋" w:cs="仿宋"/>
                <w:color w:val="000000"/>
                <w:sz w:val="22"/>
                <w:szCs w:val="22"/>
              </w:rPr>
              <w:t>2022年度</w:t>
            </w:r>
          </w:p>
        </w:tc>
        <w:tc>
          <w:tcPr>
            <w:tcW w:w="0" w:type="auto"/>
          </w:tcPr>
          <w:p w14:paraId="5C1CB373">
            <w:pPr>
              <w:rPr>
                <w:rFonts w:ascii="仿宋" w:hAnsi="仿宋" w:eastAsia="仿宋" w:cs="仿宋"/>
                <w:color w:val="000000"/>
                <w:sz w:val="22"/>
                <w:szCs w:val="22"/>
              </w:rPr>
            </w:pPr>
            <w:r>
              <w:rPr>
                <w:rFonts w:hint="eastAsia" w:ascii="仿宋" w:hAnsi="仿宋" w:eastAsia="仿宋" w:cs="仿宋"/>
                <w:color w:val="000000"/>
                <w:sz w:val="22"/>
                <w:szCs w:val="22"/>
              </w:rPr>
              <w:t>2021年度</w:t>
            </w:r>
          </w:p>
        </w:tc>
        <w:tc>
          <w:tcPr>
            <w:tcW w:w="0" w:type="auto"/>
          </w:tcPr>
          <w:p w14:paraId="01CC0E72">
            <w:pPr>
              <w:rPr>
                <w:rFonts w:ascii="仿宋" w:hAnsi="仿宋" w:eastAsia="仿宋" w:cs="仿宋"/>
                <w:color w:val="000000"/>
                <w:sz w:val="22"/>
                <w:szCs w:val="22"/>
              </w:rPr>
            </w:pPr>
            <w:r>
              <w:rPr>
                <w:rFonts w:hint="eastAsia" w:ascii="仿宋" w:hAnsi="仿宋" w:eastAsia="仿宋" w:cs="仿宋"/>
                <w:color w:val="000000"/>
                <w:sz w:val="22"/>
                <w:szCs w:val="22"/>
              </w:rPr>
              <w:t>2020年度</w:t>
            </w:r>
          </w:p>
        </w:tc>
      </w:tr>
      <w:tr w14:paraId="76C3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0" w:type="auto"/>
          </w:tcPr>
          <w:p w14:paraId="3F8702D3">
            <w:pPr>
              <w:jc w:val="both"/>
              <w:rPr>
                <w:rFonts w:ascii="仿宋" w:hAnsi="仿宋" w:eastAsia="仿宋" w:cs="仿宋"/>
                <w:color w:val="000000"/>
                <w:sz w:val="20"/>
                <w:szCs w:val="20"/>
              </w:rPr>
            </w:pPr>
            <w:r>
              <w:rPr>
                <w:rFonts w:hint="eastAsia" w:ascii="仿宋" w:hAnsi="仿宋" w:eastAsia="仿宋" w:cs="仿宋"/>
                <w:color w:val="000000"/>
                <w:sz w:val="20"/>
                <w:szCs w:val="20"/>
              </w:rPr>
              <w:t>期初不良贷款余额</w:t>
            </w:r>
          </w:p>
        </w:tc>
        <w:tc>
          <w:tcPr>
            <w:tcW w:w="0" w:type="auto"/>
          </w:tcPr>
          <w:p w14:paraId="75451B4D">
            <w:pPr>
              <w:jc w:val="both"/>
              <w:rPr>
                <w:rFonts w:ascii="仿宋" w:hAnsi="仿宋" w:eastAsia="仿宋" w:cs="仿宋"/>
                <w:color w:val="000000"/>
                <w:sz w:val="20"/>
                <w:szCs w:val="20"/>
              </w:rPr>
            </w:pPr>
          </w:p>
        </w:tc>
        <w:tc>
          <w:tcPr>
            <w:tcW w:w="0" w:type="auto"/>
          </w:tcPr>
          <w:p w14:paraId="767D9A5B">
            <w:pPr>
              <w:jc w:val="both"/>
              <w:rPr>
                <w:rFonts w:ascii="仿宋" w:hAnsi="仿宋" w:eastAsia="仿宋" w:cs="仿宋"/>
                <w:color w:val="000000"/>
                <w:sz w:val="20"/>
                <w:szCs w:val="20"/>
              </w:rPr>
            </w:pPr>
          </w:p>
        </w:tc>
        <w:tc>
          <w:tcPr>
            <w:tcW w:w="0" w:type="auto"/>
          </w:tcPr>
          <w:p w14:paraId="75E47B17">
            <w:pPr>
              <w:jc w:val="both"/>
              <w:rPr>
                <w:rFonts w:ascii="仿宋" w:hAnsi="仿宋" w:eastAsia="仿宋" w:cs="仿宋"/>
                <w:color w:val="000000"/>
                <w:sz w:val="20"/>
                <w:szCs w:val="20"/>
              </w:rPr>
            </w:pPr>
          </w:p>
        </w:tc>
        <w:tc>
          <w:tcPr>
            <w:tcW w:w="0" w:type="auto"/>
          </w:tcPr>
          <w:p w14:paraId="76C09A5F">
            <w:pPr>
              <w:jc w:val="both"/>
              <w:rPr>
                <w:rFonts w:ascii="仿宋" w:hAnsi="仿宋" w:eastAsia="仿宋" w:cs="仿宋"/>
                <w:color w:val="000000"/>
                <w:sz w:val="20"/>
                <w:szCs w:val="20"/>
              </w:rPr>
            </w:pPr>
          </w:p>
        </w:tc>
        <w:tc>
          <w:tcPr>
            <w:tcW w:w="0" w:type="auto"/>
          </w:tcPr>
          <w:p w14:paraId="05F3D2BF">
            <w:pPr>
              <w:jc w:val="both"/>
              <w:rPr>
                <w:rFonts w:ascii="仿宋" w:hAnsi="仿宋" w:eastAsia="仿宋" w:cs="仿宋"/>
                <w:color w:val="000000"/>
                <w:sz w:val="20"/>
                <w:szCs w:val="20"/>
              </w:rPr>
            </w:pPr>
          </w:p>
        </w:tc>
        <w:tc>
          <w:tcPr>
            <w:tcW w:w="0" w:type="auto"/>
          </w:tcPr>
          <w:p w14:paraId="34BA9E08">
            <w:pPr>
              <w:jc w:val="both"/>
              <w:rPr>
                <w:rFonts w:ascii="仿宋" w:hAnsi="仿宋" w:eastAsia="仿宋" w:cs="仿宋"/>
                <w:color w:val="000000"/>
                <w:sz w:val="20"/>
                <w:szCs w:val="20"/>
              </w:rPr>
            </w:pPr>
          </w:p>
        </w:tc>
      </w:tr>
      <w:tr w14:paraId="583D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5B91D789">
            <w:pPr>
              <w:jc w:val="both"/>
              <w:rPr>
                <w:rFonts w:ascii="仿宋" w:hAnsi="仿宋" w:eastAsia="仿宋" w:cs="仿宋"/>
                <w:color w:val="000000"/>
                <w:sz w:val="20"/>
                <w:szCs w:val="20"/>
              </w:rPr>
            </w:pPr>
            <w:r>
              <w:rPr>
                <w:rFonts w:hint="eastAsia" w:ascii="仿宋" w:hAnsi="仿宋" w:eastAsia="仿宋" w:cs="仿宋"/>
                <w:color w:val="000000"/>
                <w:sz w:val="20"/>
                <w:szCs w:val="20"/>
              </w:rPr>
              <w:t>不良贷款本金回收金额</w:t>
            </w:r>
          </w:p>
        </w:tc>
        <w:tc>
          <w:tcPr>
            <w:tcW w:w="0" w:type="auto"/>
          </w:tcPr>
          <w:p w14:paraId="476C40D7">
            <w:pPr>
              <w:jc w:val="both"/>
              <w:rPr>
                <w:rFonts w:ascii="仿宋" w:hAnsi="仿宋" w:eastAsia="仿宋" w:cs="仿宋"/>
                <w:color w:val="000000"/>
                <w:sz w:val="20"/>
                <w:szCs w:val="20"/>
              </w:rPr>
            </w:pPr>
          </w:p>
        </w:tc>
        <w:tc>
          <w:tcPr>
            <w:tcW w:w="0" w:type="auto"/>
          </w:tcPr>
          <w:p w14:paraId="703BAED2">
            <w:pPr>
              <w:jc w:val="both"/>
              <w:rPr>
                <w:rFonts w:ascii="仿宋" w:hAnsi="仿宋" w:eastAsia="仿宋" w:cs="仿宋"/>
                <w:color w:val="000000"/>
                <w:sz w:val="20"/>
                <w:szCs w:val="20"/>
              </w:rPr>
            </w:pPr>
          </w:p>
        </w:tc>
        <w:tc>
          <w:tcPr>
            <w:tcW w:w="0" w:type="auto"/>
          </w:tcPr>
          <w:p w14:paraId="3411B23D">
            <w:pPr>
              <w:jc w:val="both"/>
              <w:rPr>
                <w:rFonts w:ascii="仿宋" w:hAnsi="仿宋" w:eastAsia="仿宋" w:cs="仿宋"/>
                <w:color w:val="000000"/>
                <w:sz w:val="20"/>
                <w:szCs w:val="20"/>
              </w:rPr>
            </w:pPr>
          </w:p>
        </w:tc>
        <w:tc>
          <w:tcPr>
            <w:tcW w:w="0" w:type="auto"/>
          </w:tcPr>
          <w:p w14:paraId="33F5EB9C">
            <w:pPr>
              <w:jc w:val="both"/>
              <w:rPr>
                <w:rFonts w:ascii="仿宋" w:hAnsi="仿宋" w:eastAsia="仿宋" w:cs="仿宋"/>
                <w:color w:val="000000"/>
                <w:sz w:val="20"/>
                <w:szCs w:val="20"/>
              </w:rPr>
            </w:pPr>
          </w:p>
        </w:tc>
        <w:tc>
          <w:tcPr>
            <w:tcW w:w="0" w:type="auto"/>
          </w:tcPr>
          <w:p w14:paraId="0F99994B">
            <w:pPr>
              <w:jc w:val="both"/>
              <w:rPr>
                <w:rFonts w:ascii="仿宋" w:hAnsi="仿宋" w:eastAsia="仿宋" w:cs="仿宋"/>
                <w:color w:val="000000"/>
                <w:sz w:val="20"/>
                <w:szCs w:val="20"/>
              </w:rPr>
            </w:pPr>
          </w:p>
        </w:tc>
        <w:tc>
          <w:tcPr>
            <w:tcW w:w="0" w:type="auto"/>
          </w:tcPr>
          <w:p w14:paraId="74FB2718">
            <w:pPr>
              <w:jc w:val="both"/>
              <w:rPr>
                <w:rFonts w:ascii="仿宋" w:hAnsi="仿宋" w:eastAsia="仿宋" w:cs="仿宋"/>
                <w:color w:val="000000"/>
                <w:sz w:val="20"/>
                <w:szCs w:val="20"/>
              </w:rPr>
            </w:pPr>
          </w:p>
        </w:tc>
      </w:tr>
      <w:tr w14:paraId="415D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593AE7C7">
            <w:pPr>
              <w:jc w:val="both"/>
              <w:rPr>
                <w:rFonts w:ascii="仿宋" w:hAnsi="仿宋" w:eastAsia="仿宋" w:cs="仿宋"/>
                <w:color w:val="000000"/>
                <w:sz w:val="20"/>
                <w:szCs w:val="20"/>
              </w:rPr>
            </w:pPr>
            <w:r>
              <w:rPr>
                <w:rFonts w:hint="eastAsia" w:ascii="仿宋" w:hAnsi="仿宋" w:eastAsia="仿宋" w:cs="仿宋"/>
                <w:color w:val="000000"/>
                <w:sz w:val="20"/>
                <w:szCs w:val="20"/>
              </w:rPr>
              <w:t>其中：现金回收</w:t>
            </w:r>
          </w:p>
        </w:tc>
        <w:tc>
          <w:tcPr>
            <w:tcW w:w="0" w:type="auto"/>
          </w:tcPr>
          <w:p w14:paraId="044A9F7F">
            <w:pPr>
              <w:jc w:val="both"/>
              <w:rPr>
                <w:rFonts w:ascii="仿宋" w:hAnsi="仿宋" w:eastAsia="仿宋" w:cs="仿宋"/>
                <w:color w:val="000000"/>
                <w:sz w:val="20"/>
                <w:szCs w:val="20"/>
              </w:rPr>
            </w:pPr>
          </w:p>
        </w:tc>
        <w:tc>
          <w:tcPr>
            <w:tcW w:w="0" w:type="auto"/>
          </w:tcPr>
          <w:p w14:paraId="0A8599AE">
            <w:pPr>
              <w:jc w:val="both"/>
              <w:rPr>
                <w:rFonts w:ascii="仿宋" w:hAnsi="仿宋" w:eastAsia="仿宋" w:cs="仿宋"/>
                <w:color w:val="000000"/>
                <w:sz w:val="20"/>
                <w:szCs w:val="20"/>
              </w:rPr>
            </w:pPr>
          </w:p>
        </w:tc>
        <w:tc>
          <w:tcPr>
            <w:tcW w:w="0" w:type="auto"/>
          </w:tcPr>
          <w:p w14:paraId="0CFB00CC">
            <w:pPr>
              <w:jc w:val="both"/>
              <w:rPr>
                <w:rFonts w:ascii="仿宋" w:hAnsi="仿宋" w:eastAsia="仿宋" w:cs="仿宋"/>
                <w:color w:val="000000"/>
                <w:sz w:val="20"/>
                <w:szCs w:val="20"/>
              </w:rPr>
            </w:pPr>
          </w:p>
        </w:tc>
        <w:tc>
          <w:tcPr>
            <w:tcW w:w="0" w:type="auto"/>
          </w:tcPr>
          <w:p w14:paraId="7E472BDA">
            <w:pPr>
              <w:jc w:val="both"/>
              <w:rPr>
                <w:rFonts w:ascii="仿宋" w:hAnsi="仿宋" w:eastAsia="仿宋" w:cs="仿宋"/>
                <w:color w:val="000000"/>
                <w:sz w:val="20"/>
                <w:szCs w:val="20"/>
              </w:rPr>
            </w:pPr>
          </w:p>
        </w:tc>
        <w:tc>
          <w:tcPr>
            <w:tcW w:w="0" w:type="auto"/>
          </w:tcPr>
          <w:p w14:paraId="61EC3284">
            <w:pPr>
              <w:jc w:val="both"/>
              <w:rPr>
                <w:rFonts w:ascii="仿宋" w:hAnsi="仿宋" w:eastAsia="仿宋" w:cs="仿宋"/>
                <w:color w:val="000000"/>
                <w:sz w:val="20"/>
                <w:szCs w:val="20"/>
              </w:rPr>
            </w:pPr>
          </w:p>
        </w:tc>
        <w:tc>
          <w:tcPr>
            <w:tcW w:w="0" w:type="auto"/>
          </w:tcPr>
          <w:p w14:paraId="118E52D0">
            <w:pPr>
              <w:jc w:val="both"/>
              <w:rPr>
                <w:rFonts w:ascii="仿宋" w:hAnsi="仿宋" w:eastAsia="仿宋" w:cs="仿宋"/>
                <w:color w:val="000000"/>
                <w:sz w:val="20"/>
                <w:szCs w:val="20"/>
              </w:rPr>
            </w:pPr>
          </w:p>
        </w:tc>
      </w:tr>
      <w:tr w14:paraId="3555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3CE343A8">
            <w:pPr>
              <w:jc w:val="both"/>
              <w:rPr>
                <w:rFonts w:ascii="仿宋" w:hAnsi="仿宋" w:eastAsia="仿宋" w:cs="仿宋"/>
                <w:color w:val="000000"/>
                <w:sz w:val="20"/>
                <w:szCs w:val="20"/>
              </w:rPr>
            </w:pPr>
            <w:r>
              <w:rPr>
                <w:rFonts w:hint="eastAsia" w:ascii="仿宋" w:hAnsi="仿宋" w:eastAsia="仿宋" w:cs="仿宋"/>
                <w:color w:val="000000"/>
                <w:sz w:val="20"/>
                <w:szCs w:val="20"/>
              </w:rPr>
              <w:t>贷款升级</w:t>
            </w:r>
          </w:p>
        </w:tc>
        <w:tc>
          <w:tcPr>
            <w:tcW w:w="0" w:type="auto"/>
          </w:tcPr>
          <w:p w14:paraId="20E1F1B7">
            <w:pPr>
              <w:jc w:val="both"/>
              <w:rPr>
                <w:rFonts w:ascii="仿宋" w:hAnsi="仿宋" w:eastAsia="仿宋" w:cs="仿宋"/>
                <w:color w:val="000000"/>
                <w:sz w:val="20"/>
                <w:szCs w:val="20"/>
              </w:rPr>
            </w:pPr>
          </w:p>
        </w:tc>
        <w:tc>
          <w:tcPr>
            <w:tcW w:w="0" w:type="auto"/>
          </w:tcPr>
          <w:p w14:paraId="5A311DF3">
            <w:pPr>
              <w:jc w:val="both"/>
              <w:rPr>
                <w:rFonts w:ascii="仿宋" w:hAnsi="仿宋" w:eastAsia="仿宋" w:cs="仿宋"/>
                <w:color w:val="000000"/>
                <w:sz w:val="20"/>
                <w:szCs w:val="20"/>
              </w:rPr>
            </w:pPr>
          </w:p>
        </w:tc>
        <w:tc>
          <w:tcPr>
            <w:tcW w:w="0" w:type="auto"/>
          </w:tcPr>
          <w:p w14:paraId="5F606E77">
            <w:pPr>
              <w:jc w:val="both"/>
              <w:rPr>
                <w:rFonts w:ascii="仿宋" w:hAnsi="仿宋" w:eastAsia="仿宋" w:cs="仿宋"/>
                <w:color w:val="000000"/>
                <w:sz w:val="20"/>
                <w:szCs w:val="20"/>
              </w:rPr>
            </w:pPr>
          </w:p>
        </w:tc>
        <w:tc>
          <w:tcPr>
            <w:tcW w:w="0" w:type="auto"/>
          </w:tcPr>
          <w:p w14:paraId="509D4FB9">
            <w:pPr>
              <w:jc w:val="both"/>
              <w:rPr>
                <w:rFonts w:ascii="仿宋" w:hAnsi="仿宋" w:eastAsia="仿宋" w:cs="仿宋"/>
                <w:color w:val="000000"/>
                <w:sz w:val="20"/>
                <w:szCs w:val="20"/>
              </w:rPr>
            </w:pPr>
          </w:p>
        </w:tc>
        <w:tc>
          <w:tcPr>
            <w:tcW w:w="0" w:type="auto"/>
          </w:tcPr>
          <w:p w14:paraId="03B3CC8E">
            <w:pPr>
              <w:jc w:val="both"/>
              <w:rPr>
                <w:rFonts w:ascii="仿宋" w:hAnsi="仿宋" w:eastAsia="仿宋" w:cs="仿宋"/>
                <w:color w:val="000000"/>
                <w:sz w:val="20"/>
                <w:szCs w:val="20"/>
              </w:rPr>
            </w:pPr>
          </w:p>
        </w:tc>
        <w:tc>
          <w:tcPr>
            <w:tcW w:w="0" w:type="auto"/>
          </w:tcPr>
          <w:p w14:paraId="029A0DF3">
            <w:pPr>
              <w:jc w:val="both"/>
              <w:rPr>
                <w:rFonts w:ascii="仿宋" w:hAnsi="仿宋" w:eastAsia="仿宋" w:cs="仿宋"/>
                <w:color w:val="000000"/>
                <w:sz w:val="20"/>
                <w:szCs w:val="20"/>
              </w:rPr>
            </w:pPr>
          </w:p>
        </w:tc>
      </w:tr>
      <w:tr w14:paraId="279C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6BC81CB8">
            <w:pPr>
              <w:jc w:val="both"/>
              <w:rPr>
                <w:rFonts w:ascii="仿宋" w:hAnsi="仿宋" w:eastAsia="仿宋" w:cs="仿宋"/>
                <w:color w:val="000000"/>
                <w:sz w:val="20"/>
                <w:szCs w:val="20"/>
              </w:rPr>
            </w:pPr>
            <w:r>
              <w:rPr>
                <w:rFonts w:hint="eastAsia" w:ascii="仿宋" w:hAnsi="仿宋" w:eastAsia="仿宋" w:cs="仿宋"/>
                <w:color w:val="000000"/>
                <w:sz w:val="20"/>
                <w:szCs w:val="20"/>
              </w:rPr>
              <w:t>贷款核销</w:t>
            </w:r>
          </w:p>
        </w:tc>
        <w:tc>
          <w:tcPr>
            <w:tcW w:w="0" w:type="auto"/>
          </w:tcPr>
          <w:p w14:paraId="6A8EC58E">
            <w:pPr>
              <w:jc w:val="both"/>
              <w:rPr>
                <w:rFonts w:ascii="仿宋" w:hAnsi="仿宋" w:eastAsia="仿宋" w:cs="仿宋"/>
                <w:color w:val="000000"/>
                <w:sz w:val="20"/>
                <w:szCs w:val="20"/>
              </w:rPr>
            </w:pPr>
          </w:p>
        </w:tc>
        <w:tc>
          <w:tcPr>
            <w:tcW w:w="0" w:type="auto"/>
          </w:tcPr>
          <w:p w14:paraId="56E9B0DD">
            <w:pPr>
              <w:jc w:val="both"/>
              <w:rPr>
                <w:rFonts w:ascii="仿宋" w:hAnsi="仿宋" w:eastAsia="仿宋" w:cs="仿宋"/>
                <w:color w:val="000000"/>
                <w:sz w:val="20"/>
                <w:szCs w:val="20"/>
              </w:rPr>
            </w:pPr>
          </w:p>
        </w:tc>
        <w:tc>
          <w:tcPr>
            <w:tcW w:w="0" w:type="auto"/>
          </w:tcPr>
          <w:p w14:paraId="698CD18C">
            <w:pPr>
              <w:jc w:val="both"/>
              <w:rPr>
                <w:rFonts w:ascii="仿宋" w:hAnsi="仿宋" w:eastAsia="仿宋" w:cs="仿宋"/>
                <w:color w:val="000000"/>
                <w:sz w:val="20"/>
                <w:szCs w:val="20"/>
              </w:rPr>
            </w:pPr>
          </w:p>
        </w:tc>
        <w:tc>
          <w:tcPr>
            <w:tcW w:w="0" w:type="auto"/>
          </w:tcPr>
          <w:p w14:paraId="1DF0E43C">
            <w:pPr>
              <w:jc w:val="both"/>
              <w:rPr>
                <w:rFonts w:ascii="仿宋" w:hAnsi="仿宋" w:eastAsia="仿宋" w:cs="仿宋"/>
                <w:color w:val="000000"/>
                <w:sz w:val="20"/>
                <w:szCs w:val="20"/>
              </w:rPr>
            </w:pPr>
          </w:p>
        </w:tc>
        <w:tc>
          <w:tcPr>
            <w:tcW w:w="0" w:type="auto"/>
          </w:tcPr>
          <w:p w14:paraId="710887DB">
            <w:pPr>
              <w:jc w:val="both"/>
              <w:rPr>
                <w:rFonts w:ascii="仿宋" w:hAnsi="仿宋" w:eastAsia="仿宋" w:cs="仿宋"/>
                <w:color w:val="000000"/>
                <w:sz w:val="20"/>
                <w:szCs w:val="20"/>
              </w:rPr>
            </w:pPr>
          </w:p>
        </w:tc>
        <w:tc>
          <w:tcPr>
            <w:tcW w:w="0" w:type="auto"/>
          </w:tcPr>
          <w:p w14:paraId="378E9FA3">
            <w:pPr>
              <w:jc w:val="both"/>
              <w:rPr>
                <w:rFonts w:ascii="仿宋" w:hAnsi="仿宋" w:eastAsia="仿宋" w:cs="仿宋"/>
                <w:color w:val="000000"/>
                <w:sz w:val="20"/>
                <w:szCs w:val="20"/>
              </w:rPr>
            </w:pPr>
          </w:p>
        </w:tc>
      </w:tr>
      <w:tr w14:paraId="0AA4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2A96BFF5">
            <w:pPr>
              <w:jc w:val="both"/>
              <w:rPr>
                <w:rFonts w:ascii="仿宋" w:hAnsi="仿宋" w:eastAsia="仿宋" w:cs="仿宋"/>
                <w:color w:val="000000"/>
                <w:sz w:val="20"/>
                <w:szCs w:val="20"/>
              </w:rPr>
            </w:pPr>
            <w:r>
              <w:rPr>
                <w:rFonts w:hint="eastAsia" w:ascii="仿宋" w:hAnsi="仿宋" w:eastAsia="仿宋" w:cs="仿宋"/>
                <w:color w:val="000000"/>
                <w:sz w:val="20"/>
                <w:szCs w:val="20"/>
              </w:rPr>
              <w:t>批量转出</w:t>
            </w:r>
          </w:p>
        </w:tc>
        <w:tc>
          <w:tcPr>
            <w:tcW w:w="0" w:type="auto"/>
          </w:tcPr>
          <w:p w14:paraId="0020AB44">
            <w:pPr>
              <w:jc w:val="both"/>
              <w:rPr>
                <w:rFonts w:ascii="仿宋" w:hAnsi="仿宋" w:eastAsia="仿宋" w:cs="仿宋"/>
                <w:color w:val="000000"/>
                <w:sz w:val="20"/>
                <w:szCs w:val="20"/>
              </w:rPr>
            </w:pPr>
          </w:p>
        </w:tc>
        <w:tc>
          <w:tcPr>
            <w:tcW w:w="0" w:type="auto"/>
          </w:tcPr>
          <w:p w14:paraId="68B8C157">
            <w:pPr>
              <w:jc w:val="both"/>
              <w:rPr>
                <w:rFonts w:ascii="仿宋" w:hAnsi="仿宋" w:eastAsia="仿宋" w:cs="仿宋"/>
                <w:color w:val="000000"/>
                <w:sz w:val="20"/>
                <w:szCs w:val="20"/>
              </w:rPr>
            </w:pPr>
          </w:p>
        </w:tc>
        <w:tc>
          <w:tcPr>
            <w:tcW w:w="0" w:type="auto"/>
          </w:tcPr>
          <w:p w14:paraId="1410D8C5">
            <w:pPr>
              <w:jc w:val="both"/>
              <w:rPr>
                <w:rFonts w:ascii="仿宋" w:hAnsi="仿宋" w:eastAsia="仿宋" w:cs="仿宋"/>
                <w:color w:val="000000"/>
                <w:sz w:val="20"/>
                <w:szCs w:val="20"/>
              </w:rPr>
            </w:pPr>
          </w:p>
        </w:tc>
        <w:tc>
          <w:tcPr>
            <w:tcW w:w="0" w:type="auto"/>
          </w:tcPr>
          <w:p w14:paraId="0C2B9033">
            <w:pPr>
              <w:jc w:val="both"/>
              <w:rPr>
                <w:rFonts w:ascii="仿宋" w:hAnsi="仿宋" w:eastAsia="仿宋" w:cs="仿宋"/>
                <w:color w:val="000000"/>
                <w:sz w:val="20"/>
                <w:szCs w:val="20"/>
              </w:rPr>
            </w:pPr>
          </w:p>
        </w:tc>
        <w:tc>
          <w:tcPr>
            <w:tcW w:w="0" w:type="auto"/>
          </w:tcPr>
          <w:p w14:paraId="28FACB46">
            <w:pPr>
              <w:jc w:val="both"/>
              <w:rPr>
                <w:rFonts w:ascii="仿宋" w:hAnsi="仿宋" w:eastAsia="仿宋" w:cs="仿宋"/>
                <w:color w:val="000000"/>
                <w:sz w:val="20"/>
                <w:szCs w:val="20"/>
              </w:rPr>
            </w:pPr>
          </w:p>
        </w:tc>
        <w:tc>
          <w:tcPr>
            <w:tcW w:w="0" w:type="auto"/>
          </w:tcPr>
          <w:p w14:paraId="6C67D3AD">
            <w:pPr>
              <w:jc w:val="both"/>
              <w:rPr>
                <w:rFonts w:ascii="仿宋" w:hAnsi="仿宋" w:eastAsia="仿宋" w:cs="仿宋"/>
                <w:color w:val="000000"/>
                <w:sz w:val="20"/>
                <w:szCs w:val="20"/>
              </w:rPr>
            </w:pPr>
          </w:p>
        </w:tc>
      </w:tr>
      <w:tr w14:paraId="11FF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080F5941">
            <w:pPr>
              <w:jc w:val="both"/>
              <w:rPr>
                <w:rFonts w:ascii="仿宋" w:hAnsi="仿宋" w:eastAsia="仿宋" w:cs="仿宋"/>
                <w:color w:val="000000"/>
                <w:sz w:val="20"/>
                <w:szCs w:val="20"/>
              </w:rPr>
            </w:pPr>
            <w:r>
              <w:rPr>
                <w:rFonts w:hint="eastAsia" w:ascii="仿宋" w:hAnsi="仿宋" w:eastAsia="仿宋" w:cs="仿宋"/>
                <w:color w:val="000000"/>
                <w:sz w:val="20"/>
                <w:szCs w:val="20"/>
              </w:rPr>
              <w:t>以物抵债</w:t>
            </w:r>
          </w:p>
        </w:tc>
        <w:tc>
          <w:tcPr>
            <w:tcW w:w="0" w:type="auto"/>
          </w:tcPr>
          <w:p w14:paraId="46F19A4D">
            <w:pPr>
              <w:jc w:val="both"/>
              <w:rPr>
                <w:rFonts w:ascii="仿宋" w:hAnsi="仿宋" w:eastAsia="仿宋" w:cs="仿宋"/>
                <w:color w:val="000000"/>
                <w:sz w:val="20"/>
                <w:szCs w:val="20"/>
              </w:rPr>
            </w:pPr>
          </w:p>
        </w:tc>
        <w:tc>
          <w:tcPr>
            <w:tcW w:w="0" w:type="auto"/>
          </w:tcPr>
          <w:p w14:paraId="46F564A1">
            <w:pPr>
              <w:jc w:val="both"/>
              <w:rPr>
                <w:rFonts w:ascii="仿宋" w:hAnsi="仿宋" w:eastAsia="仿宋" w:cs="仿宋"/>
                <w:color w:val="000000"/>
                <w:sz w:val="20"/>
                <w:szCs w:val="20"/>
              </w:rPr>
            </w:pPr>
          </w:p>
        </w:tc>
        <w:tc>
          <w:tcPr>
            <w:tcW w:w="0" w:type="auto"/>
          </w:tcPr>
          <w:p w14:paraId="705B09E1">
            <w:pPr>
              <w:jc w:val="both"/>
              <w:rPr>
                <w:rFonts w:ascii="仿宋" w:hAnsi="仿宋" w:eastAsia="仿宋" w:cs="仿宋"/>
                <w:color w:val="000000"/>
                <w:sz w:val="20"/>
                <w:szCs w:val="20"/>
              </w:rPr>
            </w:pPr>
          </w:p>
        </w:tc>
        <w:tc>
          <w:tcPr>
            <w:tcW w:w="0" w:type="auto"/>
          </w:tcPr>
          <w:p w14:paraId="6A420C2C">
            <w:pPr>
              <w:jc w:val="both"/>
              <w:rPr>
                <w:rFonts w:ascii="仿宋" w:hAnsi="仿宋" w:eastAsia="仿宋" w:cs="仿宋"/>
                <w:color w:val="000000"/>
                <w:sz w:val="20"/>
                <w:szCs w:val="20"/>
              </w:rPr>
            </w:pPr>
          </w:p>
        </w:tc>
        <w:tc>
          <w:tcPr>
            <w:tcW w:w="0" w:type="auto"/>
          </w:tcPr>
          <w:p w14:paraId="07AB3769">
            <w:pPr>
              <w:jc w:val="both"/>
              <w:rPr>
                <w:rFonts w:ascii="仿宋" w:hAnsi="仿宋" w:eastAsia="仿宋" w:cs="仿宋"/>
                <w:color w:val="000000"/>
                <w:sz w:val="20"/>
                <w:szCs w:val="20"/>
              </w:rPr>
            </w:pPr>
          </w:p>
        </w:tc>
        <w:tc>
          <w:tcPr>
            <w:tcW w:w="0" w:type="auto"/>
          </w:tcPr>
          <w:p w14:paraId="65503762">
            <w:pPr>
              <w:jc w:val="both"/>
              <w:rPr>
                <w:rFonts w:ascii="仿宋" w:hAnsi="仿宋" w:eastAsia="仿宋" w:cs="仿宋"/>
                <w:color w:val="000000"/>
                <w:sz w:val="20"/>
                <w:szCs w:val="20"/>
              </w:rPr>
            </w:pPr>
          </w:p>
        </w:tc>
      </w:tr>
      <w:tr w14:paraId="2B77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tcPr>
          <w:p w14:paraId="0948EF53">
            <w:pPr>
              <w:jc w:val="both"/>
              <w:rPr>
                <w:rFonts w:ascii="仿宋" w:hAnsi="仿宋" w:eastAsia="仿宋" w:cs="仿宋"/>
                <w:color w:val="000000"/>
                <w:sz w:val="20"/>
                <w:szCs w:val="20"/>
              </w:rPr>
            </w:pPr>
            <w:r>
              <w:rPr>
                <w:rFonts w:hint="eastAsia" w:ascii="仿宋" w:hAnsi="仿宋" w:eastAsia="仿宋" w:cs="仿宋"/>
                <w:color w:val="000000"/>
                <w:sz w:val="20"/>
                <w:szCs w:val="20"/>
              </w:rPr>
              <w:t>（其他或有方式）</w:t>
            </w:r>
          </w:p>
        </w:tc>
        <w:tc>
          <w:tcPr>
            <w:tcW w:w="0" w:type="auto"/>
          </w:tcPr>
          <w:p w14:paraId="45B15D54">
            <w:pPr>
              <w:jc w:val="both"/>
              <w:rPr>
                <w:rFonts w:ascii="仿宋" w:hAnsi="仿宋" w:eastAsia="仿宋" w:cs="仿宋"/>
                <w:color w:val="000000"/>
                <w:sz w:val="20"/>
                <w:szCs w:val="20"/>
              </w:rPr>
            </w:pPr>
          </w:p>
        </w:tc>
        <w:tc>
          <w:tcPr>
            <w:tcW w:w="0" w:type="auto"/>
          </w:tcPr>
          <w:p w14:paraId="0EB9572F">
            <w:pPr>
              <w:jc w:val="both"/>
              <w:rPr>
                <w:rFonts w:ascii="仿宋" w:hAnsi="仿宋" w:eastAsia="仿宋" w:cs="仿宋"/>
                <w:color w:val="000000"/>
                <w:sz w:val="20"/>
                <w:szCs w:val="20"/>
              </w:rPr>
            </w:pPr>
          </w:p>
        </w:tc>
        <w:tc>
          <w:tcPr>
            <w:tcW w:w="0" w:type="auto"/>
          </w:tcPr>
          <w:p w14:paraId="2CE34389">
            <w:pPr>
              <w:jc w:val="both"/>
              <w:rPr>
                <w:rFonts w:ascii="仿宋" w:hAnsi="仿宋" w:eastAsia="仿宋" w:cs="仿宋"/>
                <w:color w:val="000000"/>
                <w:sz w:val="20"/>
                <w:szCs w:val="20"/>
              </w:rPr>
            </w:pPr>
          </w:p>
        </w:tc>
        <w:tc>
          <w:tcPr>
            <w:tcW w:w="0" w:type="auto"/>
          </w:tcPr>
          <w:p w14:paraId="6F1820C9">
            <w:pPr>
              <w:jc w:val="both"/>
              <w:rPr>
                <w:rFonts w:ascii="仿宋" w:hAnsi="仿宋" w:eastAsia="仿宋" w:cs="仿宋"/>
                <w:color w:val="000000"/>
                <w:sz w:val="20"/>
                <w:szCs w:val="20"/>
              </w:rPr>
            </w:pPr>
          </w:p>
        </w:tc>
        <w:tc>
          <w:tcPr>
            <w:tcW w:w="0" w:type="auto"/>
          </w:tcPr>
          <w:p w14:paraId="416A2FF0">
            <w:pPr>
              <w:jc w:val="both"/>
              <w:rPr>
                <w:rFonts w:ascii="仿宋" w:hAnsi="仿宋" w:eastAsia="仿宋" w:cs="仿宋"/>
                <w:color w:val="000000"/>
                <w:sz w:val="20"/>
                <w:szCs w:val="20"/>
              </w:rPr>
            </w:pPr>
          </w:p>
        </w:tc>
        <w:tc>
          <w:tcPr>
            <w:tcW w:w="0" w:type="auto"/>
          </w:tcPr>
          <w:p w14:paraId="117D34F2">
            <w:pPr>
              <w:jc w:val="both"/>
              <w:rPr>
                <w:rFonts w:ascii="仿宋" w:hAnsi="仿宋" w:eastAsia="仿宋" w:cs="仿宋"/>
                <w:color w:val="000000"/>
                <w:sz w:val="20"/>
                <w:szCs w:val="20"/>
              </w:rPr>
            </w:pPr>
          </w:p>
        </w:tc>
      </w:tr>
      <w:tr w14:paraId="6C7A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A981D3">
            <w:pPr>
              <w:jc w:val="both"/>
              <w:rPr>
                <w:rFonts w:ascii="仿宋" w:hAnsi="仿宋" w:eastAsia="仿宋" w:cs="仿宋"/>
                <w:color w:val="000000"/>
                <w:sz w:val="20"/>
                <w:szCs w:val="20"/>
              </w:rPr>
            </w:pPr>
            <w:r>
              <w:rPr>
                <w:rFonts w:hint="eastAsia" w:ascii="仿宋" w:hAnsi="仿宋" w:eastAsia="仿宋" w:cs="仿宋"/>
                <w:color w:val="000000"/>
                <w:sz w:val="20"/>
                <w:szCs w:val="20"/>
              </w:rPr>
              <w:t>现金回收（本金）占比</w:t>
            </w:r>
          </w:p>
        </w:tc>
        <w:tc>
          <w:tcPr>
            <w:tcW w:w="0" w:type="auto"/>
          </w:tcPr>
          <w:p w14:paraId="0181EE39">
            <w:pPr>
              <w:jc w:val="both"/>
              <w:rPr>
                <w:rFonts w:ascii="仿宋" w:hAnsi="仿宋" w:eastAsia="仿宋" w:cs="仿宋"/>
                <w:color w:val="000000"/>
                <w:sz w:val="20"/>
                <w:szCs w:val="20"/>
              </w:rPr>
            </w:pPr>
          </w:p>
        </w:tc>
        <w:tc>
          <w:tcPr>
            <w:tcW w:w="0" w:type="auto"/>
          </w:tcPr>
          <w:p w14:paraId="24744E96">
            <w:pPr>
              <w:jc w:val="both"/>
              <w:rPr>
                <w:rFonts w:ascii="仿宋" w:hAnsi="仿宋" w:eastAsia="仿宋" w:cs="仿宋"/>
                <w:color w:val="000000"/>
                <w:sz w:val="20"/>
                <w:szCs w:val="20"/>
              </w:rPr>
            </w:pPr>
          </w:p>
        </w:tc>
        <w:tc>
          <w:tcPr>
            <w:tcW w:w="0" w:type="auto"/>
          </w:tcPr>
          <w:p w14:paraId="4BD44848">
            <w:pPr>
              <w:jc w:val="both"/>
              <w:rPr>
                <w:rFonts w:ascii="仿宋" w:hAnsi="仿宋" w:eastAsia="仿宋" w:cs="仿宋"/>
                <w:color w:val="000000"/>
                <w:sz w:val="20"/>
                <w:szCs w:val="20"/>
              </w:rPr>
            </w:pPr>
          </w:p>
        </w:tc>
        <w:tc>
          <w:tcPr>
            <w:tcW w:w="0" w:type="auto"/>
          </w:tcPr>
          <w:p w14:paraId="15122023">
            <w:pPr>
              <w:jc w:val="both"/>
              <w:rPr>
                <w:rFonts w:ascii="仿宋" w:hAnsi="仿宋" w:eastAsia="仿宋" w:cs="仿宋"/>
                <w:color w:val="000000"/>
                <w:sz w:val="20"/>
                <w:szCs w:val="20"/>
              </w:rPr>
            </w:pPr>
          </w:p>
        </w:tc>
        <w:tc>
          <w:tcPr>
            <w:tcW w:w="0" w:type="auto"/>
          </w:tcPr>
          <w:p w14:paraId="3DD1F410">
            <w:pPr>
              <w:jc w:val="both"/>
              <w:rPr>
                <w:rFonts w:ascii="仿宋" w:hAnsi="仿宋" w:eastAsia="仿宋" w:cs="仿宋"/>
                <w:color w:val="000000"/>
                <w:sz w:val="20"/>
                <w:szCs w:val="20"/>
              </w:rPr>
            </w:pPr>
          </w:p>
        </w:tc>
        <w:tc>
          <w:tcPr>
            <w:tcW w:w="0" w:type="auto"/>
          </w:tcPr>
          <w:p w14:paraId="3EBC25CF">
            <w:pPr>
              <w:jc w:val="both"/>
              <w:rPr>
                <w:rFonts w:ascii="仿宋" w:hAnsi="仿宋" w:eastAsia="仿宋" w:cs="仿宋"/>
                <w:color w:val="000000"/>
                <w:sz w:val="20"/>
                <w:szCs w:val="20"/>
              </w:rPr>
            </w:pPr>
          </w:p>
        </w:tc>
      </w:tr>
      <w:tr w14:paraId="3D49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B20934C">
            <w:pPr>
              <w:jc w:val="both"/>
              <w:rPr>
                <w:rFonts w:ascii="仿宋" w:hAnsi="仿宋" w:eastAsia="仿宋" w:cs="仿宋"/>
                <w:color w:val="000000"/>
                <w:sz w:val="20"/>
                <w:szCs w:val="20"/>
              </w:rPr>
            </w:pPr>
            <w:r>
              <w:rPr>
                <w:rFonts w:hint="eastAsia" w:ascii="仿宋" w:hAnsi="仿宋" w:eastAsia="仿宋" w:cs="仿宋"/>
                <w:color w:val="000000"/>
                <w:sz w:val="20"/>
                <w:szCs w:val="20"/>
              </w:rPr>
              <w:t>贷款升级（本金）占比</w:t>
            </w:r>
          </w:p>
        </w:tc>
        <w:tc>
          <w:tcPr>
            <w:tcW w:w="0" w:type="auto"/>
          </w:tcPr>
          <w:p w14:paraId="61C1914A">
            <w:pPr>
              <w:jc w:val="both"/>
              <w:rPr>
                <w:rFonts w:ascii="仿宋" w:hAnsi="仿宋" w:eastAsia="仿宋" w:cs="仿宋"/>
                <w:color w:val="000000"/>
                <w:sz w:val="20"/>
                <w:szCs w:val="20"/>
              </w:rPr>
            </w:pPr>
          </w:p>
        </w:tc>
        <w:tc>
          <w:tcPr>
            <w:tcW w:w="0" w:type="auto"/>
          </w:tcPr>
          <w:p w14:paraId="5407AB82">
            <w:pPr>
              <w:jc w:val="both"/>
              <w:rPr>
                <w:rFonts w:ascii="仿宋" w:hAnsi="仿宋" w:eastAsia="仿宋" w:cs="仿宋"/>
                <w:color w:val="000000"/>
                <w:sz w:val="20"/>
                <w:szCs w:val="20"/>
              </w:rPr>
            </w:pPr>
          </w:p>
        </w:tc>
        <w:tc>
          <w:tcPr>
            <w:tcW w:w="0" w:type="auto"/>
          </w:tcPr>
          <w:p w14:paraId="31EC5E46">
            <w:pPr>
              <w:jc w:val="both"/>
              <w:rPr>
                <w:rFonts w:ascii="仿宋" w:hAnsi="仿宋" w:eastAsia="仿宋" w:cs="仿宋"/>
                <w:color w:val="000000"/>
                <w:sz w:val="20"/>
                <w:szCs w:val="20"/>
              </w:rPr>
            </w:pPr>
          </w:p>
        </w:tc>
        <w:tc>
          <w:tcPr>
            <w:tcW w:w="0" w:type="auto"/>
          </w:tcPr>
          <w:p w14:paraId="7900B324">
            <w:pPr>
              <w:jc w:val="both"/>
              <w:rPr>
                <w:rFonts w:ascii="仿宋" w:hAnsi="仿宋" w:eastAsia="仿宋" w:cs="仿宋"/>
                <w:color w:val="000000"/>
                <w:sz w:val="20"/>
                <w:szCs w:val="20"/>
              </w:rPr>
            </w:pPr>
          </w:p>
        </w:tc>
        <w:tc>
          <w:tcPr>
            <w:tcW w:w="0" w:type="auto"/>
          </w:tcPr>
          <w:p w14:paraId="49D21B80">
            <w:pPr>
              <w:jc w:val="both"/>
              <w:rPr>
                <w:rFonts w:ascii="仿宋" w:hAnsi="仿宋" w:eastAsia="仿宋" w:cs="仿宋"/>
                <w:color w:val="000000"/>
                <w:sz w:val="20"/>
                <w:szCs w:val="20"/>
              </w:rPr>
            </w:pPr>
          </w:p>
        </w:tc>
        <w:tc>
          <w:tcPr>
            <w:tcW w:w="0" w:type="auto"/>
          </w:tcPr>
          <w:p w14:paraId="19E5032B">
            <w:pPr>
              <w:jc w:val="both"/>
              <w:rPr>
                <w:rFonts w:ascii="仿宋" w:hAnsi="仿宋" w:eastAsia="仿宋" w:cs="仿宋"/>
                <w:color w:val="000000"/>
                <w:sz w:val="20"/>
                <w:szCs w:val="20"/>
              </w:rPr>
            </w:pPr>
          </w:p>
        </w:tc>
      </w:tr>
      <w:tr w14:paraId="7B5E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D66FAE0">
            <w:pPr>
              <w:jc w:val="both"/>
              <w:rPr>
                <w:rFonts w:ascii="仿宋" w:hAnsi="仿宋" w:eastAsia="仿宋" w:cs="仿宋"/>
                <w:color w:val="000000"/>
                <w:sz w:val="20"/>
                <w:szCs w:val="20"/>
              </w:rPr>
            </w:pPr>
            <w:r>
              <w:rPr>
                <w:rFonts w:hint="eastAsia" w:ascii="仿宋" w:hAnsi="仿宋" w:eastAsia="仿宋" w:cs="仿宋"/>
                <w:color w:val="000000"/>
                <w:sz w:val="20"/>
                <w:szCs w:val="20"/>
              </w:rPr>
              <w:t>贷款核销（本金）占比</w:t>
            </w:r>
          </w:p>
        </w:tc>
        <w:tc>
          <w:tcPr>
            <w:tcW w:w="0" w:type="auto"/>
          </w:tcPr>
          <w:p w14:paraId="0B3E7702">
            <w:pPr>
              <w:jc w:val="both"/>
              <w:rPr>
                <w:rFonts w:ascii="仿宋" w:hAnsi="仿宋" w:eastAsia="仿宋" w:cs="仿宋"/>
                <w:color w:val="000000"/>
                <w:sz w:val="20"/>
                <w:szCs w:val="20"/>
              </w:rPr>
            </w:pPr>
          </w:p>
        </w:tc>
        <w:tc>
          <w:tcPr>
            <w:tcW w:w="0" w:type="auto"/>
          </w:tcPr>
          <w:p w14:paraId="52DE39EC">
            <w:pPr>
              <w:jc w:val="both"/>
              <w:rPr>
                <w:rFonts w:ascii="仿宋" w:hAnsi="仿宋" w:eastAsia="仿宋" w:cs="仿宋"/>
                <w:color w:val="000000"/>
                <w:sz w:val="20"/>
                <w:szCs w:val="20"/>
              </w:rPr>
            </w:pPr>
          </w:p>
        </w:tc>
        <w:tc>
          <w:tcPr>
            <w:tcW w:w="0" w:type="auto"/>
          </w:tcPr>
          <w:p w14:paraId="13EA847D">
            <w:pPr>
              <w:jc w:val="both"/>
              <w:rPr>
                <w:rFonts w:ascii="仿宋" w:hAnsi="仿宋" w:eastAsia="仿宋" w:cs="仿宋"/>
                <w:color w:val="000000"/>
                <w:sz w:val="20"/>
                <w:szCs w:val="20"/>
              </w:rPr>
            </w:pPr>
          </w:p>
        </w:tc>
        <w:tc>
          <w:tcPr>
            <w:tcW w:w="0" w:type="auto"/>
          </w:tcPr>
          <w:p w14:paraId="41647D11">
            <w:pPr>
              <w:jc w:val="both"/>
              <w:rPr>
                <w:rFonts w:ascii="仿宋" w:hAnsi="仿宋" w:eastAsia="仿宋" w:cs="仿宋"/>
                <w:color w:val="000000"/>
                <w:sz w:val="20"/>
                <w:szCs w:val="20"/>
              </w:rPr>
            </w:pPr>
          </w:p>
        </w:tc>
        <w:tc>
          <w:tcPr>
            <w:tcW w:w="0" w:type="auto"/>
          </w:tcPr>
          <w:p w14:paraId="755045AC">
            <w:pPr>
              <w:jc w:val="both"/>
              <w:rPr>
                <w:rFonts w:ascii="仿宋" w:hAnsi="仿宋" w:eastAsia="仿宋" w:cs="仿宋"/>
                <w:color w:val="000000"/>
                <w:sz w:val="20"/>
                <w:szCs w:val="20"/>
              </w:rPr>
            </w:pPr>
          </w:p>
        </w:tc>
        <w:tc>
          <w:tcPr>
            <w:tcW w:w="0" w:type="auto"/>
          </w:tcPr>
          <w:p w14:paraId="67B18B28">
            <w:pPr>
              <w:jc w:val="both"/>
              <w:rPr>
                <w:rFonts w:ascii="仿宋" w:hAnsi="仿宋" w:eastAsia="仿宋" w:cs="仿宋"/>
                <w:color w:val="000000"/>
                <w:sz w:val="20"/>
                <w:szCs w:val="20"/>
              </w:rPr>
            </w:pPr>
          </w:p>
        </w:tc>
      </w:tr>
      <w:tr w14:paraId="43DB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A0F941E">
            <w:pPr>
              <w:jc w:val="both"/>
              <w:rPr>
                <w:rFonts w:ascii="仿宋" w:hAnsi="仿宋" w:eastAsia="仿宋" w:cs="仿宋"/>
                <w:color w:val="000000"/>
                <w:sz w:val="20"/>
                <w:szCs w:val="20"/>
              </w:rPr>
            </w:pPr>
            <w:r>
              <w:rPr>
                <w:rFonts w:hint="eastAsia" w:ascii="仿宋" w:hAnsi="仿宋" w:eastAsia="仿宋" w:cs="仿宋"/>
                <w:color w:val="000000"/>
                <w:sz w:val="20"/>
                <w:szCs w:val="20"/>
              </w:rPr>
              <w:t>批量转出（本金）占比</w:t>
            </w:r>
          </w:p>
        </w:tc>
        <w:tc>
          <w:tcPr>
            <w:tcW w:w="0" w:type="auto"/>
          </w:tcPr>
          <w:p w14:paraId="6F29D40F">
            <w:pPr>
              <w:jc w:val="both"/>
              <w:rPr>
                <w:rFonts w:ascii="仿宋" w:hAnsi="仿宋" w:eastAsia="仿宋" w:cs="仿宋"/>
                <w:color w:val="000000"/>
                <w:sz w:val="20"/>
                <w:szCs w:val="20"/>
              </w:rPr>
            </w:pPr>
          </w:p>
        </w:tc>
        <w:tc>
          <w:tcPr>
            <w:tcW w:w="0" w:type="auto"/>
          </w:tcPr>
          <w:p w14:paraId="7CB2952E">
            <w:pPr>
              <w:jc w:val="both"/>
              <w:rPr>
                <w:rFonts w:ascii="仿宋" w:hAnsi="仿宋" w:eastAsia="仿宋" w:cs="仿宋"/>
                <w:color w:val="000000"/>
                <w:sz w:val="20"/>
                <w:szCs w:val="20"/>
              </w:rPr>
            </w:pPr>
          </w:p>
        </w:tc>
        <w:tc>
          <w:tcPr>
            <w:tcW w:w="0" w:type="auto"/>
          </w:tcPr>
          <w:p w14:paraId="11DFD4C5">
            <w:pPr>
              <w:jc w:val="both"/>
              <w:rPr>
                <w:rFonts w:ascii="仿宋" w:hAnsi="仿宋" w:eastAsia="仿宋" w:cs="仿宋"/>
                <w:color w:val="000000"/>
                <w:sz w:val="20"/>
                <w:szCs w:val="20"/>
              </w:rPr>
            </w:pPr>
          </w:p>
        </w:tc>
        <w:tc>
          <w:tcPr>
            <w:tcW w:w="0" w:type="auto"/>
          </w:tcPr>
          <w:p w14:paraId="10C52B45">
            <w:pPr>
              <w:jc w:val="both"/>
              <w:rPr>
                <w:rFonts w:ascii="仿宋" w:hAnsi="仿宋" w:eastAsia="仿宋" w:cs="仿宋"/>
                <w:color w:val="000000"/>
                <w:sz w:val="20"/>
                <w:szCs w:val="20"/>
              </w:rPr>
            </w:pPr>
          </w:p>
        </w:tc>
        <w:tc>
          <w:tcPr>
            <w:tcW w:w="0" w:type="auto"/>
          </w:tcPr>
          <w:p w14:paraId="777D2CE6">
            <w:pPr>
              <w:jc w:val="both"/>
              <w:rPr>
                <w:rFonts w:ascii="仿宋" w:hAnsi="仿宋" w:eastAsia="仿宋" w:cs="仿宋"/>
                <w:color w:val="000000"/>
                <w:sz w:val="20"/>
                <w:szCs w:val="20"/>
              </w:rPr>
            </w:pPr>
          </w:p>
        </w:tc>
        <w:tc>
          <w:tcPr>
            <w:tcW w:w="0" w:type="auto"/>
          </w:tcPr>
          <w:p w14:paraId="46C44403">
            <w:pPr>
              <w:jc w:val="both"/>
              <w:rPr>
                <w:rFonts w:ascii="仿宋" w:hAnsi="仿宋" w:eastAsia="仿宋" w:cs="仿宋"/>
                <w:color w:val="000000"/>
                <w:sz w:val="20"/>
                <w:szCs w:val="20"/>
              </w:rPr>
            </w:pPr>
          </w:p>
        </w:tc>
      </w:tr>
      <w:tr w14:paraId="5FF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1267A58">
            <w:pPr>
              <w:jc w:val="both"/>
              <w:rPr>
                <w:rFonts w:ascii="仿宋" w:hAnsi="仿宋" w:eastAsia="仿宋" w:cs="仿宋"/>
                <w:color w:val="000000"/>
                <w:sz w:val="20"/>
                <w:szCs w:val="20"/>
              </w:rPr>
            </w:pPr>
            <w:r>
              <w:rPr>
                <w:rFonts w:hint="eastAsia" w:ascii="仿宋" w:hAnsi="仿宋" w:eastAsia="仿宋" w:cs="仿宋"/>
                <w:color w:val="000000"/>
                <w:sz w:val="20"/>
                <w:szCs w:val="20"/>
              </w:rPr>
              <w:t>以物抵债（本金）占比</w:t>
            </w:r>
          </w:p>
        </w:tc>
        <w:tc>
          <w:tcPr>
            <w:tcW w:w="0" w:type="auto"/>
          </w:tcPr>
          <w:p w14:paraId="7214AC48">
            <w:pPr>
              <w:jc w:val="both"/>
              <w:rPr>
                <w:rFonts w:ascii="仿宋" w:hAnsi="仿宋" w:eastAsia="仿宋" w:cs="仿宋"/>
                <w:color w:val="000000"/>
                <w:sz w:val="20"/>
                <w:szCs w:val="20"/>
              </w:rPr>
            </w:pPr>
          </w:p>
        </w:tc>
        <w:tc>
          <w:tcPr>
            <w:tcW w:w="0" w:type="auto"/>
          </w:tcPr>
          <w:p w14:paraId="4ADAF8C0">
            <w:pPr>
              <w:jc w:val="both"/>
              <w:rPr>
                <w:rFonts w:ascii="仿宋" w:hAnsi="仿宋" w:eastAsia="仿宋" w:cs="仿宋"/>
                <w:color w:val="000000"/>
                <w:sz w:val="20"/>
                <w:szCs w:val="20"/>
              </w:rPr>
            </w:pPr>
          </w:p>
        </w:tc>
        <w:tc>
          <w:tcPr>
            <w:tcW w:w="0" w:type="auto"/>
          </w:tcPr>
          <w:p w14:paraId="50C7E6BB">
            <w:pPr>
              <w:jc w:val="both"/>
              <w:rPr>
                <w:rFonts w:ascii="仿宋" w:hAnsi="仿宋" w:eastAsia="仿宋" w:cs="仿宋"/>
                <w:color w:val="000000"/>
                <w:sz w:val="20"/>
                <w:szCs w:val="20"/>
              </w:rPr>
            </w:pPr>
          </w:p>
        </w:tc>
        <w:tc>
          <w:tcPr>
            <w:tcW w:w="0" w:type="auto"/>
          </w:tcPr>
          <w:p w14:paraId="40875508">
            <w:pPr>
              <w:jc w:val="both"/>
              <w:rPr>
                <w:rFonts w:ascii="仿宋" w:hAnsi="仿宋" w:eastAsia="仿宋" w:cs="仿宋"/>
                <w:color w:val="000000"/>
                <w:sz w:val="20"/>
                <w:szCs w:val="20"/>
              </w:rPr>
            </w:pPr>
          </w:p>
        </w:tc>
        <w:tc>
          <w:tcPr>
            <w:tcW w:w="0" w:type="auto"/>
          </w:tcPr>
          <w:p w14:paraId="2DE9B37B">
            <w:pPr>
              <w:jc w:val="both"/>
              <w:rPr>
                <w:rFonts w:ascii="仿宋" w:hAnsi="仿宋" w:eastAsia="仿宋" w:cs="仿宋"/>
                <w:color w:val="000000"/>
                <w:sz w:val="20"/>
                <w:szCs w:val="20"/>
              </w:rPr>
            </w:pPr>
          </w:p>
        </w:tc>
        <w:tc>
          <w:tcPr>
            <w:tcW w:w="0" w:type="auto"/>
          </w:tcPr>
          <w:p w14:paraId="746C0721">
            <w:pPr>
              <w:jc w:val="both"/>
              <w:rPr>
                <w:rFonts w:ascii="仿宋" w:hAnsi="仿宋" w:eastAsia="仿宋" w:cs="仿宋"/>
                <w:color w:val="000000"/>
                <w:sz w:val="20"/>
                <w:szCs w:val="20"/>
              </w:rPr>
            </w:pPr>
          </w:p>
        </w:tc>
      </w:tr>
      <w:tr w14:paraId="6E9A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E11ACD3">
            <w:pPr>
              <w:jc w:val="both"/>
              <w:rPr>
                <w:rFonts w:ascii="仿宋" w:hAnsi="仿宋" w:eastAsia="仿宋" w:cs="仿宋"/>
                <w:color w:val="000000"/>
                <w:sz w:val="20"/>
                <w:szCs w:val="20"/>
              </w:rPr>
            </w:pPr>
            <w:r>
              <w:rPr>
                <w:rFonts w:hint="eastAsia" w:ascii="仿宋" w:hAnsi="仿宋" w:eastAsia="仿宋" w:cs="仿宋"/>
                <w:color w:val="000000"/>
                <w:sz w:val="20"/>
                <w:szCs w:val="20"/>
              </w:rPr>
              <w:t>（其他或有方式占比）</w:t>
            </w:r>
          </w:p>
        </w:tc>
        <w:tc>
          <w:tcPr>
            <w:tcW w:w="0" w:type="auto"/>
          </w:tcPr>
          <w:p w14:paraId="785E587B">
            <w:pPr>
              <w:jc w:val="both"/>
              <w:rPr>
                <w:rFonts w:ascii="仿宋" w:hAnsi="仿宋" w:eastAsia="仿宋" w:cs="仿宋"/>
                <w:color w:val="000000"/>
                <w:sz w:val="20"/>
                <w:szCs w:val="20"/>
              </w:rPr>
            </w:pPr>
          </w:p>
        </w:tc>
        <w:tc>
          <w:tcPr>
            <w:tcW w:w="0" w:type="auto"/>
          </w:tcPr>
          <w:p w14:paraId="20CAFF3A">
            <w:pPr>
              <w:jc w:val="both"/>
              <w:rPr>
                <w:rFonts w:ascii="仿宋" w:hAnsi="仿宋" w:eastAsia="仿宋" w:cs="仿宋"/>
                <w:color w:val="000000"/>
                <w:sz w:val="20"/>
                <w:szCs w:val="20"/>
              </w:rPr>
            </w:pPr>
          </w:p>
        </w:tc>
        <w:tc>
          <w:tcPr>
            <w:tcW w:w="0" w:type="auto"/>
          </w:tcPr>
          <w:p w14:paraId="703117C3">
            <w:pPr>
              <w:jc w:val="both"/>
              <w:rPr>
                <w:rFonts w:ascii="仿宋" w:hAnsi="仿宋" w:eastAsia="仿宋" w:cs="仿宋"/>
                <w:color w:val="000000"/>
                <w:sz w:val="20"/>
                <w:szCs w:val="20"/>
              </w:rPr>
            </w:pPr>
          </w:p>
        </w:tc>
        <w:tc>
          <w:tcPr>
            <w:tcW w:w="0" w:type="auto"/>
          </w:tcPr>
          <w:p w14:paraId="01D97B11">
            <w:pPr>
              <w:jc w:val="both"/>
              <w:rPr>
                <w:rFonts w:ascii="仿宋" w:hAnsi="仿宋" w:eastAsia="仿宋" w:cs="仿宋"/>
                <w:color w:val="000000"/>
                <w:sz w:val="20"/>
                <w:szCs w:val="20"/>
              </w:rPr>
            </w:pPr>
          </w:p>
        </w:tc>
        <w:tc>
          <w:tcPr>
            <w:tcW w:w="0" w:type="auto"/>
          </w:tcPr>
          <w:p w14:paraId="66CD64D5">
            <w:pPr>
              <w:jc w:val="both"/>
              <w:rPr>
                <w:rFonts w:ascii="仿宋" w:hAnsi="仿宋" w:eastAsia="仿宋" w:cs="仿宋"/>
                <w:color w:val="000000"/>
                <w:sz w:val="20"/>
                <w:szCs w:val="20"/>
              </w:rPr>
            </w:pPr>
          </w:p>
        </w:tc>
        <w:tc>
          <w:tcPr>
            <w:tcW w:w="0" w:type="auto"/>
          </w:tcPr>
          <w:p w14:paraId="743C6165">
            <w:pPr>
              <w:jc w:val="both"/>
              <w:rPr>
                <w:rFonts w:ascii="仿宋" w:hAnsi="仿宋" w:eastAsia="仿宋" w:cs="仿宋"/>
                <w:color w:val="000000"/>
                <w:sz w:val="20"/>
                <w:szCs w:val="20"/>
              </w:rPr>
            </w:pPr>
          </w:p>
        </w:tc>
      </w:tr>
    </w:tbl>
    <w:p w14:paraId="7127611B">
      <w:pPr>
        <w:rPr>
          <w:rFonts w:ascii="仿宋" w:hAnsi="仿宋" w:eastAsia="仿宋" w:cs="仿宋"/>
          <w:b/>
          <w:color w:val="000000"/>
        </w:rPr>
      </w:pPr>
    </w:p>
    <w:p w14:paraId="007035F7">
      <w:pPr>
        <w:rPr>
          <w:rFonts w:ascii="仿宋" w:hAnsi="仿宋" w:eastAsia="仿宋" w:cs="仿宋"/>
          <w:b/>
          <w:color w:val="000000"/>
        </w:rPr>
      </w:pPr>
      <w:r>
        <w:rPr>
          <w:rFonts w:hint="eastAsia" w:ascii="仿宋" w:hAnsi="仿宋" w:eastAsia="仿宋" w:cs="仿宋"/>
          <w:b/>
          <w:color w:val="000000"/>
        </w:rPr>
        <w:t>附件4：同类型资产在银行间市场发行产品的基本情况</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417"/>
        <w:gridCol w:w="1133"/>
        <w:gridCol w:w="1277"/>
        <w:gridCol w:w="1158"/>
        <w:gridCol w:w="1218"/>
        <w:gridCol w:w="1218"/>
      </w:tblGrid>
      <w:tr w14:paraId="1F52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563BA0B">
            <w:pPr>
              <w:jc w:val="both"/>
              <w:rPr>
                <w:rFonts w:ascii="仿宋" w:hAnsi="仿宋" w:eastAsia="仿宋" w:cs="仿宋"/>
                <w:color w:val="000000"/>
                <w:sz w:val="22"/>
                <w:szCs w:val="20"/>
              </w:rPr>
            </w:pPr>
            <w:r>
              <w:rPr>
                <w:rFonts w:hint="eastAsia" w:ascii="仿宋" w:hAnsi="仿宋" w:eastAsia="仿宋" w:cs="仿宋"/>
                <w:color w:val="000000"/>
                <w:sz w:val="22"/>
                <w:szCs w:val="20"/>
              </w:rPr>
              <w:t>项目简称</w:t>
            </w:r>
          </w:p>
        </w:tc>
        <w:tc>
          <w:tcPr>
            <w:tcW w:w="1417" w:type="dxa"/>
            <w:vAlign w:val="center"/>
          </w:tcPr>
          <w:p w14:paraId="08A80F26">
            <w:pPr>
              <w:jc w:val="both"/>
              <w:rPr>
                <w:rFonts w:ascii="仿宋" w:hAnsi="仿宋" w:eastAsia="仿宋" w:cs="仿宋"/>
                <w:color w:val="000000"/>
                <w:sz w:val="22"/>
                <w:szCs w:val="20"/>
              </w:rPr>
            </w:pPr>
            <w:r>
              <w:rPr>
                <w:rFonts w:hint="eastAsia" w:ascii="仿宋" w:hAnsi="仿宋" w:eastAsia="仿宋" w:cs="仿宋"/>
                <w:color w:val="000000"/>
                <w:sz w:val="22"/>
                <w:szCs w:val="20"/>
              </w:rPr>
              <w:t>不良资产类别</w:t>
            </w:r>
          </w:p>
        </w:tc>
        <w:tc>
          <w:tcPr>
            <w:tcW w:w="1133" w:type="dxa"/>
            <w:vAlign w:val="center"/>
          </w:tcPr>
          <w:p w14:paraId="20A8978B">
            <w:pPr>
              <w:jc w:val="both"/>
              <w:rPr>
                <w:rFonts w:ascii="仿宋" w:hAnsi="仿宋" w:eastAsia="仿宋" w:cs="仿宋"/>
                <w:color w:val="000000"/>
                <w:sz w:val="22"/>
                <w:szCs w:val="20"/>
              </w:rPr>
            </w:pPr>
            <w:r>
              <w:rPr>
                <w:rFonts w:hint="eastAsia" w:ascii="仿宋" w:hAnsi="仿宋" w:eastAsia="仿宋" w:cs="仿宋"/>
                <w:color w:val="000000"/>
                <w:sz w:val="22"/>
                <w:szCs w:val="20"/>
              </w:rPr>
              <w:t>当前状态</w:t>
            </w:r>
          </w:p>
        </w:tc>
        <w:tc>
          <w:tcPr>
            <w:tcW w:w="1277" w:type="dxa"/>
            <w:vAlign w:val="center"/>
          </w:tcPr>
          <w:p w14:paraId="0979009F">
            <w:pPr>
              <w:jc w:val="both"/>
              <w:rPr>
                <w:rFonts w:ascii="仿宋" w:hAnsi="仿宋" w:eastAsia="仿宋" w:cs="仿宋"/>
                <w:color w:val="000000"/>
                <w:sz w:val="22"/>
                <w:szCs w:val="20"/>
              </w:rPr>
            </w:pPr>
            <w:r>
              <w:rPr>
                <w:rFonts w:hint="eastAsia" w:ascii="仿宋" w:hAnsi="仿宋" w:eastAsia="仿宋" w:cs="仿宋"/>
                <w:color w:val="000000"/>
                <w:sz w:val="22"/>
                <w:szCs w:val="20"/>
              </w:rPr>
              <w:t>预期回收率</w:t>
            </w:r>
          </w:p>
        </w:tc>
        <w:tc>
          <w:tcPr>
            <w:tcW w:w="1158" w:type="dxa"/>
            <w:vAlign w:val="center"/>
          </w:tcPr>
          <w:p w14:paraId="02A03321">
            <w:pPr>
              <w:jc w:val="both"/>
              <w:rPr>
                <w:rFonts w:ascii="仿宋" w:hAnsi="仿宋" w:eastAsia="仿宋" w:cs="仿宋"/>
                <w:color w:val="000000"/>
                <w:sz w:val="22"/>
                <w:szCs w:val="20"/>
              </w:rPr>
            </w:pPr>
            <w:r>
              <w:rPr>
                <w:rFonts w:hint="eastAsia" w:ascii="仿宋" w:hAnsi="仿宋" w:eastAsia="仿宋" w:cs="仿宋"/>
                <w:color w:val="000000"/>
                <w:sz w:val="22"/>
                <w:szCs w:val="20"/>
              </w:rPr>
              <w:t>累计真实回收率</w:t>
            </w:r>
          </w:p>
        </w:tc>
        <w:tc>
          <w:tcPr>
            <w:tcW w:w="1218" w:type="dxa"/>
            <w:vAlign w:val="center"/>
          </w:tcPr>
          <w:p w14:paraId="10DDBF5F">
            <w:pPr>
              <w:jc w:val="both"/>
              <w:rPr>
                <w:rFonts w:ascii="仿宋" w:hAnsi="仿宋" w:eastAsia="仿宋" w:cs="仿宋"/>
                <w:color w:val="000000"/>
                <w:sz w:val="22"/>
                <w:szCs w:val="20"/>
              </w:rPr>
            </w:pPr>
            <w:r>
              <w:rPr>
                <w:rFonts w:hint="eastAsia" w:ascii="仿宋" w:hAnsi="仿宋" w:eastAsia="仿宋" w:cs="仿宋"/>
                <w:color w:val="000000"/>
                <w:sz w:val="22"/>
                <w:szCs w:val="20"/>
              </w:rPr>
              <w:t>累计真实回收/预测回收</w:t>
            </w:r>
          </w:p>
        </w:tc>
        <w:tc>
          <w:tcPr>
            <w:tcW w:w="1218" w:type="dxa"/>
            <w:vAlign w:val="center"/>
          </w:tcPr>
          <w:p w14:paraId="696006F4">
            <w:pPr>
              <w:jc w:val="both"/>
              <w:rPr>
                <w:rFonts w:ascii="仿宋" w:hAnsi="仿宋" w:eastAsia="仿宋" w:cs="仿宋"/>
                <w:color w:val="000000"/>
                <w:sz w:val="22"/>
                <w:szCs w:val="20"/>
              </w:rPr>
            </w:pPr>
            <w:r>
              <w:rPr>
                <w:rFonts w:hint="eastAsia" w:ascii="仿宋" w:hAnsi="仿宋" w:eastAsia="仿宋" w:cs="仿宋"/>
                <w:color w:val="000000"/>
                <w:sz w:val="22"/>
                <w:szCs w:val="20"/>
              </w:rPr>
              <w:t>存续期数（月）</w:t>
            </w:r>
          </w:p>
        </w:tc>
      </w:tr>
      <w:tr w14:paraId="5045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3C62CB99">
            <w:pPr>
              <w:jc w:val="both"/>
              <w:rPr>
                <w:rFonts w:ascii="仿宋" w:hAnsi="仿宋" w:eastAsia="仿宋" w:cs="仿宋"/>
                <w:color w:val="000000"/>
                <w:sz w:val="22"/>
                <w:szCs w:val="20"/>
              </w:rPr>
            </w:pPr>
          </w:p>
        </w:tc>
        <w:tc>
          <w:tcPr>
            <w:tcW w:w="1417" w:type="dxa"/>
          </w:tcPr>
          <w:p w14:paraId="57E38F02">
            <w:pPr>
              <w:jc w:val="both"/>
              <w:rPr>
                <w:rFonts w:ascii="仿宋" w:hAnsi="仿宋" w:eastAsia="仿宋" w:cs="仿宋"/>
                <w:color w:val="000000"/>
                <w:sz w:val="22"/>
                <w:szCs w:val="20"/>
              </w:rPr>
            </w:pPr>
            <w:r>
              <w:rPr>
                <w:rFonts w:hint="eastAsia" w:ascii="仿宋" w:hAnsi="仿宋" w:eastAsia="仿宋" w:cs="仿宋"/>
                <w:color w:val="000000"/>
                <w:sz w:val="22"/>
                <w:szCs w:val="20"/>
              </w:rPr>
              <w:t>参考本表格体系“发行说明书”附件1</w:t>
            </w:r>
          </w:p>
        </w:tc>
        <w:tc>
          <w:tcPr>
            <w:tcW w:w="1133" w:type="dxa"/>
            <w:vAlign w:val="center"/>
          </w:tcPr>
          <w:p w14:paraId="7292A2DE">
            <w:pPr>
              <w:jc w:val="both"/>
              <w:rPr>
                <w:rFonts w:ascii="仿宋" w:hAnsi="仿宋" w:eastAsia="仿宋" w:cs="仿宋"/>
                <w:color w:val="000000"/>
                <w:sz w:val="22"/>
                <w:szCs w:val="20"/>
              </w:rPr>
            </w:pPr>
            <w:r>
              <w:rPr>
                <w:rFonts w:hint="eastAsia" w:ascii="仿宋" w:hAnsi="仿宋" w:eastAsia="仿宋" w:cs="仿宋"/>
                <w:color w:val="000000"/>
                <w:sz w:val="22"/>
                <w:szCs w:val="20"/>
              </w:rPr>
              <w:t>存续期、已清算</w:t>
            </w:r>
          </w:p>
        </w:tc>
        <w:tc>
          <w:tcPr>
            <w:tcW w:w="1277" w:type="dxa"/>
            <w:vAlign w:val="center"/>
          </w:tcPr>
          <w:p w14:paraId="5FC74E51">
            <w:pPr>
              <w:jc w:val="both"/>
              <w:rPr>
                <w:rFonts w:ascii="仿宋" w:hAnsi="仿宋" w:eastAsia="仿宋" w:cs="仿宋"/>
                <w:color w:val="000000"/>
                <w:sz w:val="22"/>
                <w:szCs w:val="20"/>
              </w:rPr>
            </w:pPr>
            <w:r>
              <w:rPr>
                <w:rFonts w:hint="eastAsia" w:ascii="仿宋" w:hAnsi="仿宋" w:eastAsia="仿宋" w:cs="仿宋"/>
                <w:color w:val="000000"/>
                <w:sz w:val="22"/>
                <w:szCs w:val="20"/>
              </w:rPr>
              <w:t>发</w:t>
            </w:r>
            <w:r>
              <w:rPr>
                <w:rFonts w:hint="eastAsia" w:ascii="仿宋" w:hAnsi="仿宋" w:eastAsia="仿宋" w:cs="仿宋"/>
                <w:color w:val="000000"/>
                <w:sz w:val="22"/>
                <w:szCs w:val="20"/>
                <w:lang w:eastAsia="zh-CN"/>
              </w:rPr>
              <w:t>行说</w:t>
            </w:r>
            <w:r>
              <w:rPr>
                <w:rFonts w:hint="eastAsia" w:ascii="仿宋" w:hAnsi="仿宋" w:eastAsia="仿宋" w:cs="仿宋"/>
                <w:color w:val="000000"/>
                <w:sz w:val="22"/>
                <w:szCs w:val="20"/>
              </w:rPr>
              <w:t>明书中披露的法定到期日前预测回收率</w:t>
            </w:r>
          </w:p>
        </w:tc>
        <w:tc>
          <w:tcPr>
            <w:tcW w:w="1158" w:type="dxa"/>
            <w:vAlign w:val="center"/>
          </w:tcPr>
          <w:p w14:paraId="5AD0D6F1">
            <w:pPr>
              <w:jc w:val="both"/>
              <w:rPr>
                <w:rFonts w:ascii="仿宋" w:hAnsi="仿宋" w:eastAsia="仿宋" w:cs="仿宋"/>
                <w:color w:val="000000"/>
                <w:sz w:val="22"/>
                <w:szCs w:val="20"/>
              </w:rPr>
            </w:pPr>
          </w:p>
        </w:tc>
        <w:tc>
          <w:tcPr>
            <w:tcW w:w="2436" w:type="dxa"/>
            <w:gridSpan w:val="2"/>
            <w:vAlign w:val="center"/>
          </w:tcPr>
          <w:p w14:paraId="10BAFCD5">
            <w:pPr>
              <w:jc w:val="both"/>
              <w:rPr>
                <w:rFonts w:ascii="仿宋" w:hAnsi="仿宋" w:eastAsia="仿宋" w:cs="仿宋"/>
                <w:color w:val="000000"/>
                <w:sz w:val="22"/>
                <w:szCs w:val="20"/>
              </w:rPr>
            </w:pPr>
            <w:r>
              <w:rPr>
                <w:rFonts w:hint="eastAsia" w:ascii="仿宋" w:hAnsi="仿宋" w:eastAsia="仿宋" w:cs="仿宋"/>
                <w:color w:val="000000"/>
                <w:sz w:val="22"/>
                <w:szCs w:val="20"/>
              </w:rPr>
              <w:t>核算区间：初始起算日至资产池统计日期</w:t>
            </w:r>
          </w:p>
        </w:tc>
      </w:tr>
    </w:tbl>
    <w:p w14:paraId="2E1068B6">
      <w:pPr>
        <w:ind w:firstLine="600" w:firstLineChars="200"/>
        <w:jc w:val="both"/>
        <w:rPr>
          <w:rFonts w:ascii="仿宋" w:hAnsi="仿宋" w:eastAsia="仿宋" w:cs="仿宋"/>
          <w:b/>
          <w:bCs/>
          <w:sz w:val="30"/>
          <w:szCs w:val="30"/>
        </w:rPr>
      </w:pPr>
      <w:r>
        <w:rPr>
          <w:rFonts w:hint="eastAsia" w:ascii="仿宋" w:hAnsi="仿宋" w:eastAsia="仿宋" w:cs="仿宋"/>
          <w:sz w:val="30"/>
          <w:szCs w:val="30"/>
        </w:rPr>
        <w:t>三、</w:t>
      </w:r>
      <w:r>
        <w:rPr>
          <w:rFonts w:hint="eastAsia" w:ascii="仿宋" w:hAnsi="仿宋" w:eastAsia="仿宋" w:cs="仿宋"/>
          <w:b/>
          <w:bCs/>
          <w:sz w:val="30"/>
          <w:szCs w:val="30"/>
        </w:rPr>
        <w:t>发行说明书</w:t>
      </w:r>
    </w:p>
    <w:tbl>
      <w:tblPr>
        <w:tblStyle w:val="10"/>
        <w:tblW w:w="0" w:type="auto"/>
        <w:tblInd w:w="0" w:type="dxa"/>
        <w:tblLayout w:type="autofit"/>
        <w:tblCellMar>
          <w:top w:w="0" w:type="dxa"/>
          <w:left w:w="108" w:type="dxa"/>
          <w:bottom w:w="0" w:type="dxa"/>
          <w:right w:w="108" w:type="dxa"/>
        </w:tblCellMar>
      </w:tblPr>
      <w:tblGrid>
        <w:gridCol w:w="1014"/>
        <w:gridCol w:w="5473"/>
        <w:gridCol w:w="774"/>
        <w:gridCol w:w="1261"/>
      </w:tblGrid>
      <w:tr w14:paraId="2B381936">
        <w:tblPrEx>
          <w:tblCellMar>
            <w:top w:w="0" w:type="dxa"/>
            <w:left w:w="108" w:type="dxa"/>
            <w:bottom w:w="0" w:type="dxa"/>
            <w:right w:w="108" w:type="dxa"/>
          </w:tblCellMar>
        </w:tblPrEx>
        <w:trPr>
          <w:trHeight w:val="375" w:hRule="atLeast"/>
        </w:trPr>
        <w:tc>
          <w:tcPr>
            <w:tcW w:w="8522" w:type="dxa"/>
            <w:gridSpan w:val="4"/>
            <w:tcBorders>
              <w:top w:val="single" w:color="auto" w:sz="4" w:space="0"/>
              <w:left w:val="single" w:color="auto" w:sz="4" w:space="0"/>
              <w:bottom w:val="single" w:color="auto" w:sz="4" w:space="0"/>
              <w:right w:val="single" w:color="auto" w:sz="4" w:space="0"/>
            </w:tcBorders>
          </w:tcPr>
          <w:p w14:paraId="178A8192">
            <w:pPr>
              <w:rPr>
                <w:rFonts w:ascii="仿宋" w:hAnsi="仿宋" w:eastAsia="仿宋" w:cs="仿宋"/>
              </w:rPr>
            </w:pPr>
            <w:r>
              <w:rPr>
                <w:rFonts w:hint="eastAsia" w:ascii="仿宋" w:hAnsi="仿宋" w:eastAsia="仿宋" w:cs="仿宋"/>
                <w:b/>
                <w:color w:val="000000"/>
                <w:sz w:val="28"/>
                <w:szCs w:val="28"/>
              </w:rPr>
              <w:t>发行说明书</w:t>
            </w:r>
          </w:p>
        </w:tc>
      </w:tr>
      <w:tr w14:paraId="6FEE76D9">
        <w:tblPrEx>
          <w:tblCellMar>
            <w:top w:w="0" w:type="dxa"/>
            <w:left w:w="108" w:type="dxa"/>
            <w:bottom w:w="0" w:type="dxa"/>
            <w:right w:w="108" w:type="dxa"/>
          </w:tblCellMar>
        </w:tblPrEx>
        <w:trPr>
          <w:trHeight w:val="375" w:hRule="atLeast"/>
        </w:trPr>
        <w:tc>
          <w:tcPr>
            <w:tcW w:w="1014" w:type="dxa"/>
            <w:tcBorders>
              <w:top w:val="nil"/>
              <w:left w:val="single" w:color="auto" w:sz="4" w:space="0"/>
              <w:bottom w:val="single" w:color="auto" w:sz="4" w:space="0"/>
              <w:right w:val="single" w:color="auto" w:sz="4" w:space="0"/>
            </w:tcBorders>
            <w:noWrap/>
            <w:vAlign w:val="center"/>
          </w:tcPr>
          <w:p w14:paraId="1CF4F5FB">
            <w:pPr>
              <w:jc w:val="both"/>
              <w:rPr>
                <w:rFonts w:ascii="仿宋" w:hAnsi="仿宋" w:eastAsia="仿宋" w:cs="仿宋"/>
                <w:color w:val="000000"/>
              </w:rPr>
            </w:pPr>
            <w:r>
              <w:rPr>
                <w:rFonts w:hint="eastAsia" w:ascii="仿宋" w:hAnsi="仿宋" w:eastAsia="仿宋" w:cs="仿宋"/>
                <w:color w:val="000000"/>
              </w:rPr>
              <w:t>序号</w:t>
            </w:r>
          </w:p>
        </w:tc>
        <w:tc>
          <w:tcPr>
            <w:tcW w:w="5473" w:type="dxa"/>
            <w:tcBorders>
              <w:top w:val="nil"/>
              <w:left w:val="nil"/>
              <w:bottom w:val="single" w:color="auto" w:sz="4" w:space="0"/>
              <w:right w:val="single" w:color="auto" w:sz="4" w:space="0"/>
            </w:tcBorders>
            <w:noWrap/>
            <w:vAlign w:val="center"/>
          </w:tcPr>
          <w:p w14:paraId="43A6F6FB">
            <w:pPr>
              <w:jc w:val="both"/>
              <w:rPr>
                <w:rFonts w:ascii="仿宋" w:hAnsi="仿宋" w:eastAsia="仿宋" w:cs="仿宋"/>
                <w:color w:val="000000"/>
              </w:rPr>
            </w:pPr>
            <w:r>
              <w:rPr>
                <w:rFonts w:hint="eastAsia" w:ascii="仿宋" w:hAnsi="仿宋" w:eastAsia="仿宋" w:cs="仿宋"/>
                <w:color w:val="000000"/>
              </w:rPr>
              <w:t>内容</w:t>
            </w:r>
          </w:p>
        </w:tc>
        <w:tc>
          <w:tcPr>
            <w:tcW w:w="774" w:type="dxa"/>
            <w:tcBorders>
              <w:top w:val="single" w:color="auto" w:sz="4" w:space="0"/>
              <w:left w:val="nil"/>
              <w:bottom w:val="single" w:color="auto" w:sz="4" w:space="0"/>
              <w:right w:val="single" w:color="auto" w:sz="4" w:space="0"/>
            </w:tcBorders>
            <w:vAlign w:val="center"/>
          </w:tcPr>
          <w:p w14:paraId="55F89CF4">
            <w:pPr>
              <w:jc w:val="both"/>
              <w:rPr>
                <w:rFonts w:ascii="仿宋" w:hAnsi="仿宋" w:eastAsia="仿宋" w:cs="仿宋"/>
                <w:color w:val="000000"/>
              </w:rPr>
            </w:pPr>
            <w:r>
              <w:rPr>
                <w:rFonts w:hint="eastAsia" w:ascii="仿宋" w:hAnsi="仿宋" w:eastAsia="仿宋" w:cs="仿宋"/>
                <w:color w:val="000000"/>
              </w:rPr>
              <w:t>页码</w:t>
            </w:r>
          </w:p>
        </w:tc>
        <w:tc>
          <w:tcPr>
            <w:tcW w:w="1261" w:type="dxa"/>
            <w:tcBorders>
              <w:top w:val="single" w:color="auto" w:sz="4" w:space="0"/>
              <w:left w:val="single" w:color="auto" w:sz="4" w:space="0"/>
              <w:bottom w:val="single" w:color="auto" w:sz="4" w:space="0"/>
              <w:right w:val="single" w:color="auto" w:sz="4" w:space="0"/>
            </w:tcBorders>
            <w:noWrap/>
            <w:vAlign w:val="center"/>
          </w:tcPr>
          <w:p w14:paraId="6905F57C">
            <w:pPr>
              <w:jc w:val="both"/>
              <w:rPr>
                <w:rFonts w:ascii="仿宋" w:hAnsi="仿宋" w:eastAsia="仿宋" w:cs="仿宋"/>
                <w:color w:val="000000"/>
              </w:rPr>
            </w:pPr>
            <w:r>
              <w:rPr>
                <w:rFonts w:hint="eastAsia" w:ascii="仿宋" w:hAnsi="仿宋" w:eastAsia="仿宋" w:cs="仿宋"/>
                <w:color w:val="000000"/>
              </w:rPr>
              <w:t>标注</w:t>
            </w:r>
          </w:p>
        </w:tc>
      </w:tr>
      <w:tr w14:paraId="1406C44D">
        <w:tblPrEx>
          <w:tblCellMar>
            <w:top w:w="0" w:type="dxa"/>
            <w:left w:w="108" w:type="dxa"/>
            <w:bottom w:w="0" w:type="dxa"/>
            <w:right w:w="108" w:type="dxa"/>
          </w:tblCellMar>
        </w:tblPrEx>
        <w:trPr>
          <w:trHeight w:val="375" w:hRule="atLeast"/>
        </w:trPr>
        <w:tc>
          <w:tcPr>
            <w:tcW w:w="1014" w:type="dxa"/>
            <w:tcBorders>
              <w:top w:val="nil"/>
              <w:left w:val="single" w:color="auto" w:sz="4" w:space="0"/>
              <w:bottom w:val="single" w:color="auto" w:sz="4" w:space="0"/>
              <w:right w:val="single" w:color="auto" w:sz="4" w:space="0"/>
            </w:tcBorders>
            <w:noWrap/>
            <w:vAlign w:val="center"/>
          </w:tcPr>
          <w:p w14:paraId="13024197">
            <w:pPr>
              <w:jc w:val="both"/>
              <w:rPr>
                <w:rFonts w:ascii="仿宋" w:hAnsi="仿宋" w:eastAsia="仿宋" w:cs="仿宋"/>
                <w:b/>
                <w:color w:val="000000"/>
              </w:rPr>
            </w:pPr>
            <w:r>
              <w:rPr>
                <w:rFonts w:hint="eastAsia" w:ascii="仿宋" w:hAnsi="仿宋" w:eastAsia="仿宋" w:cs="仿宋"/>
                <w:b/>
                <w:color w:val="000000"/>
              </w:rPr>
              <w:t>F-0</w:t>
            </w:r>
          </w:p>
        </w:tc>
        <w:tc>
          <w:tcPr>
            <w:tcW w:w="5473" w:type="dxa"/>
            <w:tcBorders>
              <w:top w:val="nil"/>
              <w:left w:val="nil"/>
              <w:bottom w:val="single" w:color="auto" w:sz="4" w:space="0"/>
              <w:right w:val="single" w:color="auto" w:sz="4" w:space="0"/>
            </w:tcBorders>
            <w:noWrap/>
            <w:vAlign w:val="center"/>
          </w:tcPr>
          <w:p w14:paraId="4A122C6D">
            <w:pPr>
              <w:jc w:val="both"/>
              <w:rPr>
                <w:rFonts w:ascii="仿宋" w:hAnsi="仿宋" w:eastAsia="仿宋" w:cs="仿宋"/>
                <w:b/>
                <w:color w:val="000000"/>
              </w:rPr>
            </w:pPr>
            <w:r>
              <w:rPr>
                <w:rFonts w:hint="eastAsia" w:ascii="仿宋" w:hAnsi="仿宋" w:eastAsia="仿宋" w:cs="仿宋"/>
                <w:b/>
                <w:color w:val="000000"/>
              </w:rPr>
              <w:t>扉页、目录、发行基本信息</w:t>
            </w:r>
          </w:p>
        </w:tc>
        <w:tc>
          <w:tcPr>
            <w:tcW w:w="774" w:type="dxa"/>
            <w:tcBorders>
              <w:top w:val="single" w:color="auto" w:sz="4" w:space="0"/>
              <w:left w:val="nil"/>
              <w:bottom w:val="single" w:color="auto" w:sz="4" w:space="0"/>
              <w:right w:val="single" w:color="auto" w:sz="4" w:space="0"/>
            </w:tcBorders>
            <w:vAlign w:val="center"/>
          </w:tcPr>
          <w:p w14:paraId="1709A909">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5457DDE9">
            <w:pPr>
              <w:jc w:val="both"/>
              <w:rPr>
                <w:rFonts w:ascii="仿宋" w:hAnsi="仿宋" w:eastAsia="仿宋" w:cs="仿宋"/>
                <w:b/>
                <w:color w:val="000000"/>
              </w:rPr>
            </w:pPr>
          </w:p>
        </w:tc>
      </w:tr>
      <w:tr w14:paraId="51324939">
        <w:tblPrEx>
          <w:tblCellMar>
            <w:top w:w="0" w:type="dxa"/>
            <w:left w:w="108" w:type="dxa"/>
            <w:bottom w:w="0" w:type="dxa"/>
            <w:right w:w="108" w:type="dxa"/>
          </w:tblCellMar>
        </w:tblPrEx>
        <w:trPr>
          <w:trHeight w:val="270" w:hRule="atLeast"/>
        </w:trPr>
        <w:tc>
          <w:tcPr>
            <w:tcW w:w="1014" w:type="dxa"/>
            <w:tcBorders>
              <w:top w:val="nil"/>
              <w:left w:val="single" w:color="auto" w:sz="4" w:space="0"/>
              <w:bottom w:val="single" w:color="auto" w:sz="4" w:space="0"/>
              <w:right w:val="single" w:color="auto" w:sz="4" w:space="0"/>
            </w:tcBorders>
            <w:noWrap/>
            <w:vAlign w:val="center"/>
          </w:tcPr>
          <w:p w14:paraId="0412624E">
            <w:pPr>
              <w:jc w:val="both"/>
              <w:rPr>
                <w:rFonts w:ascii="仿宋" w:hAnsi="仿宋" w:eastAsia="仿宋" w:cs="仿宋"/>
                <w:color w:val="000000"/>
              </w:rPr>
            </w:pPr>
            <w:r>
              <w:rPr>
                <w:rFonts w:hint="eastAsia" w:ascii="仿宋" w:hAnsi="仿宋" w:eastAsia="仿宋" w:cs="仿宋"/>
                <w:color w:val="000000"/>
              </w:rPr>
              <w:t>F-0-1</w:t>
            </w:r>
          </w:p>
        </w:tc>
        <w:tc>
          <w:tcPr>
            <w:tcW w:w="5473" w:type="dxa"/>
            <w:tcBorders>
              <w:top w:val="nil"/>
              <w:left w:val="single" w:color="auto" w:sz="4" w:space="0"/>
              <w:bottom w:val="single" w:color="auto" w:sz="4" w:space="0"/>
              <w:right w:val="single" w:color="auto" w:sz="4" w:space="0"/>
            </w:tcBorders>
            <w:vAlign w:val="center"/>
          </w:tcPr>
          <w:p w14:paraId="50BD9E02">
            <w:pPr>
              <w:jc w:val="both"/>
              <w:rPr>
                <w:rFonts w:ascii="仿宋" w:hAnsi="仿宋" w:eastAsia="仿宋" w:cs="仿宋"/>
                <w:color w:val="000000"/>
              </w:rPr>
            </w:pPr>
            <w:r>
              <w:rPr>
                <w:rFonts w:hint="eastAsia" w:ascii="仿宋" w:hAnsi="仿宋" w:eastAsia="仿宋" w:cs="仿宋"/>
                <w:color w:val="000000"/>
              </w:rPr>
              <w:t>资产支持证券的名称（需明确底层资产类别）、基础资产类型、发行说明书的公布日期。</w:t>
            </w:r>
          </w:p>
        </w:tc>
        <w:tc>
          <w:tcPr>
            <w:tcW w:w="774" w:type="dxa"/>
            <w:tcBorders>
              <w:top w:val="single" w:color="auto" w:sz="4" w:space="0"/>
              <w:left w:val="single" w:color="auto" w:sz="4" w:space="0"/>
              <w:bottom w:val="single" w:color="auto" w:sz="4" w:space="0"/>
              <w:right w:val="single" w:color="auto" w:sz="4" w:space="0"/>
            </w:tcBorders>
            <w:vAlign w:val="center"/>
          </w:tcPr>
          <w:p w14:paraId="0DA79485">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5EE415A">
            <w:pPr>
              <w:jc w:val="both"/>
              <w:rPr>
                <w:rFonts w:ascii="仿宋" w:hAnsi="仿宋" w:eastAsia="仿宋" w:cs="仿宋"/>
                <w:color w:val="000000"/>
              </w:rPr>
            </w:pPr>
            <w:r>
              <w:rPr>
                <w:rFonts w:hint="eastAsia" w:ascii="仿宋" w:hAnsi="仿宋" w:eastAsia="仿宋" w:cs="仿宋"/>
                <w:color w:val="000000"/>
              </w:rPr>
              <w:t>见附件1</w:t>
            </w:r>
          </w:p>
        </w:tc>
      </w:tr>
      <w:tr w14:paraId="694B61EF">
        <w:tblPrEx>
          <w:tblCellMar>
            <w:top w:w="0" w:type="dxa"/>
            <w:left w:w="108" w:type="dxa"/>
            <w:bottom w:w="0" w:type="dxa"/>
            <w:right w:w="108" w:type="dxa"/>
          </w:tblCellMar>
        </w:tblPrEx>
        <w:trPr>
          <w:trHeight w:val="270" w:hRule="atLeast"/>
        </w:trPr>
        <w:tc>
          <w:tcPr>
            <w:tcW w:w="1014" w:type="dxa"/>
            <w:tcBorders>
              <w:top w:val="nil"/>
              <w:left w:val="single" w:color="auto" w:sz="4" w:space="0"/>
              <w:bottom w:val="single" w:color="auto" w:sz="4" w:space="0"/>
              <w:right w:val="single" w:color="auto" w:sz="4" w:space="0"/>
            </w:tcBorders>
            <w:noWrap/>
            <w:vAlign w:val="center"/>
          </w:tcPr>
          <w:p w14:paraId="2826ECDD">
            <w:pPr>
              <w:jc w:val="both"/>
              <w:rPr>
                <w:rFonts w:ascii="仿宋" w:hAnsi="仿宋" w:eastAsia="仿宋" w:cs="仿宋"/>
                <w:color w:val="000000"/>
              </w:rPr>
            </w:pPr>
            <w:r>
              <w:rPr>
                <w:rFonts w:hint="eastAsia" w:ascii="仿宋" w:hAnsi="仿宋" w:eastAsia="仿宋" w:cs="仿宋"/>
                <w:color w:val="000000"/>
              </w:rPr>
              <w:t>F-0-2</w:t>
            </w:r>
          </w:p>
        </w:tc>
        <w:tc>
          <w:tcPr>
            <w:tcW w:w="5473" w:type="dxa"/>
            <w:tcBorders>
              <w:top w:val="nil"/>
              <w:left w:val="single" w:color="auto" w:sz="4" w:space="0"/>
              <w:bottom w:val="single" w:color="auto" w:sz="4" w:space="0"/>
              <w:right w:val="single" w:color="auto" w:sz="4" w:space="0"/>
            </w:tcBorders>
            <w:vAlign w:val="center"/>
          </w:tcPr>
          <w:p w14:paraId="6E860CAA">
            <w:pPr>
              <w:jc w:val="both"/>
              <w:rPr>
                <w:rFonts w:ascii="仿宋" w:hAnsi="仿宋" w:eastAsia="仿宋" w:cs="仿宋"/>
                <w:color w:val="000000"/>
              </w:rPr>
            </w:pPr>
            <w:r>
              <w:rPr>
                <w:rFonts w:hint="eastAsia" w:ascii="仿宋" w:hAnsi="仿宋" w:eastAsia="仿宋" w:cs="仿宋"/>
                <w:color w:val="000000"/>
              </w:rPr>
              <w:t>各参与机构名称，包括但不限于发起机构及受托机构。</w:t>
            </w:r>
          </w:p>
        </w:tc>
        <w:tc>
          <w:tcPr>
            <w:tcW w:w="774" w:type="dxa"/>
            <w:tcBorders>
              <w:top w:val="single" w:color="auto" w:sz="4" w:space="0"/>
              <w:left w:val="single" w:color="auto" w:sz="4" w:space="0"/>
              <w:bottom w:val="single" w:color="auto" w:sz="4" w:space="0"/>
              <w:right w:val="single" w:color="auto" w:sz="4" w:space="0"/>
            </w:tcBorders>
            <w:vAlign w:val="center"/>
          </w:tcPr>
          <w:p w14:paraId="78B333BB">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1DED23F">
            <w:pPr>
              <w:jc w:val="both"/>
              <w:rPr>
                <w:rFonts w:ascii="仿宋" w:hAnsi="仿宋" w:eastAsia="仿宋" w:cs="仿宋"/>
                <w:color w:val="000000"/>
              </w:rPr>
            </w:pPr>
          </w:p>
        </w:tc>
      </w:tr>
      <w:tr w14:paraId="3A1EF3A8">
        <w:tblPrEx>
          <w:tblCellMar>
            <w:top w:w="0" w:type="dxa"/>
            <w:left w:w="108" w:type="dxa"/>
            <w:bottom w:w="0" w:type="dxa"/>
            <w:right w:w="108" w:type="dxa"/>
          </w:tblCellMar>
        </w:tblPrEx>
        <w:trPr>
          <w:trHeight w:val="982" w:hRule="atLeast"/>
        </w:trPr>
        <w:tc>
          <w:tcPr>
            <w:tcW w:w="1014" w:type="dxa"/>
            <w:tcBorders>
              <w:top w:val="nil"/>
              <w:left w:val="single" w:color="auto" w:sz="4" w:space="0"/>
              <w:bottom w:val="single" w:color="auto" w:sz="4" w:space="0"/>
              <w:right w:val="single" w:color="auto" w:sz="4" w:space="0"/>
            </w:tcBorders>
            <w:noWrap/>
            <w:vAlign w:val="center"/>
          </w:tcPr>
          <w:p w14:paraId="248628D9">
            <w:pPr>
              <w:jc w:val="both"/>
              <w:rPr>
                <w:rFonts w:ascii="仿宋" w:hAnsi="仿宋" w:eastAsia="仿宋" w:cs="仿宋"/>
                <w:color w:val="000000"/>
              </w:rPr>
            </w:pPr>
            <w:r>
              <w:rPr>
                <w:rFonts w:hint="eastAsia" w:ascii="仿宋" w:hAnsi="仿宋" w:eastAsia="仿宋" w:cs="仿宋"/>
                <w:color w:val="000000"/>
              </w:rPr>
              <w:t>F-0-3</w:t>
            </w:r>
          </w:p>
        </w:tc>
        <w:tc>
          <w:tcPr>
            <w:tcW w:w="5473" w:type="dxa"/>
            <w:tcBorders>
              <w:top w:val="nil"/>
              <w:left w:val="single" w:color="auto" w:sz="4" w:space="0"/>
              <w:bottom w:val="single" w:color="auto" w:sz="4" w:space="0"/>
              <w:right w:val="single" w:color="auto" w:sz="4" w:space="0"/>
            </w:tcBorders>
            <w:vAlign w:val="center"/>
          </w:tcPr>
          <w:p w14:paraId="02EC23DE">
            <w:pPr>
              <w:rPr>
                <w:rFonts w:ascii="仿宋" w:hAnsi="仿宋" w:eastAsia="仿宋" w:cs="仿宋"/>
                <w:color w:val="000000"/>
              </w:rPr>
            </w:pPr>
            <w:r>
              <w:rPr>
                <w:rFonts w:hint="eastAsia" w:ascii="仿宋" w:hAnsi="仿宋" w:eastAsia="仿宋" w:cs="仿宋"/>
                <w:color w:val="000000"/>
              </w:rPr>
              <w:t>证券概况--证券的基本情况，包括交易结构分档情况、各档证券金额及占比、利率形式、信用评级、发行交易场所、发行方式。</w:t>
            </w:r>
          </w:p>
        </w:tc>
        <w:tc>
          <w:tcPr>
            <w:tcW w:w="774" w:type="dxa"/>
            <w:tcBorders>
              <w:top w:val="single" w:color="auto" w:sz="4" w:space="0"/>
              <w:left w:val="single" w:color="auto" w:sz="4" w:space="0"/>
              <w:bottom w:val="single" w:color="auto" w:sz="4" w:space="0"/>
              <w:right w:val="single" w:color="auto" w:sz="4" w:space="0"/>
            </w:tcBorders>
            <w:vAlign w:val="center"/>
          </w:tcPr>
          <w:p w14:paraId="70732F79">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6475F784">
            <w:pPr>
              <w:jc w:val="both"/>
              <w:rPr>
                <w:rFonts w:ascii="仿宋" w:hAnsi="仿宋" w:eastAsia="仿宋" w:cs="仿宋"/>
                <w:color w:val="000000"/>
              </w:rPr>
            </w:pPr>
          </w:p>
        </w:tc>
      </w:tr>
      <w:tr w14:paraId="4F41FE55">
        <w:tblPrEx>
          <w:tblCellMar>
            <w:top w:w="0" w:type="dxa"/>
            <w:left w:w="108" w:type="dxa"/>
            <w:bottom w:w="0" w:type="dxa"/>
            <w:right w:w="108" w:type="dxa"/>
          </w:tblCellMar>
        </w:tblPrEx>
        <w:trPr>
          <w:trHeight w:val="270" w:hRule="atLeast"/>
        </w:trPr>
        <w:tc>
          <w:tcPr>
            <w:tcW w:w="1014" w:type="dxa"/>
            <w:tcBorders>
              <w:top w:val="nil"/>
              <w:left w:val="single" w:color="auto" w:sz="4" w:space="0"/>
              <w:bottom w:val="single" w:color="auto" w:sz="4" w:space="0"/>
              <w:right w:val="single" w:color="auto" w:sz="4" w:space="0"/>
            </w:tcBorders>
            <w:noWrap/>
            <w:vAlign w:val="center"/>
          </w:tcPr>
          <w:p w14:paraId="0E439963">
            <w:pPr>
              <w:jc w:val="both"/>
              <w:rPr>
                <w:rFonts w:ascii="仿宋" w:hAnsi="仿宋" w:eastAsia="仿宋" w:cs="仿宋"/>
                <w:color w:val="000000"/>
              </w:rPr>
            </w:pPr>
            <w:r>
              <w:rPr>
                <w:rFonts w:hint="eastAsia" w:ascii="仿宋" w:hAnsi="仿宋" w:eastAsia="仿宋" w:cs="仿宋"/>
                <w:color w:val="000000"/>
              </w:rPr>
              <w:t>F-0-4</w:t>
            </w:r>
          </w:p>
        </w:tc>
        <w:tc>
          <w:tcPr>
            <w:tcW w:w="5473" w:type="dxa"/>
            <w:tcBorders>
              <w:top w:val="nil"/>
              <w:left w:val="single" w:color="auto" w:sz="4" w:space="0"/>
              <w:bottom w:val="single" w:color="auto" w:sz="4" w:space="0"/>
              <w:right w:val="single" w:color="auto" w:sz="4" w:space="0"/>
            </w:tcBorders>
            <w:vAlign w:val="center"/>
          </w:tcPr>
          <w:p w14:paraId="3DC1383D">
            <w:pPr>
              <w:jc w:val="both"/>
              <w:rPr>
                <w:rFonts w:ascii="仿宋" w:hAnsi="仿宋" w:eastAsia="仿宋" w:cs="仿宋"/>
                <w:color w:val="000000"/>
              </w:rPr>
            </w:pPr>
            <w:r>
              <w:rPr>
                <w:rFonts w:hint="eastAsia" w:ascii="仿宋" w:hAnsi="仿宋" w:eastAsia="仿宋" w:cs="仿宋"/>
                <w:color w:val="000000"/>
              </w:rPr>
              <w:t>目录--标明各章、节的标题及相应的页码。</w:t>
            </w:r>
          </w:p>
        </w:tc>
        <w:tc>
          <w:tcPr>
            <w:tcW w:w="774" w:type="dxa"/>
            <w:tcBorders>
              <w:top w:val="single" w:color="auto" w:sz="4" w:space="0"/>
              <w:left w:val="single" w:color="auto" w:sz="4" w:space="0"/>
              <w:bottom w:val="single" w:color="auto" w:sz="4" w:space="0"/>
              <w:right w:val="single" w:color="auto" w:sz="4" w:space="0"/>
            </w:tcBorders>
            <w:vAlign w:val="center"/>
          </w:tcPr>
          <w:p w14:paraId="6AB8A941">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1211A99E">
            <w:pPr>
              <w:jc w:val="both"/>
              <w:rPr>
                <w:rFonts w:ascii="仿宋" w:hAnsi="仿宋" w:eastAsia="仿宋" w:cs="仿宋"/>
                <w:color w:val="000000"/>
              </w:rPr>
            </w:pPr>
          </w:p>
        </w:tc>
      </w:tr>
      <w:tr w14:paraId="2C9C82DC">
        <w:tblPrEx>
          <w:tblCellMar>
            <w:top w:w="0" w:type="dxa"/>
            <w:left w:w="108" w:type="dxa"/>
            <w:bottom w:w="0" w:type="dxa"/>
            <w:right w:w="108" w:type="dxa"/>
          </w:tblCellMar>
        </w:tblPrEx>
        <w:trPr>
          <w:trHeight w:val="270" w:hRule="atLeast"/>
        </w:trPr>
        <w:tc>
          <w:tcPr>
            <w:tcW w:w="1014" w:type="dxa"/>
            <w:tcBorders>
              <w:top w:val="nil"/>
              <w:left w:val="single" w:color="auto" w:sz="4" w:space="0"/>
              <w:bottom w:val="nil"/>
              <w:right w:val="single" w:color="auto" w:sz="4" w:space="0"/>
            </w:tcBorders>
            <w:noWrap/>
            <w:vAlign w:val="center"/>
          </w:tcPr>
          <w:p w14:paraId="376AA136">
            <w:pPr>
              <w:jc w:val="both"/>
              <w:rPr>
                <w:rFonts w:ascii="仿宋" w:hAnsi="仿宋" w:eastAsia="仿宋" w:cs="仿宋"/>
                <w:color w:val="000000"/>
              </w:rPr>
            </w:pPr>
            <w:r>
              <w:rPr>
                <w:rFonts w:hint="eastAsia" w:ascii="仿宋" w:hAnsi="仿宋" w:eastAsia="仿宋" w:cs="仿宋"/>
                <w:color w:val="000000"/>
              </w:rPr>
              <w:t>F-0-5</w:t>
            </w:r>
          </w:p>
        </w:tc>
        <w:tc>
          <w:tcPr>
            <w:tcW w:w="5473" w:type="dxa"/>
            <w:tcBorders>
              <w:top w:val="nil"/>
              <w:left w:val="single" w:color="auto" w:sz="4" w:space="0"/>
              <w:bottom w:val="nil"/>
              <w:right w:val="single" w:color="auto" w:sz="4" w:space="0"/>
            </w:tcBorders>
            <w:vAlign w:val="center"/>
          </w:tcPr>
          <w:p w14:paraId="6FC4038C">
            <w:pPr>
              <w:jc w:val="both"/>
              <w:rPr>
                <w:rFonts w:ascii="仿宋" w:hAnsi="仿宋" w:eastAsia="仿宋" w:cs="仿宋"/>
                <w:color w:val="000000"/>
              </w:rPr>
            </w:pPr>
            <w:r>
              <w:rPr>
                <w:rFonts w:hint="eastAsia" w:ascii="仿宋" w:hAnsi="仿宋" w:eastAsia="仿宋" w:cs="仿宋"/>
                <w:color w:val="000000"/>
              </w:rPr>
              <w:t>重要提示--经监管部门批准发行、确认内容真实、证券仅代表“信托资产”受益权（应明确说明与发起机构和其他机构无关），投资者应认真阅读信息披露文件，监管部门不对价值以及风险进行判断。</w:t>
            </w:r>
          </w:p>
        </w:tc>
        <w:tc>
          <w:tcPr>
            <w:tcW w:w="774" w:type="dxa"/>
            <w:tcBorders>
              <w:top w:val="single" w:color="auto" w:sz="4" w:space="0"/>
              <w:left w:val="single" w:color="auto" w:sz="4" w:space="0"/>
              <w:bottom w:val="single" w:color="auto" w:sz="4" w:space="0"/>
              <w:right w:val="single" w:color="auto" w:sz="4" w:space="0"/>
            </w:tcBorders>
            <w:vAlign w:val="center"/>
          </w:tcPr>
          <w:p w14:paraId="27AC95EE">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EF2956F">
            <w:pPr>
              <w:jc w:val="both"/>
              <w:rPr>
                <w:rFonts w:ascii="仿宋" w:hAnsi="仿宋" w:eastAsia="仿宋" w:cs="仿宋"/>
                <w:color w:val="000000"/>
              </w:rPr>
            </w:pPr>
          </w:p>
        </w:tc>
      </w:tr>
      <w:tr w14:paraId="1C0144FB">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22BFCECE">
            <w:pPr>
              <w:jc w:val="both"/>
              <w:rPr>
                <w:rFonts w:ascii="仿宋" w:hAnsi="仿宋" w:eastAsia="仿宋" w:cs="仿宋"/>
                <w:b/>
                <w:color w:val="000000"/>
              </w:rPr>
            </w:pPr>
            <w:r>
              <w:rPr>
                <w:rFonts w:hint="eastAsia" w:ascii="仿宋" w:hAnsi="仿宋" w:eastAsia="仿宋" w:cs="仿宋"/>
                <w:b/>
                <w:color w:val="000000"/>
              </w:rPr>
              <w:t>F-1</w:t>
            </w:r>
          </w:p>
        </w:tc>
        <w:tc>
          <w:tcPr>
            <w:tcW w:w="5473" w:type="dxa"/>
            <w:tcBorders>
              <w:top w:val="single" w:color="auto" w:sz="4" w:space="0"/>
              <w:left w:val="nil"/>
              <w:bottom w:val="single" w:color="auto" w:sz="4" w:space="0"/>
              <w:right w:val="single" w:color="auto" w:sz="4" w:space="0"/>
            </w:tcBorders>
            <w:vAlign w:val="center"/>
          </w:tcPr>
          <w:p w14:paraId="520D9E89">
            <w:pPr>
              <w:jc w:val="both"/>
              <w:rPr>
                <w:rFonts w:ascii="仿宋" w:hAnsi="仿宋" w:eastAsia="仿宋" w:cs="仿宋"/>
                <w:b/>
                <w:color w:val="000000"/>
              </w:rPr>
            </w:pPr>
            <w:r>
              <w:rPr>
                <w:rFonts w:hint="eastAsia" w:ascii="仿宋" w:hAnsi="仿宋" w:eastAsia="仿宋" w:cs="仿宋"/>
                <w:b/>
                <w:color w:val="000000"/>
              </w:rPr>
              <w:t>风险提示及风险披露</w:t>
            </w:r>
          </w:p>
        </w:tc>
        <w:tc>
          <w:tcPr>
            <w:tcW w:w="774" w:type="dxa"/>
            <w:tcBorders>
              <w:top w:val="single" w:color="auto" w:sz="4" w:space="0"/>
              <w:left w:val="nil"/>
              <w:bottom w:val="single" w:color="auto" w:sz="4" w:space="0"/>
              <w:right w:val="single" w:color="auto" w:sz="4" w:space="0"/>
            </w:tcBorders>
            <w:vAlign w:val="center"/>
          </w:tcPr>
          <w:p w14:paraId="1519FEB7">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12903757">
            <w:pPr>
              <w:jc w:val="both"/>
              <w:rPr>
                <w:rFonts w:ascii="仿宋" w:hAnsi="仿宋" w:eastAsia="仿宋" w:cs="仿宋"/>
                <w:b/>
                <w:color w:val="000000"/>
              </w:rPr>
            </w:pPr>
          </w:p>
        </w:tc>
      </w:tr>
      <w:tr w14:paraId="746D6FB7">
        <w:tblPrEx>
          <w:tblCellMar>
            <w:top w:w="0" w:type="dxa"/>
            <w:left w:w="108" w:type="dxa"/>
            <w:bottom w:w="0" w:type="dxa"/>
            <w:right w:w="108" w:type="dxa"/>
          </w:tblCellMar>
        </w:tblPrEx>
        <w:trPr>
          <w:trHeight w:val="1080" w:hRule="atLeast"/>
        </w:trPr>
        <w:tc>
          <w:tcPr>
            <w:tcW w:w="1014" w:type="dxa"/>
            <w:tcBorders>
              <w:top w:val="nil"/>
              <w:left w:val="single" w:color="auto" w:sz="4" w:space="0"/>
              <w:bottom w:val="single" w:color="auto" w:sz="4" w:space="0"/>
              <w:right w:val="single" w:color="auto" w:sz="4" w:space="0"/>
            </w:tcBorders>
            <w:noWrap/>
            <w:vAlign w:val="center"/>
          </w:tcPr>
          <w:p w14:paraId="44C1A85F">
            <w:pPr>
              <w:jc w:val="both"/>
              <w:rPr>
                <w:rFonts w:ascii="仿宋" w:hAnsi="仿宋" w:eastAsia="仿宋" w:cs="仿宋"/>
                <w:color w:val="000000"/>
              </w:rPr>
            </w:pPr>
            <w:r>
              <w:rPr>
                <w:rFonts w:hint="eastAsia" w:ascii="仿宋" w:hAnsi="仿宋" w:eastAsia="仿宋" w:cs="仿宋"/>
                <w:color w:val="000000"/>
              </w:rPr>
              <w:t>F-1-1</w:t>
            </w:r>
          </w:p>
        </w:tc>
        <w:tc>
          <w:tcPr>
            <w:tcW w:w="5473" w:type="dxa"/>
            <w:tcBorders>
              <w:top w:val="nil"/>
              <w:left w:val="single" w:color="auto" w:sz="4" w:space="0"/>
              <w:bottom w:val="single" w:color="auto" w:sz="4" w:space="0"/>
              <w:right w:val="single" w:color="auto" w:sz="4" w:space="0"/>
            </w:tcBorders>
            <w:vAlign w:val="center"/>
          </w:tcPr>
          <w:p w14:paraId="5848351B">
            <w:pPr>
              <w:jc w:val="both"/>
              <w:rPr>
                <w:rFonts w:ascii="仿宋" w:hAnsi="仿宋" w:eastAsia="仿宋" w:cs="仿宋"/>
                <w:color w:val="000000"/>
              </w:rPr>
            </w:pPr>
            <w:r>
              <w:rPr>
                <w:rFonts w:hint="eastAsia" w:ascii="仿宋" w:hAnsi="仿宋" w:eastAsia="仿宋" w:cs="仿宋"/>
                <w:color w:val="000000"/>
              </w:rPr>
              <w:t>发行环节可预见的投资者面临的风险，包括但不限于现金流实际回收不足的风险、现金流回收时间不确定的风险、证券期限不确定的风险、利率风险、法律风险、政策风险、操作风险等，不同项目可根据实际情况列明。</w:t>
            </w:r>
          </w:p>
        </w:tc>
        <w:tc>
          <w:tcPr>
            <w:tcW w:w="774" w:type="dxa"/>
            <w:tcBorders>
              <w:top w:val="single" w:color="auto" w:sz="4" w:space="0"/>
              <w:left w:val="single" w:color="auto" w:sz="4" w:space="0"/>
              <w:bottom w:val="single" w:color="auto" w:sz="4" w:space="0"/>
              <w:right w:val="single" w:color="auto" w:sz="4" w:space="0"/>
            </w:tcBorders>
            <w:vAlign w:val="center"/>
          </w:tcPr>
          <w:p w14:paraId="179D9DDD">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12FC0CA1">
            <w:pPr>
              <w:jc w:val="both"/>
              <w:rPr>
                <w:rFonts w:ascii="仿宋" w:hAnsi="仿宋" w:eastAsia="仿宋" w:cs="仿宋"/>
                <w:color w:val="000000"/>
              </w:rPr>
            </w:pPr>
          </w:p>
        </w:tc>
      </w:tr>
      <w:tr w14:paraId="6ABA6EEF">
        <w:tblPrEx>
          <w:tblCellMar>
            <w:top w:w="0" w:type="dxa"/>
            <w:left w:w="108" w:type="dxa"/>
            <w:bottom w:w="0" w:type="dxa"/>
            <w:right w:w="108" w:type="dxa"/>
          </w:tblCellMar>
        </w:tblPrEx>
        <w:trPr>
          <w:trHeight w:val="337" w:hRule="atLeast"/>
        </w:trPr>
        <w:tc>
          <w:tcPr>
            <w:tcW w:w="1014" w:type="dxa"/>
            <w:tcBorders>
              <w:top w:val="nil"/>
              <w:left w:val="single" w:color="auto" w:sz="4" w:space="0"/>
              <w:bottom w:val="single" w:color="auto" w:sz="4" w:space="0"/>
              <w:right w:val="single" w:color="auto" w:sz="4" w:space="0"/>
            </w:tcBorders>
            <w:noWrap/>
            <w:vAlign w:val="center"/>
          </w:tcPr>
          <w:p w14:paraId="1DFA4E67">
            <w:pPr>
              <w:jc w:val="both"/>
              <w:rPr>
                <w:rFonts w:ascii="仿宋" w:hAnsi="仿宋" w:eastAsia="仿宋" w:cs="仿宋"/>
                <w:b/>
                <w:color w:val="000000"/>
              </w:rPr>
            </w:pPr>
            <w:r>
              <w:rPr>
                <w:rFonts w:hint="eastAsia" w:ascii="仿宋" w:hAnsi="仿宋" w:eastAsia="仿宋" w:cs="仿宋"/>
                <w:b/>
                <w:color w:val="000000"/>
              </w:rPr>
              <w:t>F-2</w:t>
            </w:r>
          </w:p>
        </w:tc>
        <w:tc>
          <w:tcPr>
            <w:tcW w:w="5473" w:type="dxa"/>
            <w:tcBorders>
              <w:top w:val="nil"/>
              <w:left w:val="single" w:color="auto" w:sz="4" w:space="0"/>
              <w:bottom w:val="single" w:color="auto" w:sz="4" w:space="0"/>
              <w:right w:val="single" w:color="auto" w:sz="4" w:space="0"/>
            </w:tcBorders>
            <w:vAlign w:val="center"/>
          </w:tcPr>
          <w:p w14:paraId="39BFB9A2">
            <w:pPr>
              <w:jc w:val="both"/>
              <w:rPr>
                <w:rFonts w:ascii="仿宋" w:hAnsi="仿宋" w:eastAsia="仿宋" w:cs="仿宋"/>
                <w:b/>
                <w:color w:val="000000"/>
              </w:rPr>
            </w:pPr>
            <w:r>
              <w:rPr>
                <w:rFonts w:hint="eastAsia" w:ascii="仿宋" w:hAnsi="仿宋" w:eastAsia="仿宋" w:cs="仿宋"/>
                <w:b/>
                <w:color w:val="000000"/>
              </w:rPr>
              <w:t>参与机构信息</w:t>
            </w:r>
          </w:p>
        </w:tc>
        <w:tc>
          <w:tcPr>
            <w:tcW w:w="774" w:type="dxa"/>
            <w:tcBorders>
              <w:top w:val="single" w:color="auto" w:sz="4" w:space="0"/>
              <w:left w:val="single" w:color="auto" w:sz="4" w:space="0"/>
              <w:bottom w:val="single" w:color="auto" w:sz="4" w:space="0"/>
              <w:right w:val="single" w:color="auto" w:sz="4" w:space="0"/>
            </w:tcBorders>
            <w:vAlign w:val="center"/>
          </w:tcPr>
          <w:p w14:paraId="3E6FF8C3">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3444DE61">
            <w:pPr>
              <w:jc w:val="both"/>
              <w:rPr>
                <w:rFonts w:ascii="仿宋" w:hAnsi="仿宋" w:eastAsia="仿宋" w:cs="仿宋"/>
                <w:color w:val="000000"/>
              </w:rPr>
            </w:pPr>
          </w:p>
        </w:tc>
      </w:tr>
      <w:tr w14:paraId="789AB3DD">
        <w:tblPrEx>
          <w:tblCellMar>
            <w:top w:w="0" w:type="dxa"/>
            <w:left w:w="108" w:type="dxa"/>
            <w:bottom w:w="0" w:type="dxa"/>
            <w:right w:w="108" w:type="dxa"/>
          </w:tblCellMar>
        </w:tblPrEx>
        <w:trPr>
          <w:trHeight w:val="1080" w:hRule="atLeast"/>
        </w:trPr>
        <w:tc>
          <w:tcPr>
            <w:tcW w:w="1014" w:type="dxa"/>
            <w:tcBorders>
              <w:top w:val="nil"/>
              <w:left w:val="single" w:color="auto" w:sz="4" w:space="0"/>
              <w:bottom w:val="single" w:color="auto" w:sz="4" w:space="0"/>
              <w:right w:val="single" w:color="auto" w:sz="4" w:space="0"/>
            </w:tcBorders>
            <w:noWrap/>
            <w:vAlign w:val="center"/>
          </w:tcPr>
          <w:p w14:paraId="2819F75F">
            <w:pPr>
              <w:jc w:val="both"/>
              <w:rPr>
                <w:rFonts w:ascii="仿宋" w:hAnsi="仿宋" w:eastAsia="仿宋" w:cs="仿宋"/>
                <w:color w:val="000000"/>
              </w:rPr>
            </w:pPr>
            <w:r>
              <w:rPr>
                <w:rFonts w:hint="eastAsia" w:ascii="仿宋" w:hAnsi="仿宋" w:eastAsia="仿宋" w:cs="仿宋"/>
                <w:color w:val="000000"/>
              </w:rPr>
              <w:t>F-2-1</w:t>
            </w:r>
          </w:p>
        </w:tc>
        <w:tc>
          <w:tcPr>
            <w:tcW w:w="5473" w:type="dxa"/>
            <w:tcBorders>
              <w:top w:val="nil"/>
              <w:left w:val="single" w:color="auto" w:sz="4" w:space="0"/>
              <w:bottom w:val="single" w:color="auto" w:sz="4" w:space="0"/>
              <w:right w:val="single" w:color="auto" w:sz="4" w:space="0"/>
            </w:tcBorders>
            <w:vAlign w:val="center"/>
          </w:tcPr>
          <w:p w14:paraId="1C844A33">
            <w:pPr>
              <w:jc w:val="both"/>
              <w:rPr>
                <w:rFonts w:ascii="仿宋" w:hAnsi="仿宋" w:eastAsia="仿宋" w:cs="仿宋"/>
                <w:color w:val="000000"/>
              </w:rPr>
            </w:pPr>
            <w:r>
              <w:rPr>
                <w:rFonts w:hint="eastAsia" w:ascii="仿宋" w:hAnsi="仿宋" w:eastAsia="仿宋" w:cs="仿宋"/>
                <w:color w:val="000000"/>
              </w:rPr>
              <w:t>以下内容若注册阶段已披露且发行阶段无修改，可免于披露，但需注明相关内容参照注册说明书（Z-2：参与机构信息）</w:t>
            </w:r>
          </w:p>
        </w:tc>
        <w:tc>
          <w:tcPr>
            <w:tcW w:w="774" w:type="dxa"/>
            <w:tcBorders>
              <w:top w:val="single" w:color="auto" w:sz="4" w:space="0"/>
              <w:left w:val="single" w:color="auto" w:sz="4" w:space="0"/>
              <w:bottom w:val="single" w:color="auto" w:sz="4" w:space="0"/>
              <w:right w:val="single" w:color="auto" w:sz="4" w:space="0"/>
            </w:tcBorders>
            <w:vAlign w:val="center"/>
          </w:tcPr>
          <w:p w14:paraId="4394624C">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5BADC36A">
            <w:pPr>
              <w:jc w:val="both"/>
              <w:rPr>
                <w:rFonts w:ascii="仿宋" w:hAnsi="仿宋" w:eastAsia="仿宋" w:cs="仿宋"/>
                <w:color w:val="000000"/>
              </w:rPr>
            </w:pPr>
          </w:p>
        </w:tc>
      </w:tr>
      <w:tr w14:paraId="11E8CBF1">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6FDF1D27">
            <w:pPr>
              <w:jc w:val="both"/>
              <w:rPr>
                <w:rFonts w:ascii="仿宋" w:hAnsi="仿宋" w:eastAsia="仿宋" w:cs="仿宋"/>
                <w:b/>
                <w:color w:val="000000"/>
              </w:rPr>
            </w:pPr>
            <w:r>
              <w:rPr>
                <w:rFonts w:hint="eastAsia" w:ascii="仿宋" w:hAnsi="仿宋" w:eastAsia="仿宋" w:cs="仿宋"/>
                <w:b/>
                <w:color w:val="000000"/>
              </w:rPr>
              <w:t>F-3</w:t>
            </w:r>
          </w:p>
        </w:tc>
        <w:tc>
          <w:tcPr>
            <w:tcW w:w="5473" w:type="dxa"/>
            <w:tcBorders>
              <w:top w:val="single" w:color="auto" w:sz="4" w:space="0"/>
              <w:left w:val="nil"/>
              <w:bottom w:val="single" w:color="auto" w:sz="4" w:space="0"/>
              <w:right w:val="single" w:color="auto" w:sz="4" w:space="0"/>
            </w:tcBorders>
            <w:vAlign w:val="center"/>
          </w:tcPr>
          <w:p w14:paraId="3481A200">
            <w:pPr>
              <w:jc w:val="both"/>
              <w:rPr>
                <w:rFonts w:ascii="仿宋" w:hAnsi="仿宋" w:eastAsia="仿宋" w:cs="仿宋"/>
                <w:b/>
                <w:color w:val="000000"/>
              </w:rPr>
            </w:pPr>
            <w:r>
              <w:rPr>
                <w:rFonts w:hint="eastAsia" w:ascii="仿宋" w:hAnsi="仿宋" w:eastAsia="仿宋" w:cs="仿宋"/>
                <w:b/>
                <w:bCs/>
              </w:rPr>
              <w:t>发起机构及中介机构相关经验及历史数据</w:t>
            </w:r>
          </w:p>
        </w:tc>
        <w:tc>
          <w:tcPr>
            <w:tcW w:w="774" w:type="dxa"/>
            <w:tcBorders>
              <w:top w:val="single" w:color="auto" w:sz="4" w:space="0"/>
              <w:left w:val="nil"/>
              <w:bottom w:val="single" w:color="auto" w:sz="4" w:space="0"/>
              <w:right w:val="single" w:color="auto" w:sz="4" w:space="0"/>
            </w:tcBorders>
            <w:vAlign w:val="center"/>
          </w:tcPr>
          <w:p w14:paraId="79D7A55D">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03A2D37B">
            <w:pPr>
              <w:jc w:val="both"/>
              <w:rPr>
                <w:rFonts w:ascii="仿宋" w:hAnsi="仿宋" w:eastAsia="仿宋" w:cs="仿宋"/>
                <w:b/>
                <w:color w:val="000000"/>
              </w:rPr>
            </w:pPr>
          </w:p>
        </w:tc>
      </w:tr>
      <w:tr w14:paraId="6EEAAE2F">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716DF627">
            <w:pPr>
              <w:jc w:val="both"/>
              <w:rPr>
                <w:rFonts w:ascii="仿宋" w:hAnsi="仿宋" w:eastAsia="仿宋" w:cs="仿宋"/>
                <w:color w:val="000000"/>
              </w:rPr>
            </w:pPr>
            <w:r>
              <w:rPr>
                <w:rFonts w:hint="eastAsia" w:ascii="仿宋" w:hAnsi="仿宋" w:eastAsia="仿宋" w:cs="仿宋"/>
                <w:color w:val="000000"/>
              </w:rPr>
              <w:t>F-3-1</w:t>
            </w:r>
          </w:p>
        </w:tc>
        <w:tc>
          <w:tcPr>
            <w:tcW w:w="5473" w:type="dxa"/>
            <w:tcBorders>
              <w:top w:val="single" w:color="auto" w:sz="4" w:space="0"/>
              <w:left w:val="nil"/>
              <w:bottom w:val="single" w:color="auto" w:sz="4" w:space="0"/>
              <w:right w:val="single" w:color="auto" w:sz="4" w:space="0"/>
            </w:tcBorders>
            <w:vAlign w:val="center"/>
          </w:tcPr>
          <w:p w14:paraId="249B399B">
            <w:pPr>
              <w:jc w:val="both"/>
              <w:rPr>
                <w:rFonts w:ascii="仿宋" w:hAnsi="仿宋" w:eastAsia="仿宋" w:cs="仿宋"/>
                <w:color w:val="000000"/>
              </w:rPr>
            </w:pPr>
            <w:r>
              <w:rPr>
                <w:rFonts w:hint="eastAsia" w:ascii="仿宋" w:hAnsi="仿宋" w:eastAsia="仿宋" w:cs="仿宋"/>
                <w:color w:val="000000"/>
              </w:rPr>
              <w:t>以下内容若注册阶段已披露且发行阶段无修改，可免于披露，但需注明相关内容参照注册说明书（Z-3：发起机构及中介机构相关经验及历史数据）</w:t>
            </w:r>
          </w:p>
        </w:tc>
        <w:tc>
          <w:tcPr>
            <w:tcW w:w="774" w:type="dxa"/>
            <w:tcBorders>
              <w:top w:val="single" w:color="auto" w:sz="4" w:space="0"/>
              <w:left w:val="nil"/>
              <w:bottom w:val="single" w:color="auto" w:sz="4" w:space="0"/>
              <w:right w:val="single" w:color="auto" w:sz="4" w:space="0"/>
            </w:tcBorders>
            <w:vAlign w:val="center"/>
          </w:tcPr>
          <w:p w14:paraId="5AEF2F23">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636838B">
            <w:pPr>
              <w:jc w:val="both"/>
              <w:rPr>
                <w:rFonts w:ascii="仿宋" w:hAnsi="仿宋" w:eastAsia="仿宋" w:cs="仿宋"/>
                <w:b/>
                <w:color w:val="000000"/>
              </w:rPr>
            </w:pPr>
          </w:p>
        </w:tc>
      </w:tr>
      <w:tr w14:paraId="5D729B29">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04798A03">
            <w:pPr>
              <w:jc w:val="both"/>
              <w:rPr>
                <w:rFonts w:ascii="仿宋" w:hAnsi="仿宋" w:eastAsia="仿宋" w:cs="仿宋"/>
                <w:b/>
                <w:color w:val="000000"/>
              </w:rPr>
            </w:pPr>
            <w:r>
              <w:rPr>
                <w:rFonts w:hint="eastAsia" w:ascii="仿宋" w:hAnsi="仿宋" w:eastAsia="仿宋" w:cs="仿宋"/>
                <w:b/>
                <w:color w:val="000000"/>
              </w:rPr>
              <w:t>F-4</w:t>
            </w:r>
          </w:p>
        </w:tc>
        <w:tc>
          <w:tcPr>
            <w:tcW w:w="5473" w:type="dxa"/>
            <w:tcBorders>
              <w:top w:val="single" w:color="auto" w:sz="4" w:space="0"/>
              <w:left w:val="nil"/>
              <w:bottom w:val="single" w:color="auto" w:sz="4" w:space="0"/>
              <w:right w:val="single" w:color="auto" w:sz="4" w:space="0"/>
            </w:tcBorders>
            <w:vAlign w:val="center"/>
          </w:tcPr>
          <w:p w14:paraId="0F1A26E9">
            <w:pPr>
              <w:jc w:val="both"/>
              <w:rPr>
                <w:rFonts w:ascii="仿宋" w:hAnsi="仿宋" w:eastAsia="仿宋" w:cs="仿宋"/>
                <w:b/>
                <w:color w:val="000000"/>
              </w:rPr>
            </w:pPr>
            <w:r>
              <w:rPr>
                <w:rFonts w:hint="eastAsia" w:ascii="仿宋" w:hAnsi="仿宋" w:eastAsia="仿宋" w:cs="仿宋"/>
                <w:b/>
                <w:color w:val="000000"/>
              </w:rPr>
              <w:t>交易结构信息</w:t>
            </w:r>
            <w:r>
              <w:rPr>
                <w:rStyle w:val="17"/>
                <w:rFonts w:hint="eastAsia" w:ascii="仿宋" w:hAnsi="仿宋" w:eastAsia="仿宋" w:cs="仿宋"/>
                <w:b/>
                <w:color w:val="000000"/>
              </w:rPr>
              <w:footnoteReference w:id="11"/>
            </w:r>
          </w:p>
        </w:tc>
        <w:tc>
          <w:tcPr>
            <w:tcW w:w="774" w:type="dxa"/>
            <w:tcBorders>
              <w:top w:val="single" w:color="auto" w:sz="4" w:space="0"/>
              <w:left w:val="nil"/>
              <w:bottom w:val="single" w:color="auto" w:sz="4" w:space="0"/>
              <w:right w:val="single" w:color="auto" w:sz="4" w:space="0"/>
            </w:tcBorders>
            <w:vAlign w:val="center"/>
          </w:tcPr>
          <w:p w14:paraId="7AFBC973">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E8651D8">
            <w:pPr>
              <w:jc w:val="both"/>
              <w:rPr>
                <w:rFonts w:ascii="仿宋" w:hAnsi="仿宋" w:eastAsia="仿宋" w:cs="仿宋"/>
                <w:b/>
                <w:color w:val="000000"/>
              </w:rPr>
            </w:pPr>
          </w:p>
        </w:tc>
      </w:tr>
      <w:tr w14:paraId="3D590732">
        <w:tblPrEx>
          <w:tblCellMar>
            <w:top w:w="0" w:type="dxa"/>
            <w:left w:w="108" w:type="dxa"/>
            <w:bottom w:w="0" w:type="dxa"/>
            <w:right w:w="108" w:type="dxa"/>
          </w:tblCellMar>
        </w:tblPrEx>
        <w:trPr>
          <w:trHeight w:val="1080" w:hRule="atLeast"/>
        </w:trPr>
        <w:tc>
          <w:tcPr>
            <w:tcW w:w="1014" w:type="dxa"/>
            <w:tcBorders>
              <w:top w:val="nil"/>
              <w:left w:val="single" w:color="auto" w:sz="4" w:space="0"/>
              <w:bottom w:val="nil"/>
              <w:right w:val="single" w:color="auto" w:sz="4" w:space="0"/>
            </w:tcBorders>
            <w:noWrap/>
            <w:vAlign w:val="center"/>
          </w:tcPr>
          <w:p w14:paraId="783D4A69">
            <w:pPr>
              <w:jc w:val="both"/>
              <w:rPr>
                <w:rFonts w:ascii="仿宋" w:hAnsi="仿宋" w:eastAsia="仿宋" w:cs="仿宋"/>
                <w:color w:val="000000"/>
              </w:rPr>
            </w:pPr>
            <w:r>
              <w:rPr>
                <w:rFonts w:hint="eastAsia" w:ascii="仿宋" w:hAnsi="仿宋" w:eastAsia="仿宋" w:cs="仿宋"/>
                <w:color w:val="000000"/>
              </w:rPr>
              <w:t>F-4-1</w:t>
            </w:r>
          </w:p>
        </w:tc>
        <w:tc>
          <w:tcPr>
            <w:tcW w:w="5473" w:type="dxa"/>
            <w:tcBorders>
              <w:top w:val="nil"/>
              <w:left w:val="single" w:color="auto" w:sz="4" w:space="0"/>
              <w:bottom w:val="nil"/>
              <w:right w:val="single" w:color="auto" w:sz="4" w:space="0"/>
            </w:tcBorders>
            <w:vAlign w:val="center"/>
          </w:tcPr>
          <w:p w14:paraId="284C8C93">
            <w:pPr>
              <w:jc w:val="both"/>
              <w:rPr>
                <w:rFonts w:ascii="仿宋" w:hAnsi="仿宋" w:eastAsia="仿宋" w:cs="仿宋"/>
                <w:color w:val="000000"/>
              </w:rPr>
            </w:pPr>
            <w:r>
              <w:rPr>
                <w:rFonts w:hint="eastAsia" w:ascii="仿宋" w:hAnsi="仿宋" w:eastAsia="仿宋" w:cs="仿宋"/>
                <w:color w:val="000000"/>
              </w:rPr>
              <w:t>交易结构示意图--指资产支持证券发行的基本交易结构和各方之间的法律关系框架图，包括发起机构、受托机构、资金保管机构、登记结算机构、承销机构之间的具体交易过程以及法律关系框架。</w:t>
            </w:r>
          </w:p>
        </w:tc>
        <w:tc>
          <w:tcPr>
            <w:tcW w:w="774" w:type="dxa"/>
            <w:tcBorders>
              <w:top w:val="single" w:color="auto" w:sz="4" w:space="0"/>
              <w:left w:val="single" w:color="auto" w:sz="4" w:space="0"/>
              <w:bottom w:val="single" w:color="auto" w:sz="4" w:space="0"/>
              <w:right w:val="single" w:color="auto" w:sz="4" w:space="0"/>
            </w:tcBorders>
            <w:vAlign w:val="center"/>
          </w:tcPr>
          <w:p w14:paraId="428F542E">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vAlign w:val="center"/>
          </w:tcPr>
          <w:p w14:paraId="1DA6F4E5">
            <w:pPr>
              <w:jc w:val="both"/>
              <w:rPr>
                <w:rFonts w:ascii="仿宋" w:hAnsi="仿宋" w:eastAsia="仿宋" w:cs="仿宋"/>
                <w:color w:val="000000"/>
              </w:rPr>
            </w:pPr>
            <w:r>
              <w:rPr>
                <w:rFonts w:hint="eastAsia" w:ascii="仿宋" w:hAnsi="仿宋" w:eastAsia="仿宋" w:cs="仿宋"/>
                <w:color w:val="000000"/>
              </w:rPr>
              <w:t>见附件2</w:t>
            </w:r>
          </w:p>
        </w:tc>
      </w:tr>
      <w:tr w14:paraId="47FAAEE9">
        <w:tblPrEx>
          <w:tblCellMar>
            <w:top w:w="0" w:type="dxa"/>
            <w:left w:w="108" w:type="dxa"/>
            <w:bottom w:w="0" w:type="dxa"/>
            <w:right w:w="108" w:type="dxa"/>
          </w:tblCellMar>
        </w:tblPrEx>
        <w:trPr>
          <w:trHeight w:val="1080" w:hRule="atLeast"/>
        </w:trPr>
        <w:tc>
          <w:tcPr>
            <w:tcW w:w="1014" w:type="dxa"/>
            <w:tcBorders>
              <w:top w:val="single" w:color="auto" w:sz="4" w:space="0"/>
              <w:left w:val="single" w:color="auto" w:sz="4" w:space="0"/>
              <w:bottom w:val="nil"/>
              <w:right w:val="single" w:color="auto" w:sz="4" w:space="0"/>
            </w:tcBorders>
            <w:noWrap/>
            <w:vAlign w:val="center"/>
          </w:tcPr>
          <w:p w14:paraId="00B21D24">
            <w:pPr>
              <w:jc w:val="both"/>
              <w:rPr>
                <w:rFonts w:ascii="仿宋" w:hAnsi="仿宋" w:eastAsia="仿宋" w:cs="仿宋"/>
                <w:color w:val="000000"/>
              </w:rPr>
            </w:pPr>
            <w:r>
              <w:rPr>
                <w:rFonts w:hint="eastAsia" w:ascii="仿宋" w:hAnsi="仿宋" w:eastAsia="仿宋" w:cs="仿宋"/>
                <w:color w:val="000000"/>
              </w:rPr>
              <w:t>F-4-2</w:t>
            </w:r>
          </w:p>
        </w:tc>
        <w:tc>
          <w:tcPr>
            <w:tcW w:w="5473" w:type="dxa"/>
            <w:tcBorders>
              <w:top w:val="single" w:color="auto" w:sz="4" w:space="0"/>
              <w:left w:val="single" w:color="auto" w:sz="4" w:space="0"/>
              <w:bottom w:val="nil"/>
              <w:right w:val="single" w:color="auto" w:sz="4" w:space="0"/>
            </w:tcBorders>
            <w:vAlign w:val="center"/>
          </w:tcPr>
          <w:p w14:paraId="619063E8">
            <w:pPr>
              <w:jc w:val="both"/>
              <w:rPr>
                <w:rFonts w:ascii="仿宋" w:hAnsi="仿宋" w:eastAsia="仿宋" w:cs="仿宋"/>
                <w:color w:val="000000"/>
              </w:rPr>
            </w:pPr>
            <w:r>
              <w:rPr>
                <w:rFonts w:hint="eastAsia" w:ascii="仿宋" w:hAnsi="仿宋" w:eastAsia="仿宋" w:cs="仿宋"/>
                <w:color w:val="000000"/>
              </w:rPr>
              <w:t>中介机构简介</w:t>
            </w:r>
            <w:r>
              <w:rPr>
                <w:rStyle w:val="17"/>
                <w:rFonts w:hint="eastAsia" w:ascii="仿宋" w:hAnsi="仿宋" w:eastAsia="仿宋" w:cs="仿宋"/>
                <w:color w:val="000000"/>
              </w:rPr>
              <w:footnoteReference w:id="12"/>
            </w:r>
            <w:r>
              <w:rPr>
                <w:rFonts w:hint="eastAsia" w:ascii="仿宋" w:hAnsi="仿宋" w:eastAsia="仿宋" w:cs="仿宋"/>
                <w:color w:val="000000"/>
              </w:rPr>
              <w:t>--信贷资产证券化业务中各中介机构的简介，包含主承销商、联席主承销商（如有）、贷款服务机构、受托机构、资金保管机构、登记托管机构、信用评级机构、会计师事务所、律师事务所、资产服务顾问（如有）、资产评估机构（如有）等。</w:t>
            </w:r>
          </w:p>
        </w:tc>
        <w:tc>
          <w:tcPr>
            <w:tcW w:w="774" w:type="dxa"/>
            <w:tcBorders>
              <w:top w:val="single" w:color="auto" w:sz="4" w:space="0"/>
              <w:left w:val="single" w:color="auto" w:sz="4" w:space="0"/>
              <w:bottom w:val="single" w:color="auto" w:sz="4" w:space="0"/>
              <w:right w:val="single" w:color="auto" w:sz="4" w:space="0"/>
            </w:tcBorders>
            <w:vAlign w:val="center"/>
          </w:tcPr>
          <w:p w14:paraId="4C617AA0">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vAlign w:val="center"/>
          </w:tcPr>
          <w:p w14:paraId="33AB5AF0">
            <w:pPr>
              <w:jc w:val="both"/>
              <w:rPr>
                <w:rFonts w:ascii="仿宋" w:hAnsi="仿宋" w:eastAsia="仿宋" w:cs="仿宋"/>
                <w:color w:val="000000"/>
              </w:rPr>
            </w:pPr>
          </w:p>
        </w:tc>
      </w:tr>
      <w:tr w14:paraId="7FABF021">
        <w:tblPrEx>
          <w:tblCellMar>
            <w:top w:w="0" w:type="dxa"/>
            <w:left w:w="108" w:type="dxa"/>
            <w:bottom w:w="0" w:type="dxa"/>
            <w:right w:w="108" w:type="dxa"/>
          </w:tblCellMar>
        </w:tblPrEx>
        <w:trPr>
          <w:trHeight w:val="1080"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16FE836D">
            <w:pPr>
              <w:jc w:val="both"/>
              <w:rPr>
                <w:rFonts w:ascii="仿宋" w:hAnsi="仿宋" w:eastAsia="仿宋" w:cs="仿宋"/>
                <w:color w:val="000000"/>
              </w:rPr>
            </w:pPr>
            <w:r>
              <w:rPr>
                <w:rFonts w:hint="eastAsia" w:ascii="仿宋" w:hAnsi="仿宋" w:eastAsia="仿宋" w:cs="仿宋"/>
                <w:color w:val="000000"/>
              </w:rPr>
              <w:t>F-4-3</w:t>
            </w:r>
          </w:p>
        </w:tc>
        <w:tc>
          <w:tcPr>
            <w:tcW w:w="5473" w:type="dxa"/>
            <w:tcBorders>
              <w:top w:val="single" w:color="auto" w:sz="4" w:space="0"/>
              <w:left w:val="single" w:color="auto" w:sz="4" w:space="0"/>
              <w:bottom w:val="single" w:color="auto" w:sz="4" w:space="0"/>
              <w:right w:val="single" w:color="auto" w:sz="4" w:space="0"/>
            </w:tcBorders>
            <w:vAlign w:val="center"/>
          </w:tcPr>
          <w:p w14:paraId="07CC9563">
            <w:pPr>
              <w:jc w:val="both"/>
              <w:rPr>
                <w:rFonts w:ascii="仿宋" w:hAnsi="仿宋" w:eastAsia="仿宋" w:cs="仿宋"/>
                <w:color w:val="000000"/>
              </w:rPr>
            </w:pPr>
            <w:r>
              <w:rPr>
                <w:rFonts w:hint="eastAsia" w:ascii="仿宋" w:hAnsi="仿宋" w:eastAsia="仿宋" w:cs="仿宋"/>
                <w:color w:val="000000"/>
              </w:rPr>
              <w:t>参与机构权利与义务</w:t>
            </w:r>
            <w:r>
              <w:rPr>
                <w:rStyle w:val="17"/>
                <w:rFonts w:hint="eastAsia" w:ascii="仿宋" w:hAnsi="仿宋" w:eastAsia="仿宋" w:cs="仿宋"/>
                <w:color w:val="000000"/>
              </w:rPr>
              <w:footnoteReference w:id="13"/>
            </w:r>
            <w:r>
              <w:rPr>
                <w:rFonts w:hint="eastAsia" w:ascii="仿宋" w:hAnsi="仿宋" w:eastAsia="仿宋" w:cs="仿宋"/>
                <w:color w:val="000000"/>
              </w:rPr>
              <w:t>--明确主承销商、联席主承销商（如有）、贷款服务机构、受托机构、资金保管机构、登记托管机构、信用评级机构、会计师事务所、律师事务所、资产服务顾问（如有）、资产评估机构（如有）等参与机构，根据约定条款确定的权利和义务，用于规范各机构资产证券化业务的开展。</w:t>
            </w:r>
          </w:p>
        </w:tc>
        <w:tc>
          <w:tcPr>
            <w:tcW w:w="774" w:type="dxa"/>
            <w:tcBorders>
              <w:top w:val="single" w:color="auto" w:sz="4" w:space="0"/>
              <w:left w:val="single" w:color="auto" w:sz="4" w:space="0"/>
              <w:bottom w:val="single" w:color="auto" w:sz="4" w:space="0"/>
              <w:right w:val="single" w:color="auto" w:sz="4" w:space="0"/>
            </w:tcBorders>
            <w:vAlign w:val="center"/>
          </w:tcPr>
          <w:p w14:paraId="0587CACC">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vAlign w:val="center"/>
          </w:tcPr>
          <w:p w14:paraId="44192AE0">
            <w:pPr>
              <w:jc w:val="both"/>
              <w:rPr>
                <w:rFonts w:ascii="仿宋" w:hAnsi="仿宋" w:eastAsia="仿宋" w:cs="仿宋"/>
                <w:color w:val="000000"/>
              </w:rPr>
            </w:pPr>
          </w:p>
        </w:tc>
      </w:tr>
      <w:tr w14:paraId="39DB646F">
        <w:tblPrEx>
          <w:tblCellMar>
            <w:top w:w="0" w:type="dxa"/>
            <w:left w:w="108" w:type="dxa"/>
            <w:bottom w:w="0" w:type="dxa"/>
            <w:right w:w="108" w:type="dxa"/>
          </w:tblCellMar>
        </w:tblPrEx>
        <w:trPr>
          <w:trHeight w:val="416"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402F13E4">
            <w:pPr>
              <w:jc w:val="both"/>
              <w:rPr>
                <w:rFonts w:ascii="仿宋" w:hAnsi="仿宋" w:eastAsia="仿宋" w:cs="仿宋"/>
                <w:color w:val="000000"/>
              </w:rPr>
            </w:pPr>
            <w:r>
              <w:rPr>
                <w:rFonts w:hint="eastAsia" w:ascii="仿宋" w:hAnsi="仿宋" w:eastAsia="仿宋" w:cs="仿宋"/>
                <w:color w:val="000000"/>
              </w:rPr>
              <w:t>F-4-4</w:t>
            </w:r>
          </w:p>
        </w:tc>
        <w:tc>
          <w:tcPr>
            <w:tcW w:w="5473" w:type="dxa"/>
            <w:tcBorders>
              <w:top w:val="single" w:color="auto" w:sz="4" w:space="0"/>
              <w:left w:val="nil"/>
              <w:bottom w:val="single" w:color="auto" w:sz="4" w:space="0"/>
              <w:right w:val="single" w:color="auto" w:sz="4" w:space="0"/>
            </w:tcBorders>
            <w:vAlign w:val="center"/>
          </w:tcPr>
          <w:p w14:paraId="62D23265">
            <w:pPr>
              <w:jc w:val="both"/>
              <w:rPr>
                <w:rFonts w:ascii="仿宋" w:hAnsi="仿宋" w:eastAsia="仿宋" w:cs="仿宋"/>
                <w:color w:val="000000"/>
              </w:rPr>
            </w:pPr>
            <w:r>
              <w:rPr>
                <w:rFonts w:hint="eastAsia" w:ascii="仿宋" w:hAnsi="仿宋" w:eastAsia="仿宋" w:cs="仿宋"/>
                <w:color w:val="000000"/>
              </w:rPr>
              <w:t>以下内容若注册阶段已披露且发行阶段无修改，可免于披露，但需注明相关内容参照注册说明书（Z-4-2：信托账户设置，Z-4-3：各交易条款设置，Z-4-4：各触发条件设置、触发后各方责任及解决机制）</w:t>
            </w:r>
          </w:p>
        </w:tc>
        <w:tc>
          <w:tcPr>
            <w:tcW w:w="774" w:type="dxa"/>
            <w:tcBorders>
              <w:top w:val="single" w:color="auto" w:sz="4" w:space="0"/>
              <w:left w:val="nil"/>
              <w:bottom w:val="single" w:color="auto" w:sz="4" w:space="0"/>
              <w:right w:val="single" w:color="auto" w:sz="4" w:space="0"/>
            </w:tcBorders>
            <w:vAlign w:val="center"/>
          </w:tcPr>
          <w:p w14:paraId="30513198">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vAlign w:val="center"/>
          </w:tcPr>
          <w:p w14:paraId="300E76BB">
            <w:pPr>
              <w:jc w:val="both"/>
              <w:rPr>
                <w:rFonts w:ascii="仿宋" w:hAnsi="仿宋" w:eastAsia="仿宋" w:cs="仿宋"/>
                <w:color w:val="000000"/>
              </w:rPr>
            </w:pPr>
          </w:p>
        </w:tc>
      </w:tr>
      <w:tr w14:paraId="4FD50036">
        <w:tblPrEx>
          <w:tblCellMar>
            <w:top w:w="0" w:type="dxa"/>
            <w:left w:w="108" w:type="dxa"/>
            <w:bottom w:w="0" w:type="dxa"/>
            <w:right w:w="108" w:type="dxa"/>
          </w:tblCellMar>
        </w:tblPrEx>
        <w:trPr>
          <w:trHeight w:val="416"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5CF4098A">
            <w:pPr>
              <w:jc w:val="both"/>
              <w:rPr>
                <w:rFonts w:ascii="仿宋" w:hAnsi="仿宋" w:eastAsia="仿宋" w:cs="仿宋"/>
                <w:color w:val="000000"/>
              </w:rPr>
            </w:pPr>
            <w:r>
              <w:rPr>
                <w:rFonts w:hint="eastAsia" w:ascii="仿宋" w:hAnsi="仿宋" w:eastAsia="仿宋" w:cs="仿宋"/>
                <w:color w:val="000000"/>
              </w:rPr>
              <w:t>F-4-5</w:t>
            </w:r>
          </w:p>
        </w:tc>
        <w:tc>
          <w:tcPr>
            <w:tcW w:w="5473" w:type="dxa"/>
            <w:tcBorders>
              <w:top w:val="single" w:color="auto" w:sz="4" w:space="0"/>
              <w:left w:val="nil"/>
              <w:bottom w:val="single" w:color="auto" w:sz="4" w:space="0"/>
              <w:right w:val="single" w:color="auto" w:sz="4" w:space="0"/>
            </w:tcBorders>
            <w:vAlign w:val="center"/>
          </w:tcPr>
          <w:p w14:paraId="2146CE33">
            <w:pPr>
              <w:jc w:val="both"/>
              <w:rPr>
                <w:rFonts w:ascii="仿宋" w:hAnsi="仿宋" w:eastAsia="仿宋" w:cs="仿宋"/>
                <w:color w:val="000000"/>
              </w:rPr>
            </w:pPr>
            <w:r>
              <w:rPr>
                <w:rFonts w:hint="eastAsia" w:ascii="仿宋" w:hAnsi="仿宋" w:eastAsia="仿宋" w:cs="仿宋"/>
                <w:color w:val="000000"/>
              </w:rPr>
              <w:t>现金流分配机制--证券本金和利息在正常、违约等模式下的分配机制与顺序，通过图示的形式体现账户之间资金的流动和事件变化对分配顺序的影响。</w:t>
            </w:r>
          </w:p>
        </w:tc>
        <w:tc>
          <w:tcPr>
            <w:tcW w:w="774" w:type="dxa"/>
            <w:tcBorders>
              <w:top w:val="single" w:color="auto" w:sz="4" w:space="0"/>
              <w:left w:val="nil"/>
              <w:bottom w:val="single" w:color="auto" w:sz="4" w:space="0"/>
              <w:right w:val="single" w:color="auto" w:sz="4" w:space="0"/>
            </w:tcBorders>
            <w:vAlign w:val="center"/>
          </w:tcPr>
          <w:p w14:paraId="360E8C69">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vAlign w:val="center"/>
          </w:tcPr>
          <w:p w14:paraId="56F0A22E">
            <w:pPr>
              <w:jc w:val="both"/>
              <w:rPr>
                <w:rFonts w:ascii="仿宋" w:hAnsi="仿宋" w:eastAsia="仿宋" w:cs="仿宋"/>
                <w:color w:val="000000"/>
              </w:rPr>
            </w:pPr>
            <w:r>
              <w:rPr>
                <w:rFonts w:hint="eastAsia" w:ascii="仿宋" w:hAnsi="仿宋" w:eastAsia="仿宋" w:cs="仿宋"/>
                <w:color w:val="000000"/>
              </w:rPr>
              <w:t>见附件3</w:t>
            </w:r>
          </w:p>
        </w:tc>
      </w:tr>
      <w:tr w14:paraId="470D1322">
        <w:tblPrEx>
          <w:tblCellMar>
            <w:top w:w="0" w:type="dxa"/>
            <w:left w:w="108" w:type="dxa"/>
            <w:bottom w:w="0" w:type="dxa"/>
            <w:right w:w="108" w:type="dxa"/>
          </w:tblCellMar>
        </w:tblPrEx>
        <w:trPr>
          <w:trHeight w:val="557" w:hRule="atLeast"/>
        </w:trPr>
        <w:tc>
          <w:tcPr>
            <w:tcW w:w="1014" w:type="dxa"/>
            <w:tcBorders>
              <w:top w:val="nil"/>
              <w:left w:val="single" w:color="auto" w:sz="4" w:space="0"/>
              <w:bottom w:val="single" w:color="auto" w:sz="4" w:space="0"/>
              <w:right w:val="single" w:color="auto" w:sz="4" w:space="0"/>
            </w:tcBorders>
            <w:noWrap/>
            <w:vAlign w:val="center"/>
          </w:tcPr>
          <w:p w14:paraId="6B98EBAC">
            <w:pPr>
              <w:jc w:val="both"/>
              <w:rPr>
                <w:rFonts w:ascii="仿宋" w:hAnsi="仿宋" w:eastAsia="仿宋" w:cs="仿宋"/>
                <w:color w:val="000000"/>
              </w:rPr>
            </w:pPr>
            <w:r>
              <w:rPr>
                <w:rFonts w:hint="eastAsia" w:ascii="仿宋" w:hAnsi="仿宋" w:eastAsia="仿宋" w:cs="仿宋"/>
                <w:color w:val="000000"/>
              </w:rPr>
              <w:t>F-4-6</w:t>
            </w:r>
          </w:p>
        </w:tc>
        <w:tc>
          <w:tcPr>
            <w:tcW w:w="5473" w:type="dxa"/>
            <w:tcBorders>
              <w:top w:val="nil"/>
              <w:left w:val="nil"/>
              <w:bottom w:val="single" w:color="auto" w:sz="4" w:space="0"/>
              <w:right w:val="single" w:color="auto" w:sz="4" w:space="0"/>
            </w:tcBorders>
            <w:vAlign w:val="center"/>
          </w:tcPr>
          <w:p w14:paraId="4B6152A4">
            <w:pPr>
              <w:jc w:val="both"/>
              <w:rPr>
                <w:rFonts w:ascii="仿宋" w:hAnsi="仿宋" w:eastAsia="仿宋" w:cs="仿宋"/>
                <w:color w:val="000000"/>
              </w:rPr>
            </w:pPr>
            <w:r>
              <w:rPr>
                <w:rFonts w:hint="eastAsia" w:ascii="仿宋" w:hAnsi="仿宋" w:eastAsia="仿宋" w:cs="仿宋"/>
                <w:color w:val="000000"/>
              </w:rPr>
              <w:t>信用增进措施—证券的信用增进方式，例如超额利差、优先级次级结构、流动性储备账户、超额抵押、外部增信等，各项目可根据实际情况披露。</w:t>
            </w:r>
          </w:p>
        </w:tc>
        <w:tc>
          <w:tcPr>
            <w:tcW w:w="774" w:type="dxa"/>
            <w:tcBorders>
              <w:top w:val="single" w:color="auto" w:sz="4" w:space="0"/>
              <w:left w:val="nil"/>
              <w:bottom w:val="single" w:color="auto" w:sz="4" w:space="0"/>
              <w:right w:val="single" w:color="auto" w:sz="4" w:space="0"/>
            </w:tcBorders>
            <w:vAlign w:val="center"/>
          </w:tcPr>
          <w:p w14:paraId="5B5C8124">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6F108F29">
            <w:pPr>
              <w:jc w:val="both"/>
              <w:rPr>
                <w:rFonts w:ascii="仿宋" w:hAnsi="仿宋" w:eastAsia="仿宋" w:cs="仿宋"/>
                <w:color w:val="000000"/>
              </w:rPr>
            </w:pPr>
          </w:p>
        </w:tc>
      </w:tr>
      <w:tr w14:paraId="72F1F92F">
        <w:tblPrEx>
          <w:tblCellMar>
            <w:top w:w="0" w:type="dxa"/>
            <w:left w:w="108" w:type="dxa"/>
            <w:bottom w:w="0" w:type="dxa"/>
            <w:right w:w="108" w:type="dxa"/>
          </w:tblCellMar>
        </w:tblPrEx>
        <w:trPr>
          <w:trHeight w:val="637" w:hRule="atLeast"/>
        </w:trPr>
        <w:tc>
          <w:tcPr>
            <w:tcW w:w="1014" w:type="dxa"/>
            <w:tcBorders>
              <w:top w:val="nil"/>
              <w:left w:val="single" w:color="auto" w:sz="4" w:space="0"/>
              <w:bottom w:val="single" w:color="auto" w:sz="4" w:space="0"/>
              <w:right w:val="single" w:color="auto" w:sz="4" w:space="0"/>
            </w:tcBorders>
            <w:noWrap/>
            <w:vAlign w:val="center"/>
          </w:tcPr>
          <w:p w14:paraId="4432F39C">
            <w:pPr>
              <w:jc w:val="both"/>
              <w:rPr>
                <w:rFonts w:ascii="仿宋" w:hAnsi="仿宋" w:eastAsia="仿宋" w:cs="仿宋"/>
                <w:color w:val="000000"/>
              </w:rPr>
            </w:pPr>
            <w:r>
              <w:rPr>
                <w:rFonts w:hint="eastAsia" w:ascii="仿宋" w:hAnsi="仿宋" w:eastAsia="仿宋" w:cs="仿宋"/>
                <w:color w:val="000000"/>
              </w:rPr>
              <w:t>F-4-7</w:t>
            </w:r>
          </w:p>
        </w:tc>
        <w:tc>
          <w:tcPr>
            <w:tcW w:w="5473" w:type="dxa"/>
            <w:tcBorders>
              <w:top w:val="nil"/>
              <w:left w:val="nil"/>
              <w:bottom w:val="single" w:color="auto" w:sz="4" w:space="0"/>
              <w:right w:val="single" w:color="auto" w:sz="4" w:space="0"/>
            </w:tcBorders>
            <w:vAlign w:val="center"/>
          </w:tcPr>
          <w:p w14:paraId="7292F747">
            <w:pPr>
              <w:jc w:val="both"/>
              <w:rPr>
                <w:rFonts w:ascii="仿宋" w:hAnsi="仿宋" w:eastAsia="仿宋" w:cs="仿宋"/>
                <w:color w:val="000000"/>
              </w:rPr>
            </w:pPr>
            <w:r>
              <w:rPr>
                <w:rFonts w:hint="eastAsia" w:ascii="仿宋" w:hAnsi="仿宋" w:eastAsia="仿宋" w:cs="仿宋"/>
                <w:color w:val="000000"/>
              </w:rPr>
              <w:t>资产支持证券持有人大会的组织形式与权利--包括但不限于持有人大会的组成、会议召集、表决权、会议方式、全体同意事项、特别决议事项等。</w:t>
            </w:r>
          </w:p>
        </w:tc>
        <w:tc>
          <w:tcPr>
            <w:tcW w:w="774" w:type="dxa"/>
            <w:tcBorders>
              <w:top w:val="single" w:color="auto" w:sz="4" w:space="0"/>
              <w:left w:val="nil"/>
              <w:bottom w:val="single" w:color="auto" w:sz="4" w:space="0"/>
              <w:right w:val="single" w:color="auto" w:sz="4" w:space="0"/>
            </w:tcBorders>
            <w:vAlign w:val="center"/>
          </w:tcPr>
          <w:p w14:paraId="4078AFCE">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1F433BC9">
            <w:pPr>
              <w:jc w:val="both"/>
              <w:rPr>
                <w:rFonts w:ascii="仿宋" w:hAnsi="仿宋" w:eastAsia="仿宋" w:cs="仿宋"/>
                <w:color w:val="000000"/>
              </w:rPr>
            </w:pPr>
          </w:p>
        </w:tc>
      </w:tr>
      <w:tr w14:paraId="0C6AF7E2">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314AE9CF">
            <w:pPr>
              <w:jc w:val="both"/>
              <w:rPr>
                <w:rFonts w:ascii="仿宋" w:hAnsi="仿宋" w:eastAsia="仿宋" w:cs="仿宋"/>
                <w:b/>
                <w:color w:val="000000"/>
              </w:rPr>
            </w:pPr>
            <w:r>
              <w:rPr>
                <w:rFonts w:hint="eastAsia" w:ascii="仿宋" w:hAnsi="仿宋" w:eastAsia="仿宋" w:cs="仿宋"/>
                <w:b/>
                <w:color w:val="000000"/>
              </w:rPr>
              <w:t>F-5</w:t>
            </w:r>
          </w:p>
        </w:tc>
        <w:tc>
          <w:tcPr>
            <w:tcW w:w="5473" w:type="dxa"/>
            <w:tcBorders>
              <w:top w:val="single" w:color="auto" w:sz="4" w:space="0"/>
              <w:left w:val="nil"/>
              <w:bottom w:val="single" w:color="auto" w:sz="4" w:space="0"/>
              <w:right w:val="single" w:color="auto" w:sz="4" w:space="0"/>
            </w:tcBorders>
            <w:vAlign w:val="center"/>
          </w:tcPr>
          <w:p w14:paraId="667C5EFC">
            <w:pPr>
              <w:jc w:val="both"/>
              <w:rPr>
                <w:rFonts w:ascii="仿宋" w:hAnsi="仿宋" w:eastAsia="仿宋" w:cs="仿宋"/>
                <w:b/>
                <w:color w:val="000000"/>
              </w:rPr>
            </w:pPr>
            <w:r>
              <w:rPr>
                <w:rFonts w:hint="eastAsia" w:ascii="仿宋" w:hAnsi="仿宋" w:eastAsia="仿宋" w:cs="仿宋"/>
                <w:b/>
                <w:color w:val="000000"/>
              </w:rPr>
              <w:t>基础资产筛选标准和资产保证</w:t>
            </w:r>
          </w:p>
        </w:tc>
        <w:tc>
          <w:tcPr>
            <w:tcW w:w="774" w:type="dxa"/>
            <w:tcBorders>
              <w:top w:val="single" w:color="auto" w:sz="4" w:space="0"/>
              <w:left w:val="nil"/>
              <w:bottom w:val="single" w:color="auto" w:sz="4" w:space="0"/>
              <w:right w:val="single" w:color="auto" w:sz="4" w:space="0"/>
            </w:tcBorders>
            <w:vAlign w:val="center"/>
          </w:tcPr>
          <w:p w14:paraId="3FB6BD53">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F5C8717">
            <w:pPr>
              <w:jc w:val="both"/>
              <w:rPr>
                <w:rFonts w:ascii="仿宋" w:hAnsi="仿宋" w:eastAsia="仿宋" w:cs="仿宋"/>
                <w:b/>
                <w:color w:val="000000"/>
              </w:rPr>
            </w:pPr>
          </w:p>
        </w:tc>
      </w:tr>
      <w:tr w14:paraId="7A269D8C">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26487D9A">
            <w:pPr>
              <w:jc w:val="both"/>
              <w:rPr>
                <w:rFonts w:ascii="仿宋" w:hAnsi="仿宋" w:eastAsia="仿宋" w:cs="仿宋"/>
                <w:color w:val="000000"/>
              </w:rPr>
            </w:pPr>
            <w:r>
              <w:rPr>
                <w:rFonts w:hint="eastAsia" w:ascii="仿宋" w:hAnsi="仿宋" w:eastAsia="仿宋" w:cs="仿宋"/>
                <w:color w:val="000000"/>
              </w:rPr>
              <w:t>F-5-1</w:t>
            </w:r>
          </w:p>
        </w:tc>
        <w:tc>
          <w:tcPr>
            <w:tcW w:w="5473" w:type="dxa"/>
            <w:tcBorders>
              <w:top w:val="single" w:color="auto" w:sz="4" w:space="0"/>
              <w:left w:val="nil"/>
              <w:bottom w:val="single" w:color="auto" w:sz="4" w:space="0"/>
              <w:right w:val="single" w:color="auto" w:sz="4" w:space="0"/>
            </w:tcBorders>
            <w:vAlign w:val="center"/>
          </w:tcPr>
          <w:p w14:paraId="02C1EB70">
            <w:pPr>
              <w:jc w:val="both"/>
              <w:rPr>
                <w:rFonts w:ascii="仿宋" w:hAnsi="仿宋" w:eastAsia="仿宋" w:cs="仿宋"/>
                <w:color w:val="000000"/>
              </w:rPr>
            </w:pPr>
            <w:r>
              <w:rPr>
                <w:rFonts w:hint="eastAsia" w:ascii="仿宋" w:hAnsi="仿宋" w:eastAsia="仿宋" w:cs="仿宋"/>
                <w:color w:val="000000"/>
              </w:rPr>
              <w:t>以下内容若注册阶段已披露且发行阶段无修改，可免于披露，但需注明相关内容参照注册说明书（Z-5：基础资产筛选标准和资产保证）</w:t>
            </w:r>
          </w:p>
        </w:tc>
        <w:tc>
          <w:tcPr>
            <w:tcW w:w="774" w:type="dxa"/>
            <w:tcBorders>
              <w:top w:val="single" w:color="auto" w:sz="4" w:space="0"/>
              <w:left w:val="nil"/>
              <w:bottom w:val="single" w:color="auto" w:sz="4" w:space="0"/>
              <w:right w:val="single" w:color="auto" w:sz="4" w:space="0"/>
            </w:tcBorders>
            <w:vAlign w:val="center"/>
          </w:tcPr>
          <w:p w14:paraId="77697CAC">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590B2767">
            <w:pPr>
              <w:jc w:val="both"/>
              <w:rPr>
                <w:rFonts w:ascii="仿宋" w:hAnsi="仿宋" w:eastAsia="仿宋" w:cs="仿宋"/>
                <w:b/>
                <w:color w:val="000000"/>
              </w:rPr>
            </w:pPr>
          </w:p>
        </w:tc>
      </w:tr>
      <w:tr w14:paraId="74E46F70">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2CF1692F">
            <w:pPr>
              <w:jc w:val="both"/>
              <w:rPr>
                <w:rFonts w:ascii="仿宋" w:hAnsi="仿宋" w:eastAsia="仿宋" w:cs="仿宋"/>
                <w:b/>
                <w:color w:val="000000"/>
              </w:rPr>
            </w:pPr>
            <w:r>
              <w:rPr>
                <w:rFonts w:hint="eastAsia" w:ascii="仿宋" w:hAnsi="仿宋" w:eastAsia="仿宋" w:cs="仿宋"/>
                <w:b/>
                <w:color w:val="000000"/>
              </w:rPr>
              <w:t>F-6</w:t>
            </w:r>
          </w:p>
        </w:tc>
        <w:tc>
          <w:tcPr>
            <w:tcW w:w="5473" w:type="dxa"/>
            <w:tcBorders>
              <w:top w:val="single" w:color="auto" w:sz="4" w:space="0"/>
              <w:left w:val="nil"/>
              <w:bottom w:val="single" w:color="auto" w:sz="4" w:space="0"/>
              <w:right w:val="single" w:color="auto" w:sz="4" w:space="0"/>
            </w:tcBorders>
            <w:vAlign w:val="center"/>
          </w:tcPr>
          <w:p w14:paraId="0FFD5492">
            <w:pPr>
              <w:jc w:val="both"/>
              <w:rPr>
                <w:rFonts w:ascii="仿宋" w:hAnsi="仿宋" w:eastAsia="仿宋" w:cs="仿宋"/>
                <w:b/>
                <w:color w:val="000000"/>
              </w:rPr>
            </w:pPr>
            <w:r>
              <w:rPr>
                <w:rFonts w:hint="eastAsia" w:ascii="仿宋" w:hAnsi="仿宋" w:eastAsia="仿宋" w:cs="仿宋"/>
                <w:b/>
                <w:color w:val="000000"/>
              </w:rPr>
              <w:t>基础资产价值评估相关的尽职调查程序及方法、资产估值程序及回收预测依据</w:t>
            </w:r>
          </w:p>
        </w:tc>
        <w:tc>
          <w:tcPr>
            <w:tcW w:w="774" w:type="dxa"/>
            <w:tcBorders>
              <w:top w:val="single" w:color="auto" w:sz="4" w:space="0"/>
              <w:left w:val="nil"/>
              <w:bottom w:val="single" w:color="auto" w:sz="4" w:space="0"/>
              <w:right w:val="single" w:color="auto" w:sz="4" w:space="0"/>
            </w:tcBorders>
            <w:vAlign w:val="center"/>
          </w:tcPr>
          <w:p w14:paraId="0649CD8A">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2D29BAF">
            <w:pPr>
              <w:jc w:val="both"/>
              <w:rPr>
                <w:rFonts w:ascii="仿宋" w:hAnsi="仿宋" w:eastAsia="仿宋" w:cs="仿宋"/>
                <w:b/>
                <w:color w:val="000000"/>
              </w:rPr>
            </w:pPr>
          </w:p>
        </w:tc>
      </w:tr>
      <w:tr w14:paraId="36425581">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766F0289">
            <w:pPr>
              <w:jc w:val="both"/>
              <w:rPr>
                <w:rFonts w:ascii="仿宋" w:hAnsi="仿宋" w:eastAsia="仿宋" w:cs="仿宋"/>
                <w:color w:val="000000"/>
              </w:rPr>
            </w:pPr>
            <w:r>
              <w:rPr>
                <w:rFonts w:hint="eastAsia" w:ascii="仿宋" w:hAnsi="仿宋" w:eastAsia="仿宋" w:cs="仿宋"/>
                <w:color w:val="000000"/>
              </w:rPr>
              <w:t>F-6-1</w:t>
            </w:r>
          </w:p>
        </w:tc>
        <w:tc>
          <w:tcPr>
            <w:tcW w:w="5473" w:type="dxa"/>
            <w:tcBorders>
              <w:top w:val="single" w:color="auto" w:sz="4" w:space="0"/>
              <w:left w:val="nil"/>
              <w:bottom w:val="single" w:color="auto" w:sz="4" w:space="0"/>
              <w:right w:val="single" w:color="auto" w:sz="4" w:space="0"/>
            </w:tcBorders>
            <w:vAlign w:val="center"/>
          </w:tcPr>
          <w:p w14:paraId="3868F5EA">
            <w:pPr>
              <w:jc w:val="both"/>
              <w:rPr>
                <w:rFonts w:ascii="仿宋" w:hAnsi="仿宋" w:eastAsia="仿宋" w:cs="仿宋"/>
                <w:color w:val="000000"/>
              </w:rPr>
            </w:pPr>
            <w:r>
              <w:rPr>
                <w:rFonts w:hint="eastAsia" w:ascii="仿宋" w:hAnsi="仿宋" w:eastAsia="仿宋" w:cs="仿宋"/>
                <w:color w:val="000000"/>
              </w:rPr>
              <w:t>本次资产池评估相关的尽职调查所采用的程序及方法。</w:t>
            </w:r>
          </w:p>
        </w:tc>
        <w:tc>
          <w:tcPr>
            <w:tcW w:w="774" w:type="dxa"/>
            <w:tcBorders>
              <w:top w:val="single" w:color="auto" w:sz="4" w:space="0"/>
              <w:left w:val="nil"/>
              <w:bottom w:val="single" w:color="auto" w:sz="4" w:space="0"/>
              <w:right w:val="single" w:color="auto" w:sz="4" w:space="0"/>
            </w:tcBorders>
            <w:vAlign w:val="center"/>
          </w:tcPr>
          <w:p w14:paraId="753A28E2">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A8B79A5">
            <w:pPr>
              <w:jc w:val="both"/>
              <w:rPr>
                <w:rFonts w:ascii="仿宋" w:hAnsi="仿宋" w:eastAsia="仿宋" w:cs="仿宋"/>
                <w:color w:val="000000"/>
              </w:rPr>
            </w:pPr>
          </w:p>
        </w:tc>
      </w:tr>
      <w:tr w14:paraId="012A1598">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542CFA97">
            <w:pPr>
              <w:jc w:val="both"/>
              <w:rPr>
                <w:rFonts w:ascii="仿宋" w:hAnsi="仿宋" w:eastAsia="仿宋" w:cs="仿宋"/>
                <w:color w:val="000000"/>
              </w:rPr>
            </w:pPr>
            <w:r>
              <w:rPr>
                <w:rFonts w:hint="eastAsia" w:ascii="仿宋" w:hAnsi="仿宋" w:eastAsia="仿宋" w:cs="仿宋"/>
                <w:color w:val="000000"/>
              </w:rPr>
              <w:t>F-6-2</w:t>
            </w:r>
          </w:p>
        </w:tc>
        <w:tc>
          <w:tcPr>
            <w:tcW w:w="5473" w:type="dxa"/>
            <w:tcBorders>
              <w:top w:val="single" w:color="auto" w:sz="4" w:space="0"/>
              <w:left w:val="nil"/>
              <w:bottom w:val="single" w:color="auto" w:sz="4" w:space="0"/>
              <w:right w:val="single" w:color="auto" w:sz="4" w:space="0"/>
            </w:tcBorders>
            <w:vAlign w:val="center"/>
          </w:tcPr>
          <w:p w14:paraId="7E77E3AA">
            <w:pPr>
              <w:jc w:val="both"/>
              <w:rPr>
                <w:rFonts w:ascii="仿宋" w:hAnsi="仿宋" w:eastAsia="仿宋" w:cs="仿宋"/>
                <w:color w:val="000000"/>
              </w:rPr>
            </w:pPr>
            <w:r>
              <w:rPr>
                <w:rFonts w:hint="eastAsia" w:ascii="仿宋" w:hAnsi="仿宋" w:eastAsia="仿宋" w:cs="仿宋"/>
                <w:color w:val="000000"/>
              </w:rPr>
              <w:t>本发行说明书所采用的资产池预计回收情况的来源，本次证券预计资产池回收情况时所采用的假设、方法及具体步骤。本次证券发行说明书所有涉及预计回收金额、预计回收时间等相关数值需保持披露口径一致。</w:t>
            </w:r>
          </w:p>
        </w:tc>
        <w:tc>
          <w:tcPr>
            <w:tcW w:w="774" w:type="dxa"/>
            <w:tcBorders>
              <w:top w:val="single" w:color="auto" w:sz="4" w:space="0"/>
              <w:left w:val="nil"/>
              <w:bottom w:val="single" w:color="auto" w:sz="4" w:space="0"/>
              <w:right w:val="single" w:color="auto" w:sz="4" w:space="0"/>
            </w:tcBorders>
            <w:vAlign w:val="center"/>
          </w:tcPr>
          <w:p w14:paraId="0D06C9B1">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68506436">
            <w:pPr>
              <w:jc w:val="both"/>
              <w:rPr>
                <w:rFonts w:ascii="仿宋" w:hAnsi="仿宋" w:eastAsia="仿宋" w:cs="仿宋"/>
                <w:color w:val="000000"/>
              </w:rPr>
            </w:pPr>
          </w:p>
        </w:tc>
      </w:tr>
      <w:tr w14:paraId="6A4117E6">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606916EE">
            <w:pPr>
              <w:jc w:val="both"/>
              <w:rPr>
                <w:rFonts w:ascii="仿宋" w:hAnsi="仿宋" w:eastAsia="仿宋" w:cs="仿宋"/>
                <w:b/>
                <w:color w:val="000000"/>
              </w:rPr>
            </w:pPr>
            <w:r>
              <w:rPr>
                <w:rFonts w:hint="eastAsia" w:ascii="仿宋" w:hAnsi="仿宋" w:eastAsia="仿宋" w:cs="仿宋"/>
                <w:b/>
                <w:color w:val="000000"/>
              </w:rPr>
              <w:t>F-7</w:t>
            </w:r>
          </w:p>
        </w:tc>
        <w:tc>
          <w:tcPr>
            <w:tcW w:w="5473" w:type="dxa"/>
            <w:tcBorders>
              <w:top w:val="single" w:color="auto" w:sz="4" w:space="0"/>
              <w:left w:val="nil"/>
              <w:bottom w:val="single" w:color="auto" w:sz="4" w:space="0"/>
              <w:right w:val="single" w:color="auto" w:sz="4" w:space="0"/>
            </w:tcBorders>
            <w:vAlign w:val="center"/>
          </w:tcPr>
          <w:p w14:paraId="657C0CBA">
            <w:pPr>
              <w:jc w:val="both"/>
              <w:rPr>
                <w:rFonts w:ascii="仿宋" w:hAnsi="仿宋" w:eastAsia="仿宋" w:cs="仿宋"/>
                <w:b/>
                <w:color w:val="000000"/>
              </w:rPr>
            </w:pPr>
            <w:r>
              <w:rPr>
                <w:rFonts w:hint="eastAsia" w:ascii="仿宋" w:hAnsi="仿宋" w:eastAsia="仿宋" w:cs="仿宋"/>
                <w:b/>
                <w:color w:val="000000"/>
              </w:rPr>
              <w:t>基础资产总体信息</w:t>
            </w:r>
            <w:r>
              <w:rPr>
                <w:rFonts w:hint="eastAsia" w:ascii="仿宋" w:hAnsi="仿宋" w:eastAsia="仿宋" w:cs="仿宋"/>
                <w:b/>
                <w:color w:val="000000"/>
                <w:vertAlign w:val="superscript"/>
              </w:rPr>
              <w:footnoteReference w:id="14"/>
            </w:r>
          </w:p>
        </w:tc>
        <w:tc>
          <w:tcPr>
            <w:tcW w:w="774" w:type="dxa"/>
            <w:tcBorders>
              <w:top w:val="single" w:color="auto" w:sz="4" w:space="0"/>
              <w:left w:val="nil"/>
              <w:bottom w:val="single" w:color="auto" w:sz="4" w:space="0"/>
              <w:right w:val="single" w:color="auto" w:sz="4" w:space="0"/>
            </w:tcBorders>
            <w:vAlign w:val="center"/>
          </w:tcPr>
          <w:p w14:paraId="2824B18A">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02174ECB">
            <w:pPr>
              <w:jc w:val="both"/>
              <w:rPr>
                <w:rFonts w:ascii="仿宋" w:hAnsi="仿宋" w:eastAsia="仿宋" w:cs="仿宋"/>
                <w:b/>
                <w:color w:val="000000"/>
              </w:rPr>
            </w:pPr>
          </w:p>
        </w:tc>
      </w:tr>
      <w:tr w14:paraId="5D11CA65">
        <w:tblPrEx>
          <w:tblCellMar>
            <w:top w:w="0" w:type="dxa"/>
            <w:left w:w="108" w:type="dxa"/>
            <w:bottom w:w="0" w:type="dxa"/>
            <w:right w:w="108" w:type="dxa"/>
          </w:tblCellMar>
        </w:tblPrEx>
        <w:trPr>
          <w:trHeight w:val="2173"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0811515D">
            <w:pPr>
              <w:jc w:val="both"/>
              <w:rPr>
                <w:rFonts w:ascii="仿宋" w:hAnsi="仿宋" w:eastAsia="仿宋" w:cs="仿宋"/>
                <w:color w:val="000000"/>
              </w:rPr>
            </w:pPr>
            <w:r>
              <w:rPr>
                <w:rFonts w:hint="eastAsia" w:ascii="仿宋" w:hAnsi="仿宋" w:eastAsia="仿宋" w:cs="仿宋"/>
                <w:color w:val="000000"/>
              </w:rPr>
              <w:t>F-7-1</w:t>
            </w:r>
          </w:p>
        </w:tc>
        <w:tc>
          <w:tcPr>
            <w:tcW w:w="5473" w:type="dxa"/>
            <w:tcBorders>
              <w:top w:val="single" w:color="auto" w:sz="4" w:space="0"/>
              <w:left w:val="single" w:color="auto" w:sz="4" w:space="0"/>
              <w:bottom w:val="single" w:color="auto" w:sz="4" w:space="0"/>
              <w:right w:val="single" w:color="auto" w:sz="4" w:space="0"/>
            </w:tcBorders>
            <w:vAlign w:val="center"/>
          </w:tcPr>
          <w:p w14:paraId="3A2C2B9C">
            <w:pPr>
              <w:jc w:val="both"/>
              <w:rPr>
                <w:rFonts w:ascii="仿宋" w:hAnsi="仿宋" w:eastAsia="仿宋" w:cs="仿宋"/>
                <w:color w:val="000000"/>
              </w:rPr>
            </w:pPr>
            <w:r>
              <w:rPr>
                <w:rFonts w:hint="eastAsia" w:ascii="仿宋" w:hAnsi="仿宋" w:eastAsia="仿宋" w:cs="仿宋"/>
                <w:color w:val="000000"/>
              </w:rPr>
              <w:t>入池资产笔数、金额与期限特征—资产的入池总笔数、总户数、合同总金额、入池本息和、入池本金总额、入池息费总额、预计回收总额、单笔贷款平均未偿本息余额以及平均预计回收总额、借款人平均未偿本息余额以及平均预计回收总额、单一借款人最高未偿本息余额以及单一借款人最高预计回收金额</w:t>
            </w:r>
            <w:r>
              <w:rPr>
                <w:rStyle w:val="17"/>
                <w:rFonts w:hint="eastAsia" w:ascii="仿宋" w:hAnsi="仿宋" w:eastAsia="仿宋" w:cs="仿宋"/>
                <w:color w:val="000000"/>
              </w:rPr>
              <w:footnoteReference w:id="15"/>
            </w:r>
            <w:r>
              <w:rPr>
                <w:rFonts w:hint="eastAsia" w:ascii="仿宋" w:hAnsi="仿宋" w:eastAsia="仿宋" w:cs="仿宋"/>
                <w:color w:val="000000"/>
              </w:rPr>
              <w:t>、加权平均逾期期限</w:t>
            </w:r>
            <w:r>
              <w:rPr>
                <w:rStyle w:val="17"/>
                <w:rFonts w:hint="eastAsia" w:ascii="仿宋" w:hAnsi="仿宋" w:eastAsia="仿宋" w:cs="仿宋"/>
                <w:color w:val="000000"/>
              </w:rPr>
              <w:footnoteReference w:id="16"/>
            </w:r>
            <w:r>
              <w:rPr>
                <w:rFonts w:hint="eastAsia" w:ascii="仿宋" w:hAnsi="仿宋" w:eastAsia="仿宋" w:cs="仿宋"/>
                <w:color w:val="000000"/>
              </w:rPr>
              <w:t>等。</w:t>
            </w:r>
          </w:p>
        </w:tc>
        <w:tc>
          <w:tcPr>
            <w:tcW w:w="774" w:type="dxa"/>
            <w:tcBorders>
              <w:top w:val="single" w:color="auto" w:sz="4" w:space="0"/>
              <w:left w:val="single" w:color="auto" w:sz="4" w:space="0"/>
              <w:bottom w:val="single" w:color="auto" w:sz="4" w:space="0"/>
              <w:right w:val="single" w:color="auto" w:sz="4" w:space="0"/>
            </w:tcBorders>
            <w:vAlign w:val="center"/>
          </w:tcPr>
          <w:p w14:paraId="69415380">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0EF7963C">
            <w:pPr>
              <w:jc w:val="both"/>
              <w:rPr>
                <w:rFonts w:ascii="仿宋" w:hAnsi="仿宋" w:eastAsia="仿宋" w:cs="仿宋"/>
                <w:color w:val="000000"/>
              </w:rPr>
            </w:pPr>
          </w:p>
        </w:tc>
      </w:tr>
      <w:tr w14:paraId="5933DF56">
        <w:tblPrEx>
          <w:tblCellMar>
            <w:top w:w="0" w:type="dxa"/>
            <w:left w:w="108" w:type="dxa"/>
            <w:bottom w:w="0" w:type="dxa"/>
            <w:right w:w="108" w:type="dxa"/>
          </w:tblCellMar>
        </w:tblPrEx>
        <w:trPr>
          <w:trHeight w:val="204"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1794F241">
            <w:pPr>
              <w:jc w:val="both"/>
              <w:rPr>
                <w:rFonts w:ascii="仿宋" w:hAnsi="仿宋" w:eastAsia="仿宋" w:cs="仿宋"/>
                <w:color w:val="000000"/>
              </w:rPr>
            </w:pPr>
            <w:r>
              <w:rPr>
                <w:rFonts w:hint="eastAsia" w:ascii="仿宋" w:hAnsi="仿宋" w:eastAsia="仿宋" w:cs="仿宋"/>
                <w:color w:val="000000"/>
              </w:rPr>
              <w:t>F-7-2</w:t>
            </w:r>
          </w:p>
        </w:tc>
        <w:tc>
          <w:tcPr>
            <w:tcW w:w="5473" w:type="dxa"/>
            <w:tcBorders>
              <w:top w:val="single" w:color="auto" w:sz="4" w:space="0"/>
              <w:left w:val="single" w:color="auto" w:sz="4" w:space="0"/>
              <w:bottom w:val="single" w:color="auto" w:sz="4" w:space="0"/>
              <w:right w:val="single" w:color="auto" w:sz="4" w:space="0"/>
            </w:tcBorders>
            <w:vAlign w:val="center"/>
          </w:tcPr>
          <w:p w14:paraId="7DB4D25B">
            <w:pPr>
              <w:jc w:val="both"/>
              <w:rPr>
                <w:rFonts w:ascii="仿宋" w:hAnsi="仿宋" w:eastAsia="仿宋" w:cs="仿宋"/>
                <w:color w:val="000000"/>
              </w:rPr>
            </w:pPr>
            <w:r>
              <w:rPr>
                <w:rFonts w:hint="eastAsia" w:ascii="仿宋" w:hAnsi="仿宋" w:eastAsia="仿宋" w:cs="仿宋"/>
                <w:color w:val="000000"/>
              </w:rPr>
              <w:t>入池资产抵（质）押物特征—资产的入池抵（质）押资产初始评估价值合计</w:t>
            </w:r>
            <w:r>
              <w:rPr>
                <w:rStyle w:val="17"/>
                <w:rFonts w:hint="eastAsia" w:ascii="仿宋" w:hAnsi="仿宋" w:eastAsia="仿宋" w:cs="仿宋"/>
                <w:color w:val="000000"/>
              </w:rPr>
              <w:footnoteReference w:id="17"/>
            </w:r>
            <w:r>
              <w:rPr>
                <w:rFonts w:hint="eastAsia" w:ascii="仿宋" w:hAnsi="仿宋" w:eastAsia="仿宋" w:cs="仿宋"/>
                <w:color w:val="000000"/>
              </w:rPr>
              <w:t>、</w:t>
            </w:r>
            <w:r>
              <w:rPr>
                <w:rFonts w:hint="eastAsia" w:ascii="仿宋" w:hAnsi="仿宋" w:eastAsia="仿宋" w:cs="仿宋"/>
                <w:color w:val="000000"/>
                <w:highlight w:val="none"/>
              </w:rPr>
              <w:t>入池抵（质）押资产当期评估价值合计</w:t>
            </w:r>
            <w:r>
              <w:rPr>
                <w:rStyle w:val="17"/>
                <w:rFonts w:hint="eastAsia" w:ascii="仿宋" w:hAnsi="仿宋" w:eastAsia="仿宋" w:cs="仿宋"/>
                <w:color w:val="000000"/>
                <w:highlight w:val="none"/>
              </w:rPr>
              <w:footnoteReference w:id="18"/>
            </w:r>
            <w:r>
              <w:rPr>
                <w:rFonts w:hint="eastAsia" w:ascii="仿宋" w:hAnsi="仿宋" w:eastAsia="仿宋" w:cs="仿宋"/>
                <w:color w:val="000000"/>
                <w:highlight w:val="none"/>
              </w:rPr>
              <w:t>、加权平均初</w:t>
            </w:r>
            <w:r>
              <w:rPr>
                <w:rFonts w:hint="eastAsia" w:ascii="仿宋" w:hAnsi="仿宋" w:eastAsia="仿宋" w:cs="仿宋"/>
                <w:color w:val="000000"/>
              </w:rPr>
              <w:t>始抵押率</w:t>
            </w:r>
            <w:r>
              <w:rPr>
                <w:rStyle w:val="17"/>
                <w:rFonts w:hint="eastAsia" w:ascii="仿宋" w:hAnsi="仿宋" w:eastAsia="仿宋" w:cs="仿宋"/>
                <w:color w:val="000000"/>
              </w:rPr>
              <w:footnoteReference w:id="19"/>
            </w:r>
            <w:r>
              <w:rPr>
                <w:rFonts w:hint="eastAsia" w:ascii="仿宋" w:hAnsi="仿宋" w:eastAsia="仿宋" w:cs="仿宋"/>
                <w:color w:val="000000"/>
              </w:rPr>
              <w:t>、基础资产抵（质）押贷款未偿本息占比，预计抵（质）押物回收金额占总预计回收金额比例。</w:t>
            </w:r>
          </w:p>
        </w:tc>
        <w:tc>
          <w:tcPr>
            <w:tcW w:w="774" w:type="dxa"/>
            <w:tcBorders>
              <w:top w:val="single" w:color="auto" w:sz="4" w:space="0"/>
              <w:left w:val="single" w:color="auto" w:sz="4" w:space="0"/>
              <w:bottom w:val="single" w:color="auto" w:sz="4" w:space="0"/>
              <w:right w:val="single" w:color="auto" w:sz="4" w:space="0"/>
            </w:tcBorders>
            <w:vAlign w:val="center"/>
          </w:tcPr>
          <w:p w14:paraId="5199C843">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DEC9791">
            <w:pPr>
              <w:jc w:val="both"/>
              <w:rPr>
                <w:rFonts w:ascii="仿宋" w:hAnsi="仿宋" w:eastAsia="仿宋" w:cs="仿宋"/>
                <w:color w:val="000000"/>
              </w:rPr>
            </w:pPr>
          </w:p>
        </w:tc>
      </w:tr>
      <w:tr w14:paraId="126CD09D">
        <w:tblPrEx>
          <w:tblCellMar>
            <w:top w:w="0" w:type="dxa"/>
            <w:left w:w="108" w:type="dxa"/>
            <w:bottom w:w="0" w:type="dxa"/>
            <w:right w:w="108" w:type="dxa"/>
          </w:tblCellMar>
        </w:tblPrEx>
        <w:trPr>
          <w:trHeight w:val="841"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709DB773">
            <w:pPr>
              <w:jc w:val="both"/>
              <w:rPr>
                <w:rFonts w:ascii="仿宋" w:hAnsi="仿宋" w:eastAsia="仿宋" w:cs="仿宋"/>
                <w:color w:val="000000"/>
              </w:rPr>
            </w:pPr>
            <w:r>
              <w:rPr>
                <w:rFonts w:hint="eastAsia" w:ascii="仿宋" w:hAnsi="仿宋" w:eastAsia="仿宋" w:cs="仿宋"/>
                <w:color w:val="000000"/>
              </w:rPr>
              <w:t>F-7-3</w:t>
            </w:r>
          </w:p>
        </w:tc>
        <w:tc>
          <w:tcPr>
            <w:tcW w:w="5473" w:type="dxa"/>
            <w:tcBorders>
              <w:top w:val="single" w:color="auto" w:sz="4" w:space="0"/>
              <w:left w:val="single" w:color="auto" w:sz="4" w:space="0"/>
              <w:bottom w:val="single" w:color="auto" w:sz="4" w:space="0"/>
              <w:right w:val="single" w:color="auto" w:sz="4" w:space="0"/>
            </w:tcBorders>
            <w:vAlign w:val="center"/>
          </w:tcPr>
          <w:p w14:paraId="1D4D26FA">
            <w:pPr>
              <w:jc w:val="both"/>
              <w:rPr>
                <w:rFonts w:ascii="仿宋" w:hAnsi="仿宋" w:eastAsia="仿宋" w:cs="仿宋"/>
                <w:color w:val="000000"/>
              </w:rPr>
            </w:pPr>
            <w:r>
              <w:rPr>
                <w:rFonts w:hint="eastAsia" w:ascii="仿宋" w:hAnsi="仿宋" w:eastAsia="仿宋" w:cs="仿宋"/>
                <w:color w:val="000000"/>
              </w:rPr>
              <w:t>入池资产借款人特征—若入池资产为对公类贷款，则披露前五大借款人未偿本息余额占比、前十大借款人未偿本息余额占比、前五大借款人预计回收金额占预计总回收金额比例、前十大借款人预计回收金额占预计总回收金额比例。若入池资产为个人类贷款，则披露借款人加权平均</w:t>
            </w:r>
            <w:r>
              <w:rPr>
                <w:rStyle w:val="17"/>
                <w:rFonts w:hint="eastAsia" w:ascii="仿宋" w:hAnsi="仿宋" w:eastAsia="仿宋" w:cs="仿宋"/>
                <w:color w:val="000000"/>
              </w:rPr>
              <w:footnoteReference w:id="20"/>
            </w:r>
            <w:r>
              <w:rPr>
                <w:rFonts w:hint="eastAsia" w:ascii="仿宋" w:hAnsi="仿宋" w:eastAsia="仿宋" w:cs="仿宋"/>
                <w:color w:val="000000"/>
              </w:rPr>
              <w:t>年龄、借款人加权平均</w:t>
            </w:r>
            <w:r>
              <w:rPr>
                <w:rStyle w:val="17"/>
                <w:rFonts w:hint="eastAsia" w:ascii="仿宋" w:hAnsi="仿宋" w:eastAsia="仿宋" w:cs="仿宋"/>
                <w:color w:val="000000"/>
              </w:rPr>
              <w:footnoteReference w:id="21"/>
            </w:r>
            <w:r>
              <w:rPr>
                <w:rFonts w:hint="eastAsia" w:ascii="仿宋" w:hAnsi="仿宋" w:eastAsia="仿宋" w:cs="仿宋"/>
                <w:color w:val="000000"/>
              </w:rPr>
              <w:t>收入、借款人加权平均</w:t>
            </w:r>
            <w:r>
              <w:rPr>
                <w:rStyle w:val="17"/>
                <w:rFonts w:hint="eastAsia" w:ascii="仿宋" w:hAnsi="仿宋" w:eastAsia="仿宋" w:cs="仿宋"/>
                <w:color w:val="000000"/>
              </w:rPr>
              <w:footnoteReference w:id="22"/>
            </w:r>
            <w:r>
              <w:rPr>
                <w:rFonts w:hint="eastAsia" w:ascii="仿宋" w:hAnsi="仿宋" w:eastAsia="仿宋" w:cs="仿宋"/>
                <w:color w:val="000000"/>
              </w:rPr>
              <w:t>获得的授信额度、前五大借款人未偿本息余额占比、前十大借款人未偿本息余额占比等。</w:t>
            </w:r>
          </w:p>
        </w:tc>
        <w:tc>
          <w:tcPr>
            <w:tcW w:w="774" w:type="dxa"/>
            <w:tcBorders>
              <w:top w:val="single" w:color="auto" w:sz="4" w:space="0"/>
              <w:left w:val="single" w:color="auto" w:sz="4" w:space="0"/>
              <w:bottom w:val="single" w:color="auto" w:sz="4" w:space="0"/>
              <w:right w:val="single" w:color="auto" w:sz="4" w:space="0"/>
            </w:tcBorders>
            <w:vAlign w:val="center"/>
          </w:tcPr>
          <w:p w14:paraId="7B6B2846">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vAlign w:val="center"/>
          </w:tcPr>
          <w:p w14:paraId="176AED14">
            <w:pPr>
              <w:jc w:val="both"/>
              <w:rPr>
                <w:rFonts w:ascii="仿宋" w:hAnsi="仿宋" w:eastAsia="仿宋" w:cs="仿宋"/>
                <w:color w:val="000000"/>
              </w:rPr>
            </w:pPr>
          </w:p>
        </w:tc>
      </w:tr>
      <w:tr w14:paraId="59002893">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4CE8DC9A">
            <w:pPr>
              <w:jc w:val="both"/>
              <w:rPr>
                <w:rFonts w:ascii="仿宋" w:hAnsi="仿宋" w:eastAsia="仿宋" w:cs="仿宋"/>
                <w:color w:val="000000"/>
              </w:rPr>
            </w:pPr>
            <w:r>
              <w:rPr>
                <w:rFonts w:hint="eastAsia" w:ascii="仿宋" w:hAnsi="仿宋" w:eastAsia="仿宋" w:cs="仿宋"/>
                <w:color w:val="000000"/>
              </w:rPr>
              <w:t>F-7-4</w:t>
            </w:r>
          </w:p>
        </w:tc>
        <w:tc>
          <w:tcPr>
            <w:tcW w:w="5473" w:type="dxa"/>
            <w:tcBorders>
              <w:top w:val="single" w:color="auto" w:sz="4" w:space="0"/>
              <w:left w:val="nil"/>
              <w:bottom w:val="single" w:color="auto" w:sz="4" w:space="0"/>
              <w:right w:val="single" w:color="auto" w:sz="4" w:space="0"/>
            </w:tcBorders>
            <w:vAlign w:val="center"/>
          </w:tcPr>
          <w:p w14:paraId="5D2DD2AC">
            <w:pPr>
              <w:jc w:val="both"/>
              <w:rPr>
                <w:rFonts w:ascii="仿宋" w:hAnsi="仿宋" w:eastAsia="仿宋" w:cs="仿宋"/>
                <w:color w:val="000000"/>
              </w:rPr>
            </w:pPr>
            <w:r>
              <w:rPr>
                <w:rFonts w:hint="eastAsia" w:ascii="仿宋" w:hAnsi="仿宋" w:eastAsia="仿宋" w:cs="仿宋"/>
                <w:color w:val="000000"/>
              </w:rPr>
              <w:t>借款人基础信息—若入池资产为对公贷款，主要披露所有入池贷款的贷款编号、未偿本息余额、地区、行业、担保方式等信息。若入池资产为个人类贷款，则需披露贷款合同编号。如涉及个人信息的，可进行加密处理。</w:t>
            </w:r>
          </w:p>
        </w:tc>
        <w:tc>
          <w:tcPr>
            <w:tcW w:w="774" w:type="dxa"/>
            <w:tcBorders>
              <w:top w:val="single" w:color="auto" w:sz="4" w:space="0"/>
              <w:left w:val="nil"/>
              <w:bottom w:val="single" w:color="auto" w:sz="4" w:space="0"/>
              <w:right w:val="single" w:color="auto" w:sz="4" w:space="0"/>
            </w:tcBorders>
            <w:vAlign w:val="center"/>
          </w:tcPr>
          <w:p w14:paraId="5C546C77">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F69800C">
            <w:pPr>
              <w:jc w:val="both"/>
              <w:rPr>
                <w:rFonts w:ascii="仿宋" w:hAnsi="仿宋" w:eastAsia="仿宋" w:cs="仿宋"/>
                <w:color w:val="000000"/>
              </w:rPr>
            </w:pPr>
          </w:p>
        </w:tc>
      </w:tr>
      <w:tr w14:paraId="779BFD7F">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2D9FE0C3">
            <w:pPr>
              <w:jc w:val="both"/>
              <w:rPr>
                <w:rFonts w:ascii="仿宋" w:hAnsi="仿宋" w:eastAsia="仿宋" w:cs="仿宋"/>
                <w:b/>
                <w:color w:val="000000"/>
              </w:rPr>
            </w:pPr>
            <w:r>
              <w:rPr>
                <w:rFonts w:hint="eastAsia" w:ascii="仿宋" w:hAnsi="仿宋" w:eastAsia="仿宋" w:cs="仿宋"/>
                <w:b/>
                <w:color w:val="000000"/>
              </w:rPr>
              <w:t>F-8</w:t>
            </w:r>
            <w:r>
              <w:rPr>
                <w:rStyle w:val="17"/>
                <w:rFonts w:hint="eastAsia" w:ascii="仿宋" w:hAnsi="仿宋" w:eastAsia="仿宋" w:cs="仿宋"/>
                <w:color w:val="000000"/>
              </w:rPr>
              <w:footnoteReference w:id="23"/>
            </w:r>
          </w:p>
        </w:tc>
        <w:tc>
          <w:tcPr>
            <w:tcW w:w="5473" w:type="dxa"/>
            <w:tcBorders>
              <w:top w:val="single" w:color="auto" w:sz="4" w:space="0"/>
              <w:left w:val="nil"/>
              <w:bottom w:val="single" w:color="auto" w:sz="4" w:space="0"/>
              <w:right w:val="single" w:color="auto" w:sz="4" w:space="0"/>
            </w:tcBorders>
            <w:vAlign w:val="center"/>
          </w:tcPr>
          <w:p w14:paraId="550E6139">
            <w:pPr>
              <w:jc w:val="both"/>
              <w:rPr>
                <w:rFonts w:ascii="仿宋" w:hAnsi="仿宋" w:eastAsia="仿宋" w:cs="仿宋"/>
                <w:b/>
                <w:color w:val="000000"/>
              </w:rPr>
            </w:pPr>
            <w:r>
              <w:rPr>
                <w:rFonts w:hint="eastAsia" w:ascii="仿宋" w:hAnsi="仿宋" w:eastAsia="仿宋" w:cs="仿宋"/>
                <w:b/>
                <w:color w:val="000000"/>
              </w:rPr>
              <w:t>基础资产分布信息及预计回收情况</w:t>
            </w:r>
          </w:p>
        </w:tc>
        <w:tc>
          <w:tcPr>
            <w:tcW w:w="774" w:type="dxa"/>
            <w:tcBorders>
              <w:top w:val="single" w:color="auto" w:sz="4" w:space="0"/>
              <w:left w:val="nil"/>
              <w:bottom w:val="single" w:color="auto" w:sz="4" w:space="0"/>
              <w:right w:val="single" w:color="auto" w:sz="4" w:space="0"/>
            </w:tcBorders>
            <w:vAlign w:val="center"/>
          </w:tcPr>
          <w:p w14:paraId="0B10C3C6">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697D6FE">
            <w:pPr>
              <w:jc w:val="both"/>
              <w:rPr>
                <w:rFonts w:ascii="仿宋" w:hAnsi="仿宋" w:eastAsia="仿宋" w:cs="仿宋"/>
                <w:b/>
                <w:color w:val="000000"/>
              </w:rPr>
            </w:pPr>
          </w:p>
        </w:tc>
      </w:tr>
      <w:tr w14:paraId="6395CE07">
        <w:tblPrEx>
          <w:tblCellMar>
            <w:top w:w="0" w:type="dxa"/>
            <w:left w:w="108" w:type="dxa"/>
            <w:bottom w:w="0" w:type="dxa"/>
            <w:right w:w="108" w:type="dxa"/>
          </w:tblCellMar>
        </w:tblPrEx>
        <w:trPr>
          <w:trHeight w:val="1080" w:hRule="atLeast"/>
        </w:trPr>
        <w:tc>
          <w:tcPr>
            <w:tcW w:w="1014" w:type="dxa"/>
            <w:tcBorders>
              <w:top w:val="nil"/>
              <w:left w:val="single" w:color="auto" w:sz="4" w:space="0"/>
              <w:bottom w:val="single" w:color="auto" w:sz="4" w:space="0"/>
              <w:right w:val="single" w:color="auto" w:sz="4" w:space="0"/>
            </w:tcBorders>
            <w:noWrap/>
            <w:vAlign w:val="center"/>
          </w:tcPr>
          <w:p w14:paraId="2CDB9051">
            <w:pPr>
              <w:jc w:val="both"/>
              <w:rPr>
                <w:rFonts w:ascii="仿宋" w:hAnsi="仿宋" w:eastAsia="仿宋" w:cs="仿宋"/>
                <w:color w:val="000000"/>
                <w:highlight w:val="yellow"/>
              </w:rPr>
            </w:pPr>
            <w:r>
              <w:rPr>
                <w:rFonts w:hint="eastAsia" w:ascii="仿宋" w:hAnsi="仿宋" w:eastAsia="仿宋" w:cs="仿宋"/>
                <w:color w:val="000000"/>
              </w:rPr>
              <w:t>F-8-1</w:t>
            </w:r>
          </w:p>
        </w:tc>
        <w:tc>
          <w:tcPr>
            <w:tcW w:w="5473" w:type="dxa"/>
            <w:tcBorders>
              <w:top w:val="nil"/>
              <w:left w:val="single" w:color="auto" w:sz="4" w:space="0"/>
              <w:bottom w:val="single" w:color="auto" w:sz="4" w:space="0"/>
              <w:right w:val="single" w:color="auto" w:sz="4" w:space="0"/>
            </w:tcBorders>
            <w:vAlign w:val="center"/>
          </w:tcPr>
          <w:p w14:paraId="7962F9C6">
            <w:pPr>
              <w:jc w:val="both"/>
              <w:rPr>
                <w:rFonts w:ascii="仿宋" w:hAnsi="仿宋" w:eastAsia="仿宋" w:cs="仿宋"/>
                <w:color w:val="000000"/>
                <w:highlight w:val="yellow"/>
              </w:rPr>
            </w:pPr>
            <w:r>
              <w:rPr>
                <w:rFonts w:hint="eastAsia" w:ascii="仿宋" w:hAnsi="仿宋" w:eastAsia="仿宋" w:cs="仿宋"/>
                <w:color w:val="000000"/>
              </w:rPr>
              <w:t>贷款分布--入池资产的未偿本息余额金额分布、贷款五级分类分布、贷款担保方式分布、贷款逾期时间分布、贷款不良账龄分布、贷款发放金额分布（基础资产类型为信用卡时无需披露）</w:t>
            </w:r>
            <w:r>
              <w:rPr>
                <w:rFonts w:hint="eastAsia" w:ascii="仿宋" w:hAnsi="仿宋" w:eastAsia="仿宋" w:cs="仿宋"/>
                <w:color w:val="000000"/>
                <w:highlight w:val="none"/>
              </w:rPr>
              <w:t>、一级分行分布（如有）、二级分行</w:t>
            </w:r>
            <w:r>
              <w:rPr>
                <w:rFonts w:hint="eastAsia" w:ascii="仿宋" w:hAnsi="仿宋" w:eastAsia="仿宋" w:cs="仿宋"/>
                <w:color w:val="000000"/>
                <w:highlight w:val="none"/>
                <w:vertAlign w:val="superscript"/>
              </w:rPr>
              <w:footnoteReference w:id="24"/>
            </w:r>
            <w:r>
              <w:rPr>
                <w:rFonts w:hint="eastAsia" w:ascii="仿宋" w:hAnsi="仿宋" w:eastAsia="仿宋" w:cs="仿宋"/>
                <w:color w:val="000000"/>
                <w:highlight w:val="none"/>
              </w:rPr>
              <w:t>分布（如有）。</w:t>
            </w:r>
            <w:r>
              <w:rPr>
                <w:rFonts w:hint="eastAsia" w:ascii="仿宋" w:hAnsi="仿宋" w:eastAsia="仿宋" w:cs="仿宋"/>
                <w:color w:val="000000"/>
              </w:rPr>
              <w:t>分布信息按贷款笔数及占比、未偿本息余额及占比、预计回收金额及占比三种口径进行统计。</w:t>
            </w:r>
          </w:p>
        </w:tc>
        <w:tc>
          <w:tcPr>
            <w:tcW w:w="774" w:type="dxa"/>
            <w:tcBorders>
              <w:top w:val="single" w:color="auto" w:sz="4" w:space="0"/>
              <w:left w:val="single" w:color="auto" w:sz="4" w:space="0"/>
              <w:bottom w:val="single" w:color="auto" w:sz="4" w:space="0"/>
              <w:right w:val="single" w:color="auto" w:sz="4" w:space="0"/>
            </w:tcBorders>
            <w:vAlign w:val="center"/>
          </w:tcPr>
          <w:p w14:paraId="73E93127">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7A99F239">
            <w:pPr>
              <w:jc w:val="both"/>
              <w:rPr>
                <w:rFonts w:ascii="仿宋" w:hAnsi="仿宋" w:eastAsia="仿宋" w:cs="仿宋"/>
                <w:color w:val="000000"/>
              </w:rPr>
            </w:pPr>
          </w:p>
        </w:tc>
      </w:tr>
      <w:tr w14:paraId="16426CBE">
        <w:tblPrEx>
          <w:tblCellMar>
            <w:top w:w="0" w:type="dxa"/>
            <w:left w:w="108" w:type="dxa"/>
            <w:bottom w:w="0" w:type="dxa"/>
            <w:right w:w="108" w:type="dxa"/>
          </w:tblCellMar>
        </w:tblPrEx>
        <w:trPr>
          <w:trHeight w:val="540"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5E16F1D1">
            <w:pPr>
              <w:jc w:val="both"/>
              <w:rPr>
                <w:rFonts w:ascii="仿宋" w:hAnsi="仿宋" w:eastAsia="仿宋" w:cs="仿宋"/>
                <w:color w:val="000000"/>
              </w:rPr>
            </w:pPr>
            <w:r>
              <w:rPr>
                <w:rFonts w:hint="eastAsia" w:ascii="仿宋" w:hAnsi="仿宋" w:eastAsia="仿宋" w:cs="仿宋"/>
                <w:color w:val="000000"/>
              </w:rPr>
              <w:t>F-8-2</w:t>
            </w:r>
          </w:p>
        </w:tc>
        <w:tc>
          <w:tcPr>
            <w:tcW w:w="5473" w:type="dxa"/>
            <w:tcBorders>
              <w:top w:val="single" w:color="auto" w:sz="4" w:space="0"/>
              <w:left w:val="single" w:color="auto" w:sz="4" w:space="0"/>
              <w:bottom w:val="single" w:color="auto" w:sz="4" w:space="0"/>
              <w:right w:val="single" w:color="auto" w:sz="4" w:space="0"/>
            </w:tcBorders>
            <w:vAlign w:val="center"/>
          </w:tcPr>
          <w:p w14:paraId="4F28A59E">
            <w:pPr>
              <w:jc w:val="both"/>
              <w:rPr>
                <w:rFonts w:ascii="仿宋" w:hAnsi="仿宋" w:eastAsia="仿宋" w:cs="仿宋"/>
                <w:color w:val="000000"/>
              </w:rPr>
            </w:pPr>
            <w:r>
              <w:rPr>
                <w:rFonts w:hint="eastAsia" w:ascii="仿宋" w:hAnsi="仿宋" w:eastAsia="仿宋" w:cs="仿宋"/>
                <w:color w:val="000000"/>
              </w:rPr>
              <w:t>借款人分布--入池资产的借款人类型</w:t>
            </w:r>
            <w:r>
              <w:rPr>
                <w:rFonts w:hint="eastAsia" w:ascii="仿宋" w:hAnsi="仿宋" w:eastAsia="仿宋" w:cs="仿宋"/>
                <w:color w:val="000000"/>
                <w:vertAlign w:val="superscript"/>
              </w:rPr>
              <w:footnoteReference w:id="25"/>
            </w:r>
            <w:r>
              <w:rPr>
                <w:rFonts w:hint="eastAsia" w:ascii="仿宋" w:hAnsi="仿宋" w:eastAsia="仿宋" w:cs="仿宋"/>
                <w:color w:val="000000"/>
              </w:rPr>
              <w:t>分布、地区（省级）分布、地区（市级）</w:t>
            </w:r>
            <w:r>
              <w:rPr>
                <w:rStyle w:val="17"/>
                <w:rFonts w:hint="eastAsia" w:ascii="仿宋" w:hAnsi="仿宋" w:eastAsia="仿宋" w:cs="仿宋"/>
                <w:color w:val="000000"/>
              </w:rPr>
              <w:footnoteReference w:id="26"/>
            </w:r>
            <w:r>
              <w:rPr>
                <w:rFonts w:hint="eastAsia" w:ascii="仿宋" w:hAnsi="仿宋" w:eastAsia="仿宋" w:cs="仿宋"/>
                <w:color w:val="000000"/>
              </w:rPr>
              <w:t>分布、</w:t>
            </w:r>
            <w:r>
              <w:rPr>
                <w:rFonts w:hint="eastAsia" w:ascii="仿宋" w:hAnsi="仿宋" w:eastAsia="仿宋" w:cs="仿宋"/>
                <w:color w:val="000000"/>
                <w:highlight w:val="none"/>
              </w:rPr>
              <w:t>司法状态</w:t>
            </w:r>
            <w:r>
              <w:rPr>
                <w:rStyle w:val="17"/>
                <w:rFonts w:hint="eastAsia" w:ascii="仿宋" w:hAnsi="仿宋" w:eastAsia="仿宋" w:cs="仿宋"/>
                <w:color w:val="000000"/>
                <w:highlight w:val="none"/>
              </w:rPr>
              <w:footnoteReference w:id="27"/>
            </w:r>
            <w:r>
              <w:rPr>
                <w:rFonts w:hint="eastAsia" w:ascii="仿宋" w:hAnsi="仿宋" w:eastAsia="仿宋" w:cs="仿宋"/>
                <w:color w:val="000000"/>
                <w:highlight w:val="none"/>
              </w:rPr>
              <w:t>分布。</w:t>
            </w:r>
            <w:r>
              <w:rPr>
                <w:rFonts w:hint="eastAsia" w:ascii="仿宋" w:hAnsi="仿宋" w:eastAsia="仿宋" w:cs="仿宋"/>
                <w:highlight w:val="none"/>
              </w:rPr>
              <w:t>若入池资产为“对公企业贷款”、“微小企业贷款”、“个人经营贷款”还需披露借款人行业分布。若入池资产为个人类贷款需披露能够反映借款人信用资质相关指标的分布信息，可包括借款人性别分布、年龄分布、职业分布、收入分布、借款人获得的授信额度分布等。若入池资产为个人消费贷款还需披露贷款用途分布。</w:t>
            </w:r>
            <w:r>
              <w:rPr>
                <w:rFonts w:hint="eastAsia" w:ascii="仿宋" w:hAnsi="仿宋" w:eastAsia="仿宋" w:cs="仿宋"/>
                <w:color w:val="000000"/>
                <w:highlight w:val="none"/>
              </w:rPr>
              <w:t>分布信息按</w:t>
            </w:r>
            <w:r>
              <w:rPr>
                <w:rFonts w:hint="eastAsia" w:ascii="仿宋" w:hAnsi="仿宋" w:eastAsia="仿宋" w:cs="仿宋"/>
                <w:color w:val="000000"/>
              </w:rPr>
              <w:t>贷款笔数及占比、未偿本息余额及占比、预计回收金额及占比三种口径进行统计。</w:t>
            </w:r>
          </w:p>
        </w:tc>
        <w:tc>
          <w:tcPr>
            <w:tcW w:w="774" w:type="dxa"/>
            <w:tcBorders>
              <w:top w:val="single" w:color="auto" w:sz="4" w:space="0"/>
              <w:left w:val="single" w:color="auto" w:sz="4" w:space="0"/>
              <w:bottom w:val="single" w:color="auto" w:sz="4" w:space="0"/>
              <w:right w:val="single" w:color="auto" w:sz="4" w:space="0"/>
            </w:tcBorders>
            <w:vAlign w:val="center"/>
          </w:tcPr>
          <w:p w14:paraId="3FDDCAFD">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1A3E10B">
            <w:pPr>
              <w:jc w:val="both"/>
              <w:rPr>
                <w:rFonts w:ascii="仿宋" w:hAnsi="仿宋" w:eastAsia="仿宋" w:cs="仿宋"/>
                <w:color w:val="000000"/>
              </w:rPr>
            </w:pPr>
          </w:p>
        </w:tc>
      </w:tr>
      <w:tr w14:paraId="72018624">
        <w:tblPrEx>
          <w:tblCellMar>
            <w:top w:w="0" w:type="dxa"/>
            <w:left w:w="108" w:type="dxa"/>
            <w:bottom w:w="0" w:type="dxa"/>
            <w:right w:w="108" w:type="dxa"/>
          </w:tblCellMar>
        </w:tblPrEx>
        <w:trPr>
          <w:trHeight w:val="540"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784FACE8">
            <w:pPr>
              <w:jc w:val="both"/>
              <w:rPr>
                <w:rFonts w:ascii="仿宋" w:hAnsi="仿宋" w:eastAsia="仿宋" w:cs="仿宋"/>
                <w:color w:val="000000"/>
              </w:rPr>
            </w:pPr>
            <w:r>
              <w:rPr>
                <w:rFonts w:hint="eastAsia" w:ascii="仿宋" w:hAnsi="仿宋" w:eastAsia="仿宋" w:cs="仿宋"/>
                <w:color w:val="000000"/>
              </w:rPr>
              <w:t>F-8-3</w:t>
            </w:r>
          </w:p>
        </w:tc>
        <w:tc>
          <w:tcPr>
            <w:tcW w:w="5473" w:type="dxa"/>
            <w:tcBorders>
              <w:top w:val="single" w:color="auto" w:sz="4" w:space="0"/>
              <w:left w:val="single" w:color="auto" w:sz="4" w:space="0"/>
              <w:bottom w:val="single" w:color="auto" w:sz="4" w:space="0"/>
              <w:right w:val="single" w:color="auto" w:sz="4" w:space="0"/>
            </w:tcBorders>
            <w:vAlign w:val="center"/>
          </w:tcPr>
          <w:p w14:paraId="61BAAB9D">
            <w:pPr>
              <w:jc w:val="both"/>
              <w:rPr>
                <w:rFonts w:ascii="仿宋" w:hAnsi="仿宋" w:eastAsia="仿宋" w:cs="仿宋"/>
                <w:color w:val="000000"/>
              </w:rPr>
            </w:pPr>
            <w:r>
              <w:rPr>
                <w:rFonts w:hint="eastAsia" w:ascii="仿宋" w:hAnsi="仿宋" w:eastAsia="仿宋" w:cs="仿宋"/>
                <w:color w:val="000000"/>
              </w:rPr>
              <w:t>抵（质）押物分布--入池资产的抵（质）押资产初始抵押率分布、抵押率</w:t>
            </w:r>
            <w:r>
              <w:rPr>
                <w:rStyle w:val="17"/>
                <w:rFonts w:hint="eastAsia" w:ascii="仿宋" w:hAnsi="仿宋" w:eastAsia="仿宋" w:cs="仿宋"/>
                <w:color w:val="000000"/>
              </w:rPr>
              <w:footnoteReference w:id="28"/>
            </w:r>
            <w:r>
              <w:rPr>
                <w:rFonts w:hint="eastAsia" w:ascii="仿宋" w:hAnsi="仿宋" w:eastAsia="仿宋" w:cs="仿宋"/>
                <w:color w:val="000000"/>
              </w:rPr>
              <w:t>分布、抵（质）押物地区（省级）分布，抵（质）押物地区（市级）</w:t>
            </w:r>
            <w:r>
              <w:rPr>
                <w:rStyle w:val="17"/>
                <w:rFonts w:hint="eastAsia" w:ascii="仿宋" w:hAnsi="仿宋" w:eastAsia="仿宋" w:cs="仿宋"/>
                <w:color w:val="000000"/>
              </w:rPr>
              <w:footnoteReference w:id="29"/>
            </w:r>
            <w:r>
              <w:rPr>
                <w:rFonts w:hint="eastAsia" w:ascii="仿宋" w:hAnsi="仿宋" w:eastAsia="仿宋" w:cs="仿宋"/>
                <w:color w:val="000000"/>
              </w:rPr>
              <w:t>分布、抵（质）押物类型分布、</w:t>
            </w:r>
            <w:r>
              <w:rPr>
                <w:rFonts w:hint="eastAsia" w:ascii="仿宋" w:hAnsi="仿宋" w:eastAsia="仿宋" w:cs="仿宋"/>
                <w:color w:val="000000"/>
                <w:highlight w:val="none"/>
              </w:rPr>
              <w:t>抵（质）押物登记状态</w:t>
            </w:r>
            <w:r>
              <w:rPr>
                <w:rStyle w:val="17"/>
                <w:rFonts w:hint="eastAsia" w:ascii="仿宋" w:hAnsi="仿宋" w:eastAsia="仿宋" w:cs="仿宋"/>
                <w:color w:val="000000"/>
                <w:highlight w:val="none"/>
              </w:rPr>
              <w:footnoteReference w:id="30"/>
            </w:r>
            <w:r>
              <w:rPr>
                <w:rFonts w:hint="eastAsia" w:ascii="仿宋" w:hAnsi="仿宋" w:eastAsia="仿宋" w:cs="仿宋"/>
                <w:color w:val="000000"/>
                <w:highlight w:val="none"/>
              </w:rPr>
              <w:t>分</w:t>
            </w:r>
            <w:r>
              <w:rPr>
                <w:rFonts w:hint="eastAsia" w:ascii="仿宋" w:hAnsi="仿宋" w:eastAsia="仿宋" w:cs="仿宋"/>
                <w:color w:val="000000"/>
              </w:rPr>
              <w:t>布。分布信息按贷款笔数及占比、未偿本息余额及占比、预计回收金额及占比三种口径进行统计。</w:t>
            </w:r>
          </w:p>
        </w:tc>
        <w:tc>
          <w:tcPr>
            <w:tcW w:w="774" w:type="dxa"/>
            <w:tcBorders>
              <w:top w:val="single" w:color="auto" w:sz="4" w:space="0"/>
              <w:left w:val="single" w:color="auto" w:sz="4" w:space="0"/>
              <w:bottom w:val="single" w:color="auto" w:sz="4" w:space="0"/>
              <w:right w:val="single" w:color="auto" w:sz="4" w:space="0"/>
            </w:tcBorders>
            <w:vAlign w:val="center"/>
          </w:tcPr>
          <w:p w14:paraId="568FFAF2">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0EE1178">
            <w:pPr>
              <w:jc w:val="both"/>
              <w:rPr>
                <w:rFonts w:ascii="仿宋" w:hAnsi="仿宋" w:eastAsia="仿宋" w:cs="仿宋"/>
                <w:color w:val="000000"/>
              </w:rPr>
            </w:pPr>
          </w:p>
        </w:tc>
      </w:tr>
      <w:tr w14:paraId="677637AB">
        <w:tblPrEx>
          <w:tblCellMar>
            <w:top w:w="0" w:type="dxa"/>
            <w:left w:w="108" w:type="dxa"/>
            <w:bottom w:w="0" w:type="dxa"/>
            <w:right w:w="108" w:type="dxa"/>
          </w:tblCellMar>
        </w:tblPrEx>
        <w:trPr>
          <w:trHeight w:val="77" w:hRule="atLeast"/>
        </w:trPr>
        <w:tc>
          <w:tcPr>
            <w:tcW w:w="1014" w:type="dxa"/>
            <w:tcBorders>
              <w:top w:val="single" w:color="auto" w:sz="4" w:space="0"/>
              <w:left w:val="single" w:color="auto" w:sz="4" w:space="0"/>
              <w:bottom w:val="nil"/>
              <w:right w:val="single" w:color="auto" w:sz="4" w:space="0"/>
            </w:tcBorders>
            <w:noWrap/>
            <w:vAlign w:val="center"/>
          </w:tcPr>
          <w:p w14:paraId="47FD76C7">
            <w:pPr>
              <w:jc w:val="both"/>
              <w:rPr>
                <w:rFonts w:ascii="仿宋" w:hAnsi="仿宋" w:eastAsia="仿宋" w:cs="仿宋"/>
                <w:color w:val="000000"/>
              </w:rPr>
            </w:pPr>
            <w:r>
              <w:rPr>
                <w:rFonts w:hint="eastAsia" w:ascii="仿宋" w:hAnsi="仿宋" w:eastAsia="仿宋" w:cs="仿宋"/>
                <w:color w:val="000000"/>
              </w:rPr>
              <w:t>F-8-4</w:t>
            </w:r>
          </w:p>
        </w:tc>
        <w:tc>
          <w:tcPr>
            <w:tcW w:w="5473" w:type="dxa"/>
            <w:tcBorders>
              <w:top w:val="single" w:color="auto" w:sz="4" w:space="0"/>
              <w:left w:val="single" w:color="auto" w:sz="4" w:space="0"/>
              <w:bottom w:val="nil"/>
              <w:right w:val="single" w:color="auto" w:sz="4" w:space="0"/>
            </w:tcBorders>
            <w:vAlign w:val="center"/>
          </w:tcPr>
          <w:p w14:paraId="70A083FD">
            <w:pPr>
              <w:jc w:val="both"/>
              <w:rPr>
                <w:rFonts w:ascii="仿宋" w:hAnsi="仿宋" w:eastAsia="仿宋" w:cs="仿宋"/>
                <w:color w:val="000000"/>
              </w:rPr>
            </w:pPr>
            <w:r>
              <w:rPr>
                <w:rFonts w:hint="eastAsia" w:ascii="仿宋" w:hAnsi="仿宋" w:eastAsia="仿宋" w:cs="仿宋"/>
                <w:color w:val="000000"/>
              </w:rPr>
              <w:t>预测回收率分布表。</w:t>
            </w:r>
          </w:p>
        </w:tc>
        <w:tc>
          <w:tcPr>
            <w:tcW w:w="774" w:type="dxa"/>
            <w:tcBorders>
              <w:top w:val="single" w:color="auto" w:sz="4" w:space="0"/>
              <w:left w:val="single" w:color="auto" w:sz="4" w:space="0"/>
              <w:bottom w:val="single" w:color="auto" w:sz="4" w:space="0"/>
              <w:right w:val="single" w:color="auto" w:sz="4" w:space="0"/>
            </w:tcBorders>
            <w:vAlign w:val="center"/>
          </w:tcPr>
          <w:p w14:paraId="2212B00C">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0C9F74A">
            <w:pPr>
              <w:jc w:val="both"/>
              <w:rPr>
                <w:rFonts w:ascii="仿宋" w:hAnsi="仿宋" w:eastAsia="仿宋" w:cs="仿宋"/>
                <w:color w:val="000000"/>
              </w:rPr>
            </w:pPr>
            <w:r>
              <w:rPr>
                <w:rFonts w:hint="eastAsia" w:ascii="仿宋" w:hAnsi="仿宋" w:eastAsia="仿宋" w:cs="仿宋"/>
                <w:color w:val="000000"/>
              </w:rPr>
              <w:t>见附件4</w:t>
            </w:r>
          </w:p>
        </w:tc>
      </w:tr>
      <w:tr w14:paraId="326D709B">
        <w:tblPrEx>
          <w:tblCellMar>
            <w:top w:w="0" w:type="dxa"/>
            <w:left w:w="108" w:type="dxa"/>
            <w:bottom w:w="0" w:type="dxa"/>
            <w:right w:w="108" w:type="dxa"/>
          </w:tblCellMar>
        </w:tblPrEx>
        <w:trPr>
          <w:trHeight w:val="540" w:hRule="atLeast"/>
        </w:trPr>
        <w:tc>
          <w:tcPr>
            <w:tcW w:w="1014" w:type="dxa"/>
            <w:tcBorders>
              <w:top w:val="single" w:color="auto" w:sz="4" w:space="0"/>
              <w:left w:val="single" w:color="auto" w:sz="4" w:space="0"/>
              <w:bottom w:val="nil"/>
              <w:right w:val="single" w:color="auto" w:sz="4" w:space="0"/>
            </w:tcBorders>
            <w:noWrap/>
            <w:vAlign w:val="center"/>
          </w:tcPr>
          <w:p w14:paraId="53972132">
            <w:pPr>
              <w:jc w:val="both"/>
              <w:rPr>
                <w:rFonts w:ascii="仿宋" w:hAnsi="仿宋" w:eastAsia="仿宋" w:cs="仿宋"/>
                <w:color w:val="000000"/>
              </w:rPr>
            </w:pPr>
            <w:r>
              <w:rPr>
                <w:rFonts w:hint="eastAsia" w:ascii="仿宋" w:hAnsi="仿宋" w:eastAsia="仿宋" w:cs="仿宋"/>
                <w:color w:val="000000"/>
              </w:rPr>
              <w:t>F-8-5</w:t>
            </w:r>
          </w:p>
        </w:tc>
        <w:tc>
          <w:tcPr>
            <w:tcW w:w="5473" w:type="dxa"/>
            <w:tcBorders>
              <w:top w:val="single" w:color="auto" w:sz="4" w:space="0"/>
              <w:left w:val="single" w:color="auto" w:sz="4" w:space="0"/>
              <w:bottom w:val="nil"/>
              <w:right w:val="single" w:color="auto" w:sz="4" w:space="0"/>
            </w:tcBorders>
            <w:vAlign w:val="center"/>
          </w:tcPr>
          <w:p w14:paraId="4A877AAF">
            <w:pPr>
              <w:jc w:val="both"/>
              <w:rPr>
                <w:rFonts w:ascii="仿宋" w:hAnsi="仿宋" w:eastAsia="仿宋" w:cs="仿宋"/>
                <w:color w:val="000000"/>
              </w:rPr>
            </w:pPr>
            <w:r>
              <w:rPr>
                <w:rFonts w:hint="eastAsia" w:ascii="仿宋" w:hAnsi="仿宋" w:eastAsia="仿宋" w:cs="仿宋"/>
                <w:color w:val="000000"/>
              </w:rPr>
              <w:t>现金流回收预测表—依据历史回收情况以及资产池资产特征给出的未来资产回收现金流预测表。</w:t>
            </w:r>
          </w:p>
        </w:tc>
        <w:tc>
          <w:tcPr>
            <w:tcW w:w="774" w:type="dxa"/>
            <w:tcBorders>
              <w:top w:val="single" w:color="auto" w:sz="4" w:space="0"/>
              <w:left w:val="single" w:color="auto" w:sz="4" w:space="0"/>
              <w:bottom w:val="single" w:color="auto" w:sz="4" w:space="0"/>
              <w:right w:val="single" w:color="auto" w:sz="4" w:space="0"/>
            </w:tcBorders>
            <w:vAlign w:val="center"/>
          </w:tcPr>
          <w:p w14:paraId="28BE6BDA">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0F133D9">
            <w:pPr>
              <w:jc w:val="both"/>
              <w:rPr>
                <w:rFonts w:ascii="仿宋" w:hAnsi="仿宋" w:eastAsia="仿宋" w:cs="仿宋"/>
                <w:color w:val="000000"/>
              </w:rPr>
            </w:pPr>
            <w:r>
              <w:rPr>
                <w:rFonts w:hint="eastAsia" w:ascii="仿宋" w:hAnsi="仿宋" w:eastAsia="仿宋" w:cs="仿宋"/>
                <w:color w:val="000000"/>
              </w:rPr>
              <w:t>见附件5</w:t>
            </w:r>
          </w:p>
        </w:tc>
      </w:tr>
      <w:tr w14:paraId="72338ADD">
        <w:tblPrEx>
          <w:tblCellMar>
            <w:top w:w="0" w:type="dxa"/>
            <w:left w:w="108" w:type="dxa"/>
            <w:bottom w:w="0" w:type="dxa"/>
            <w:right w:w="108" w:type="dxa"/>
          </w:tblCellMar>
        </w:tblPrEx>
        <w:trPr>
          <w:trHeight w:val="540" w:hRule="atLeast"/>
        </w:trPr>
        <w:tc>
          <w:tcPr>
            <w:tcW w:w="1014" w:type="dxa"/>
            <w:tcBorders>
              <w:top w:val="single" w:color="auto" w:sz="4" w:space="0"/>
              <w:left w:val="single" w:color="auto" w:sz="4" w:space="0"/>
              <w:bottom w:val="nil"/>
              <w:right w:val="single" w:color="auto" w:sz="4" w:space="0"/>
            </w:tcBorders>
            <w:noWrap/>
            <w:vAlign w:val="center"/>
          </w:tcPr>
          <w:p w14:paraId="5B2148F6">
            <w:pPr>
              <w:jc w:val="both"/>
              <w:rPr>
                <w:rFonts w:ascii="仿宋" w:hAnsi="仿宋" w:eastAsia="仿宋" w:cs="仿宋"/>
                <w:color w:val="000000"/>
              </w:rPr>
            </w:pPr>
            <w:r>
              <w:rPr>
                <w:rFonts w:hint="eastAsia" w:ascii="仿宋" w:hAnsi="仿宋" w:eastAsia="仿宋" w:cs="仿宋"/>
                <w:color w:val="000000"/>
              </w:rPr>
              <w:t>F-8-6</w:t>
            </w:r>
          </w:p>
        </w:tc>
        <w:tc>
          <w:tcPr>
            <w:tcW w:w="5473" w:type="dxa"/>
            <w:tcBorders>
              <w:top w:val="single" w:color="auto" w:sz="4" w:space="0"/>
              <w:left w:val="single" w:color="auto" w:sz="4" w:space="0"/>
              <w:bottom w:val="nil"/>
              <w:right w:val="single" w:color="auto" w:sz="4" w:space="0"/>
            </w:tcBorders>
            <w:vAlign w:val="center"/>
          </w:tcPr>
          <w:p w14:paraId="0D73E033">
            <w:pPr>
              <w:jc w:val="both"/>
              <w:rPr>
                <w:rFonts w:ascii="仿宋" w:hAnsi="仿宋" w:eastAsia="仿宋" w:cs="仿宋"/>
                <w:color w:val="000000"/>
              </w:rPr>
            </w:pPr>
            <w:r>
              <w:rPr>
                <w:rFonts w:hint="eastAsia" w:ascii="仿宋" w:hAnsi="仿宋" w:eastAsia="仿宋" w:cs="仿宋"/>
                <w:color w:val="000000"/>
              </w:rPr>
              <w:t>单一借款人入池贷款预计回收金额占比超过1%</w:t>
            </w:r>
            <w:r>
              <w:rPr>
                <w:rStyle w:val="17"/>
                <w:rFonts w:hint="eastAsia" w:ascii="仿宋" w:hAnsi="仿宋" w:eastAsia="仿宋" w:cs="仿宋"/>
                <w:color w:val="000000"/>
              </w:rPr>
              <w:footnoteReference w:id="31"/>
            </w:r>
            <w:r>
              <w:rPr>
                <w:rFonts w:hint="eastAsia" w:ascii="仿宋" w:hAnsi="仿宋" w:eastAsia="仿宋" w:cs="仿宋"/>
                <w:color w:val="000000"/>
              </w:rPr>
              <w:t>，应披露借款人相关信息、</w:t>
            </w:r>
            <w:r>
              <w:rPr>
                <w:rFonts w:hint="eastAsia" w:ascii="仿宋" w:hAnsi="仿宋" w:eastAsia="仿宋" w:cs="仿宋"/>
              </w:rPr>
              <w:t>贷款担保措施及</w:t>
            </w:r>
            <w:r>
              <w:rPr>
                <w:rFonts w:hint="eastAsia" w:ascii="仿宋" w:hAnsi="仿宋" w:eastAsia="仿宋" w:cs="仿宋"/>
                <w:color w:val="000000"/>
              </w:rPr>
              <w:t>相关信息、预计回收金额等。</w:t>
            </w:r>
          </w:p>
        </w:tc>
        <w:tc>
          <w:tcPr>
            <w:tcW w:w="774" w:type="dxa"/>
            <w:tcBorders>
              <w:top w:val="single" w:color="auto" w:sz="4" w:space="0"/>
              <w:left w:val="single" w:color="auto" w:sz="4" w:space="0"/>
              <w:bottom w:val="single" w:color="auto" w:sz="4" w:space="0"/>
              <w:right w:val="single" w:color="auto" w:sz="4" w:space="0"/>
            </w:tcBorders>
            <w:vAlign w:val="center"/>
          </w:tcPr>
          <w:p w14:paraId="06EBFCED">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07A1C0EC">
            <w:pPr>
              <w:jc w:val="both"/>
              <w:rPr>
                <w:rFonts w:ascii="仿宋" w:hAnsi="仿宋" w:eastAsia="仿宋" w:cs="仿宋"/>
                <w:color w:val="000000"/>
              </w:rPr>
            </w:pPr>
            <w:r>
              <w:rPr>
                <w:rFonts w:hint="eastAsia" w:ascii="仿宋" w:hAnsi="仿宋" w:eastAsia="仿宋" w:cs="仿宋"/>
                <w:color w:val="000000"/>
              </w:rPr>
              <w:t>见附件6</w:t>
            </w:r>
          </w:p>
        </w:tc>
      </w:tr>
      <w:tr w14:paraId="19F841FF">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323E4DA7">
            <w:pPr>
              <w:jc w:val="both"/>
              <w:rPr>
                <w:rFonts w:ascii="仿宋" w:hAnsi="仿宋" w:eastAsia="仿宋" w:cs="仿宋"/>
                <w:b/>
                <w:color w:val="000000"/>
              </w:rPr>
            </w:pPr>
            <w:r>
              <w:rPr>
                <w:rFonts w:hint="eastAsia" w:ascii="仿宋" w:hAnsi="仿宋" w:eastAsia="仿宋" w:cs="仿宋"/>
                <w:b/>
                <w:color w:val="000000"/>
              </w:rPr>
              <w:t>F-9</w:t>
            </w:r>
          </w:p>
        </w:tc>
        <w:tc>
          <w:tcPr>
            <w:tcW w:w="5473" w:type="dxa"/>
            <w:tcBorders>
              <w:top w:val="single" w:color="auto" w:sz="4" w:space="0"/>
              <w:left w:val="nil"/>
              <w:bottom w:val="single" w:color="auto" w:sz="4" w:space="0"/>
              <w:right w:val="single" w:color="auto" w:sz="4" w:space="0"/>
            </w:tcBorders>
            <w:vAlign w:val="center"/>
          </w:tcPr>
          <w:p w14:paraId="51E85DC4">
            <w:pPr>
              <w:jc w:val="both"/>
              <w:rPr>
                <w:rFonts w:ascii="仿宋" w:hAnsi="仿宋" w:eastAsia="仿宋" w:cs="仿宋"/>
                <w:b/>
                <w:color w:val="000000"/>
              </w:rPr>
            </w:pPr>
            <w:r>
              <w:rPr>
                <w:rFonts w:hint="eastAsia" w:ascii="仿宋" w:hAnsi="仿宋" w:eastAsia="仿宋" w:cs="仿宋"/>
                <w:b/>
                <w:color w:val="000000"/>
              </w:rPr>
              <w:t>不良贷款资产支持证券基础信息</w:t>
            </w:r>
          </w:p>
        </w:tc>
        <w:tc>
          <w:tcPr>
            <w:tcW w:w="774" w:type="dxa"/>
            <w:tcBorders>
              <w:top w:val="single" w:color="auto" w:sz="4" w:space="0"/>
              <w:left w:val="nil"/>
              <w:bottom w:val="single" w:color="auto" w:sz="4" w:space="0"/>
              <w:right w:val="single" w:color="auto" w:sz="4" w:space="0"/>
            </w:tcBorders>
            <w:vAlign w:val="center"/>
          </w:tcPr>
          <w:p w14:paraId="5859A339">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56E8DB65">
            <w:pPr>
              <w:jc w:val="both"/>
              <w:rPr>
                <w:rFonts w:ascii="仿宋" w:hAnsi="仿宋" w:eastAsia="仿宋" w:cs="仿宋"/>
                <w:b/>
                <w:color w:val="000000"/>
              </w:rPr>
            </w:pPr>
          </w:p>
        </w:tc>
      </w:tr>
      <w:tr w14:paraId="73A8BF3E">
        <w:tblPrEx>
          <w:tblCellMar>
            <w:top w:w="0" w:type="dxa"/>
            <w:left w:w="108" w:type="dxa"/>
            <w:bottom w:w="0" w:type="dxa"/>
            <w:right w:w="108" w:type="dxa"/>
          </w:tblCellMar>
        </w:tblPrEx>
        <w:trPr>
          <w:trHeight w:val="346" w:hRule="atLeast"/>
        </w:trPr>
        <w:tc>
          <w:tcPr>
            <w:tcW w:w="1014" w:type="dxa"/>
            <w:tcBorders>
              <w:top w:val="nil"/>
              <w:left w:val="single" w:color="auto" w:sz="4" w:space="0"/>
              <w:bottom w:val="single" w:color="auto" w:sz="4" w:space="0"/>
              <w:right w:val="single" w:color="auto" w:sz="4" w:space="0"/>
            </w:tcBorders>
            <w:noWrap/>
            <w:vAlign w:val="center"/>
          </w:tcPr>
          <w:p w14:paraId="19E36123">
            <w:pPr>
              <w:jc w:val="both"/>
              <w:rPr>
                <w:rFonts w:ascii="仿宋" w:hAnsi="仿宋" w:eastAsia="仿宋" w:cs="仿宋"/>
                <w:color w:val="000000"/>
              </w:rPr>
            </w:pPr>
            <w:r>
              <w:rPr>
                <w:rFonts w:hint="eastAsia" w:ascii="仿宋" w:hAnsi="仿宋" w:eastAsia="仿宋" w:cs="仿宋"/>
                <w:color w:val="000000"/>
              </w:rPr>
              <w:t>F-9-1</w:t>
            </w:r>
          </w:p>
        </w:tc>
        <w:tc>
          <w:tcPr>
            <w:tcW w:w="5473" w:type="dxa"/>
            <w:tcBorders>
              <w:top w:val="nil"/>
              <w:left w:val="single" w:color="auto" w:sz="4" w:space="0"/>
              <w:bottom w:val="single" w:color="auto" w:sz="4" w:space="0"/>
              <w:right w:val="single" w:color="auto" w:sz="4" w:space="0"/>
            </w:tcBorders>
            <w:vAlign w:val="center"/>
          </w:tcPr>
          <w:p w14:paraId="6D142DE7">
            <w:pPr>
              <w:jc w:val="both"/>
              <w:rPr>
                <w:rFonts w:ascii="仿宋" w:hAnsi="仿宋" w:eastAsia="仿宋" w:cs="仿宋"/>
                <w:color w:val="000000"/>
              </w:rPr>
            </w:pPr>
            <w:r>
              <w:rPr>
                <w:rFonts w:hint="eastAsia" w:ascii="仿宋" w:hAnsi="仿宋" w:eastAsia="仿宋" w:cs="仿宋"/>
                <w:color w:val="000000"/>
              </w:rPr>
              <w:t>费用信息--由信托财产支付的费用,应该列明费用科目明细，包括但不限于处置费用（列明过去1年历史同类项目真实处置费率区间，并披露核算口径）、顾问费、超额奖励服务费。</w:t>
            </w:r>
          </w:p>
        </w:tc>
        <w:tc>
          <w:tcPr>
            <w:tcW w:w="774" w:type="dxa"/>
            <w:tcBorders>
              <w:top w:val="single" w:color="auto" w:sz="4" w:space="0"/>
              <w:left w:val="single" w:color="auto" w:sz="4" w:space="0"/>
              <w:bottom w:val="single" w:color="auto" w:sz="4" w:space="0"/>
              <w:right w:val="single" w:color="auto" w:sz="4" w:space="0"/>
            </w:tcBorders>
            <w:vAlign w:val="center"/>
          </w:tcPr>
          <w:p w14:paraId="33B3BA44">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71EC3F2C">
            <w:pPr>
              <w:jc w:val="both"/>
              <w:rPr>
                <w:rFonts w:ascii="仿宋" w:hAnsi="仿宋" w:eastAsia="仿宋" w:cs="仿宋"/>
                <w:color w:val="000000"/>
              </w:rPr>
            </w:pPr>
          </w:p>
        </w:tc>
      </w:tr>
      <w:tr w14:paraId="4D233A59">
        <w:trPr>
          <w:trHeight w:val="1620" w:hRule="atLeast"/>
        </w:trPr>
        <w:tc>
          <w:tcPr>
            <w:tcW w:w="1014" w:type="dxa"/>
            <w:tcBorders>
              <w:top w:val="nil"/>
              <w:left w:val="single" w:color="auto" w:sz="4" w:space="0"/>
              <w:bottom w:val="single" w:color="auto" w:sz="4" w:space="0"/>
              <w:right w:val="single" w:color="auto" w:sz="4" w:space="0"/>
            </w:tcBorders>
            <w:noWrap/>
            <w:vAlign w:val="center"/>
          </w:tcPr>
          <w:p w14:paraId="2FF03BA2">
            <w:pPr>
              <w:jc w:val="both"/>
              <w:rPr>
                <w:rFonts w:ascii="仿宋" w:hAnsi="仿宋" w:eastAsia="仿宋" w:cs="仿宋"/>
                <w:color w:val="000000"/>
              </w:rPr>
            </w:pPr>
            <w:r>
              <w:rPr>
                <w:rFonts w:hint="eastAsia" w:ascii="仿宋" w:hAnsi="仿宋" w:eastAsia="仿宋" w:cs="仿宋"/>
                <w:color w:val="000000"/>
              </w:rPr>
              <w:t>F-9-2</w:t>
            </w:r>
          </w:p>
        </w:tc>
        <w:tc>
          <w:tcPr>
            <w:tcW w:w="5473" w:type="dxa"/>
            <w:tcBorders>
              <w:top w:val="nil"/>
              <w:left w:val="single" w:color="auto" w:sz="4" w:space="0"/>
              <w:bottom w:val="single" w:color="auto" w:sz="4" w:space="0"/>
              <w:right w:val="single" w:color="auto" w:sz="4" w:space="0"/>
            </w:tcBorders>
            <w:vAlign w:val="center"/>
          </w:tcPr>
          <w:p w14:paraId="7B5814E5">
            <w:pPr>
              <w:jc w:val="both"/>
              <w:rPr>
                <w:rFonts w:ascii="仿宋" w:hAnsi="仿宋" w:eastAsia="仿宋" w:cs="仿宋"/>
                <w:color w:val="000000"/>
              </w:rPr>
            </w:pPr>
            <w:r>
              <w:rPr>
                <w:rFonts w:hint="eastAsia" w:ascii="仿宋" w:hAnsi="仿宋" w:eastAsia="仿宋" w:cs="仿宋"/>
                <w:color w:val="000000"/>
              </w:rPr>
              <w:t>日期信息--与证券设立、存续、兑付相关的日期类信息，包括但不限于初始起算日、簿记建档日（如有）、信托生效日、计算日、处置费用分配日、信托分配日、受托机构报告日、支付日、计息日、结息日、法定到期日等。</w:t>
            </w:r>
          </w:p>
        </w:tc>
        <w:tc>
          <w:tcPr>
            <w:tcW w:w="774" w:type="dxa"/>
            <w:tcBorders>
              <w:top w:val="single" w:color="auto" w:sz="4" w:space="0"/>
              <w:left w:val="single" w:color="auto" w:sz="4" w:space="0"/>
              <w:bottom w:val="single" w:color="auto" w:sz="4" w:space="0"/>
              <w:right w:val="single" w:color="auto" w:sz="4" w:space="0"/>
            </w:tcBorders>
            <w:vAlign w:val="center"/>
          </w:tcPr>
          <w:p w14:paraId="678DCDB8">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DBBD9EF">
            <w:pPr>
              <w:jc w:val="both"/>
              <w:rPr>
                <w:rFonts w:ascii="仿宋" w:hAnsi="仿宋" w:eastAsia="仿宋" w:cs="仿宋"/>
                <w:color w:val="000000"/>
              </w:rPr>
            </w:pPr>
          </w:p>
        </w:tc>
      </w:tr>
      <w:tr w14:paraId="6CC830E6">
        <w:tblPrEx>
          <w:tblCellMar>
            <w:top w:w="0" w:type="dxa"/>
            <w:left w:w="108" w:type="dxa"/>
            <w:bottom w:w="0" w:type="dxa"/>
            <w:right w:w="108" w:type="dxa"/>
          </w:tblCellMar>
        </w:tblPrEx>
        <w:trPr>
          <w:trHeight w:val="1620" w:hRule="atLeast"/>
        </w:trPr>
        <w:tc>
          <w:tcPr>
            <w:tcW w:w="1014" w:type="dxa"/>
            <w:tcBorders>
              <w:top w:val="nil"/>
              <w:left w:val="single" w:color="auto" w:sz="4" w:space="0"/>
              <w:bottom w:val="single" w:color="auto" w:sz="4" w:space="0"/>
              <w:right w:val="single" w:color="auto" w:sz="4" w:space="0"/>
            </w:tcBorders>
            <w:noWrap/>
            <w:vAlign w:val="center"/>
          </w:tcPr>
          <w:p w14:paraId="48805799">
            <w:pPr>
              <w:jc w:val="both"/>
              <w:rPr>
                <w:rFonts w:ascii="仿宋" w:hAnsi="仿宋" w:eastAsia="仿宋" w:cs="仿宋"/>
                <w:color w:val="000000"/>
              </w:rPr>
            </w:pPr>
            <w:r>
              <w:rPr>
                <w:rFonts w:hint="eastAsia" w:ascii="仿宋" w:hAnsi="仿宋" w:eastAsia="仿宋" w:cs="仿宋"/>
                <w:color w:val="000000"/>
              </w:rPr>
              <w:t>F-9-3</w:t>
            </w:r>
          </w:p>
        </w:tc>
        <w:tc>
          <w:tcPr>
            <w:tcW w:w="5473" w:type="dxa"/>
            <w:tcBorders>
              <w:top w:val="nil"/>
              <w:left w:val="single" w:color="auto" w:sz="4" w:space="0"/>
              <w:bottom w:val="single" w:color="auto" w:sz="4" w:space="0"/>
              <w:right w:val="single" w:color="auto" w:sz="4" w:space="0"/>
            </w:tcBorders>
            <w:vAlign w:val="center"/>
          </w:tcPr>
          <w:p w14:paraId="2FF0A545">
            <w:pPr>
              <w:jc w:val="both"/>
              <w:rPr>
                <w:rFonts w:ascii="仿宋" w:hAnsi="仿宋" w:eastAsia="仿宋" w:cs="仿宋"/>
                <w:color w:val="000000"/>
              </w:rPr>
            </w:pPr>
            <w:r>
              <w:rPr>
                <w:rFonts w:hint="eastAsia" w:ascii="仿宋" w:hAnsi="仿宋" w:eastAsia="仿宋" w:cs="仿宋"/>
                <w:color w:val="000000"/>
              </w:rPr>
              <w:t>证券信息--包括各档证券的名称、各档证券的金额、各档证券的票面利率类型、各档证券的信用级别、预期还本日（若为固定摊还型）、预期到期日等。拟采用簿记建档方式发行的证券，说明簿记建档场所安排及场所具体地址。</w:t>
            </w:r>
          </w:p>
        </w:tc>
        <w:tc>
          <w:tcPr>
            <w:tcW w:w="774" w:type="dxa"/>
            <w:tcBorders>
              <w:top w:val="single" w:color="auto" w:sz="4" w:space="0"/>
              <w:left w:val="single" w:color="auto" w:sz="4" w:space="0"/>
              <w:bottom w:val="single" w:color="auto" w:sz="4" w:space="0"/>
              <w:right w:val="single" w:color="auto" w:sz="4" w:space="0"/>
            </w:tcBorders>
            <w:vAlign w:val="center"/>
          </w:tcPr>
          <w:p w14:paraId="3972DB1B">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0D3F093D">
            <w:pPr>
              <w:jc w:val="both"/>
              <w:rPr>
                <w:rFonts w:ascii="仿宋" w:hAnsi="仿宋" w:eastAsia="仿宋" w:cs="仿宋"/>
                <w:color w:val="000000"/>
              </w:rPr>
            </w:pPr>
          </w:p>
        </w:tc>
      </w:tr>
      <w:tr w14:paraId="74E1199D">
        <w:tblPrEx>
          <w:tblCellMar>
            <w:top w:w="0" w:type="dxa"/>
            <w:left w:w="108" w:type="dxa"/>
            <w:bottom w:w="0" w:type="dxa"/>
            <w:right w:w="108" w:type="dxa"/>
          </w:tblCellMar>
        </w:tblPrEx>
        <w:trPr>
          <w:trHeight w:val="297" w:hRule="atLeast"/>
        </w:trPr>
        <w:tc>
          <w:tcPr>
            <w:tcW w:w="1014" w:type="dxa"/>
            <w:tcBorders>
              <w:top w:val="nil"/>
              <w:left w:val="single" w:color="auto" w:sz="4" w:space="0"/>
              <w:bottom w:val="nil"/>
              <w:right w:val="single" w:color="auto" w:sz="4" w:space="0"/>
            </w:tcBorders>
            <w:noWrap/>
            <w:vAlign w:val="center"/>
          </w:tcPr>
          <w:p w14:paraId="4705B3D1">
            <w:pPr>
              <w:jc w:val="both"/>
              <w:rPr>
                <w:rFonts w:ascii="仿宋" w:hAnsi="仿宋" w:eastAsia="仿宋" w:cs="仿宋"/>
                <w:color w:val="000000"/>
              </w:rPr>
            </w:pPr>
            <w:r>
              <w:rPr>
                <w:rFonts w:hint="eastAsia" w:ascii="仿宋" w:hAnsi="仿宋" w:eastAsia="仿宋" w:cs="仿宋"/>
                <w:color w:val="000000"/>
              </w:rPr>
              <w:t>F-9-4</w:t>
            </w:r>
          </w:p>
        </w:tc>
        <w:tc>
          <w:tcPr>
            <w:tcW w:w="5473" w:type="dxa"/>
            <w:tcBorders>
              <w:top w:val="nil"/>
              <w:left w:val="single" w:color="auto" w:sz="4" w:space="0"/>
              <w:bottom w:val="nil"/>
              <w:right w:val="single" w:color="auto" w:sz="4" w:space="0"/>
            </w:tcBorders>
            <w:vAlign w:val="center"/>
          </w:tcPr>
          <w:p w14:paraId="3AA4280C">
            <w:pPr>
              <w:jc w:val="both"/>
              <w:rPr>
                <w:rFonts w:ascii="仿宋" w:hAnsi="仿宋" w:eastAsia="仿宋" w:cs="仿宋"/>
                <w:color w:val="000000"/>
              </w:rPr>
            </w:pPr>
            <w:r>
              <w:rPr>
                <w:rFonts w:hint="eastAsia" w:ascii="仿宋" w:hAnsi="仿宋" w:eastAsia="仿宋" w:cs="仿宋"/>
                <w:color w:val="000000"/>
              </w:rPr>
              <w:t>风险自留信息--发起机构对各档证券的持有比例。</w:t>
            </w:r>
          </w:p>
        </w:tc>
        <w:tc>
          <w:tcPr>
            <w:tcW w:w="774" w:type="dxa"/>
            <w:tcBorders>
              <w:top w:val="single" w:color="auto" w:sz="4" w:space="0"/>
              <w:left w:val="single" w:color="auto" w:sz="4" w:space="0"/>
              <w:bottom w:val="single" w:color="auto" w:sz="4" w:space="0"/>
              <w:right w:val="single" w:color="auto" w:sz="4" w:space="0"/>
            </w:tcBorders>
            <w:vAlign w:val="center"/>
          </w:tcPr>
          <w:p w14:paraId="4D162CB1">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07CBF0D2">
            <w:pPr>
              <w:jc w:val="both"/>
              <w:rPr>
                <w:rFonts w:ascii="仿宋" w:hAnsi="仿宋" w:eastAsia="仿宋" w:cs="仿宋"/>
                <w:color w:val="000000"/>
              </w:rPr>
            </w:pPr>
          </w:p>
        </w:tc>
      </w:tr>
      <w:tr w14:paraId="45124481">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0194F10D">
            <w:pPr>
              <w:jc w:val="both"/>
              <w:rPr>
                <w:rFonts w:ascii="仿宋" w:hAnsi="仿宋" w:eastAsia="仿宋" w:cs="仿宋"/>
                <w:b/>
                <w:color w:val="000000"/>
              </w:rPr>
            </w:pPr>
            <w:r>
              <w:rPr>
                <w:rFonts w:hint="eastAsia" w:ascii="仿宋" w:hAnsi="仿宋" w:eastAsia="仿宋" w:cs="仿宋"/>
                <w:b/>
                <w:color w:val="000000"/>
              </w:rPr>
              <w:t>F-10</w:t>
            </w:r>
          </w:p>
        </w:tc>
        <w:tc>
          <w:tcPr>
            <w:tcW w:w="5473" w:type="dxa"/>
            <w:tcBorders>
              <w:top w:val="single" w:color="auto" w:sz="4" w:space="0"/>
              <w:left w:val="nil"/>
              <w:bottom w:val="single" w:color="auto" w:sz="4" w:space="0"/>
              <w:right w:val="single" w:color="auto" w:sz="4" w:space="0"/>
            </w:tcBorders>
            <w:vAlign w:val="center"/>
          </w:tcPr>
          <w:p w14:paraId="6389D39D">
            <w:pPr>
              <w:jc w:val="both"/>
              <w:rPr>
                <w:rFonts w:ascii="仿宋" w:hAnsi="仿宋" w:eastAsia="仿宋" w:cs="仿宋"/>
                <w:b/>
                <w:color w:val="000000"/>
              </w:rPr>
            </w:pPr>
            <w:r>
              <w:rPr>
                <w:rFonts w:hint="eastAsia" w:ascii="仿宋" w:hAnsi="仿宋" w:eastAsia="仿宋" w:cs="仿宋"/>
                <w:b/>
                <w:color w:val="000000"/>
              </w:rPr>
              <w:t>中介机构意见</w:t>
            </w:r>
          </w:p>
        </w:tc>
        <w:tc>
          <w:tcPr>
            <w:tcW w:w="774" w:type="dxa"/>
            <w:tcBorders>
              <w:top w:val="single" w:color="auto" w:sz="4" w:space="0"/>
              <w:left w:val="nil"/>
              <w:bottom w:val="single" w:color="auto" w:sz="4" w:space="0"/>
              <w:right w:val="single" w:color="auto" w:sz="4" w:space="0"/>
            </w:tcBorders>
            <w:vAlign w:val="center"/>
          </w:tcPr>
          <w:p w14:paraId="3F2B2FD5">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6FC664A9">
            <w:pPr>
              <w:jc w:val="both"/>
              <w:rPr>
                <w:rFonts w:ascii="仿宋" w:hAnsi="仿宋" w:eastAsia="仿宋" w:cs="仿宋"/>
                <w:b/>
                <w:color w:val="000000"/>
              </w:rPr>
            </w:pPr>
          </w:p>
        </w:tc>
      </w:tr>
      <w:tr w14:paraId="70BCDBA6">
        <w:tblPrEx>
          <w:tblCellMar>
            <w:top w:w="0" w:type="dxa"/>
            <w:left w:w="108" w:type="dxa"/>
            <w:bottom w:w="0" w:type="dxa"/>
            <w:right w:w="108" w:type="dxa"/>
          </w:tblCellMar>
        </w:tblPrEx>
        <w:trPr>
          <w:trHeight w:val="983" w:hRule="atLeast"/>
        </w:trPr>
        <w:tc>
          <w:tcPr>
            <w:tcW w:w="1014" w:type="dxa"/>
            <w:tcBorders>
              <w:top w:val="nil"/>
              <w:left w:val="single" w:color="auto" w:sz="4" w:space="0"/>
              <w:bottom w:val="single" w:color="auto" w:sz="4" w:space="0"/>
              <w:right w:val="single" w:color="auto" w:sz="4" w:space="0"/>
            </w:tcBorders>
            <w:noWrap/>
            <w:vAlign w:val="center"/>
          </w:tcPr>
          <w:p w14:paraId="40294010">
            <w:pPr>
              <w:jc w:val="both"/>
              <w:rPr>
                <w:rFonts w:ascii="仿宋" w:hAnsi="仿宋" w:eastAsia="仿宋" w:cs="仿宋"/>
                <w:color w:val="000000"/>
              </w:rPr>
            </w:pPr>
            <w:r>
              <w:rPr>
                <w:rFonts w:hint="eastAsia" w:ascii="仿宋" w:hAnsi="仿宋" w:eastAsia="仿宋" w:cs="仿宋"/>
                <w:color w:val="000000"/>
              </w:rPr>
              <w:t>F-10-1</w:t>
            </w:r>
          </w:p>
        </w:tc>
        <w:tc>
          <w:tcPr>
            <w:tcW w:w="5473" w:type="dxa"/>
            <w:tcBorders>
              <w:top w:val="nil"/>
              <w:left w:val="single" w:color="auto" w:sz="4" w:space="0"/>
              <w:bottom w:val="single" w:color="auto" w:sz="4" w:space="0"/>
              <w:right w:val="single" w:color="auto" w:sz="4" w:space="0"/>
            </w:tcBorders>
            <w:vAlign w:val="center"/>
          </w:tcPr>
          <w:p w14:paraId="2986B08E">
            <w:pPr>
              <w:jc w:val="both"/>
              <w:rPr>
                <w:rFonts w:ascii="仿宋" w:hAnsi="仿宋" w:eastAsia="仿宋" w:cs="仿宋"/>
                <w:color w:val="000000"/>
              </w:rPr>
            </w:pPr>
            <w:r>
              <w:rPr>
                <w:rFonts w:hint="eastAsia" w:ascii="仿宋" w:hAnsi="仿宋" w:eastAsia="仿宋" w:cs="仿宋"/>
                <w:color w:val="000000"/>
              </w:rPr>
              <w:t>尽职调查意见及法律意见摘要--指相关参与机构对基础资产合法合规性等尽职调查情况出具的尽职调查意见，包括但不限于尽职调查的过程、尽职调查的结果、尽职调查的结论、对“信贷资产”合法、合规、有效性的判断等。尽职调查的结论，须包含影响项目资产项下主债权或担保权利有效性和诉讼时效的以及会最终影响本户清收的法律风险中具有代表性的因素；律师事务所对证券化的合法性、有效性问题出具的法律意见，包括但不限于法律依据、交易文件及信托设立的合法有效性、信贷资产转让的合法有效性、破产风险对信托财产的影响，发行、销售及持有资产支持证券的合法有效性等。</w:t>
            </w:r>
          </w:p>
        </w:tc>
        <w:tc>
          <w:tcPr>
            <w:tcW w:w="774" w:type="dxa"/>
            <w:tcBorders>
              <w:top w:val="single" w:color="auto" w:sz="4" w:space="0"/>
              <w:left w:val="single" w:color="auto" w:sz="4" w:space="0"/>
              <w:bottom w:val="single" w:color="auto" w:sz="4" w:space="0"/>
              <w:right w:val="single" w:color="auto" w:sz="4" w:space="0"/>
            </w:tcBorders>
            <w:vAlign w:val="center"/>
          </w:tcPr>
          <w:p w14:paraId="05139544">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3C06FAC">
            <w:pPr>
              <w:jc w:val="both"/>
              <w:rPr>
                <w:rFonts w:ascii="仿宋" w:hAnsi="仿宋" w:eastAsia="仿宋" w:cs="仿宋"/>
                <w:color w:val="000000"/>
              </w:rPr>
            </w:pPr>
          </w:p>
        </w:tc>
      </w:tr>
      <w:tr w14:paraId="765D1658">
        <w:tblPrEx>
          <w:tblCellMar>
            <w:top w:w="0" w:type="dxa"/>
            <w:left w:w="108" w:type="dxa"/>
            <w:bottom w:w="0" w:type="dxa"/>
            <w:right w:w="108" w:type="dxa"/>
          </w:tblCellMar>
        </w:tblPrEx>
        <w:trPr>
          <w:trHeight w:val="997" w:hRule="atLeast"/>
        </w:trPr>
        <w:tc>
          <w:tcPr>
            <w:tcW w:w="1014" w:type="dxa"/>
            <w:tcBorders>
              <w:top w:val="nil"/>
              <w:left w:val="single" w:color="auto" w:sz="4" w:space="0"/>
              <w:bottom w:val="single" w:color="auto" w:sz="4" w:space="0"/>
              <w:right w:val="single" w:color="auto" w:sz="4" w:space="0"/>
            </w:tcBorders>
            <w:noWrap/>
            <w:vAlign w:val="center"/>
          </w:tcPr>
          <w:p w14:paraId="4FB2E92E">
            <w:pPr>
              <w:jc w:val="both"/>
              <w:rPr>
                <w:rFonts w:ascii="仿宋" w:hAnsi="仿宋" w:eastAsia="仿宋" w:cs="仿宋"/>
                <w:color w:val="000000"/>
              </w:rPr>
            </w:pPr>
            <w:r>
              <w:rPr>
                <w:rFonts w:hint="eastAsia" w:ascii="仿宋" w:hAnsi="仿宋" w:eastAsia="仿宋" w:cs="仿宋"/>
                <w:color w:val="000000"/>
              </w:rPr>
              <w:t>F-10-2</w:t>
            </w:r>
          </w:p>
        </w:tc>
        <w:tc>
          <w:tcPr>
            <w:tcW w:w="5473" w:type="dxa"/>
            <w:tcBorders>
              <w:top w:val="nil"/>
              <w:left w:val="single" w:color="auto" w:sz="4" w:space="0"/>
              <w:bottom w:val="single" w:color="auto" w:sz="4" w:space="0"/>
              <w:right w:val="single" w:color="auto" w:sz="4" w:space="0"/>
            </w:tcBorders>
            <w:vAlign w:val="center"/>
          </w:tcPr>
          <w:p w14:paraId="4D3E1D92">
            <w:pPr>
              <w:jc w:val="both"/>
              <w:rPr>
                <w:rFonts w:ascii="仿宋" w:hAnsi="仿宋" w:eastAsia="仿宋" w:cs="仿宋"/>
                <w:color w:val="000000"/>
              </w:rPr>
            </w:pPr>
            <w:r>
              <w:rPr>
                <w:rFonts w:hint="eastAsia" w:ascii="仿宋" w:hAnsi="仿宋" w:eastAsia="仿宋" w:cs="仿宋"/>
                <w:color w:val="000000"/>
              </w:rPr>
              <w:t>交易概况与会计意见摘要--指根据相关会计准则，对基础资产出表与否的判断，包括但不限于适用的准则、管理层的判断、会计师事务所的意见等。</w:t>
            </w:r>
          </w:p>
        </w:tc>
        <w:tc>
          <w:tcPr>
            <w:tcW w:w="774" w:type="dxa"/>
            <w:tcBorders>
              <w:top w:val="single" w:color="auto" w:sz="4" w:space="0"/>
              <w:left w:val="single" w:color="auto" w:sz="4" w:space="0"/>
              <w:bottom w:val="single" w:color="auto" w:sz="4" w:space="0"/>
              <w:right w:val="single" w:color="auto" w:sz="4" w:space="0"/>
            </w:tcBorders>
            <w:vAlign w:val="center"/>
          </w:tcPr>
          <w:p w14:paraId="36087320">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5B95446">
            <w:pPr>
              <w:jc w:val="both"/>
              <w:rPr>
                <w:rFonts w:ascii="仿宋" w:hAnsi="仿宋" w:eastAsia="仿宋" w:cs="仿宋"/>
                <w:color w:val="000000"/>
              </w:rPr>
            </w:pPr>
          </w:p>
        </w:tc>
      </w:tr>
      <w:tr w14:paraId="146BCE00">
        <w:tblPrEx>
          <w:tblCellMar>
            <w:top w:w="0" w:type="dxa"/>
            <w:left w:w="108" w:type="dxa"/>
            <w:bottom w:w="0" w:type="dxa"/>
            <w:right w:w="108" w:type="dxa"/>
          </w:tblCellMar>
        </w:tblPrEx>
        <w:trPr>
          <w:trHeight w:val="416" w:hRule="atLeast"/>
        </w:trPr>
        <w:tc>
          <w:tcPr>
            <w:tcW w:w="1014" w:type="dxa"/>
            <w:tcBorders>
              <w:top w:val="nil"/>
              <w:left w:val="single" w:color="auto" w:sz="4" w:space="0"/>
              <w:bottom w:val="single" w:color="auto" w:sz="4" w:space="0"/>
              <w:right w:val="single" w:color="auto" w:sz="4" w:space="0"/>
            </w:tcBorders>
            <w:noWrap/>
            <w:vAlign w:val="center"/>
          </w:tcPr>
          <w:p w14:paraId="06DBBF9D">
            <w:pPr>
              <w:jc w:val="both"/>
              <w:rPr>
                <w:rFonts w:ascii="仿宋" w:hAnsi="仿宋" w:eastAsia="仿宋" w:cs="仿宋"/>
                <w:color w:val="000000"/>
              </w:rPr>
            </w:pPr>
            <w:r>
              <w:rPr>
                <w:rFonts w:hint="eastAsia" w:ascii="仿宋" w:hAnsi="仿宋" w:eastAsia="仿宋" w:cs="仿宋"/>
                <w:color w:val="000000"/>
              </w:rPr>
              <w:t>F-10-3</w:t>
            </w:r>
          </w:p>
        </w:tc>
        <w:tc>
          <w:tcPr>
            <w:tcW w:w="5473" w:type="dxa"/>
            <w:tcBorders>
              <w:top w:val="nil"/>
              <w:left w:val="single" w:color="auto" w:sz="4" w:space="0"/>
              <w:bottom w:val="single" w:color="auto" w:sz="4" w:space="0"/>
              <w:right w:val="single" w:color="auto" w:sz="4" w:space="0"/>
            </w:tcBorders>
            <w:vAlign w:val="center"/>
          </w:tcPr>
          <w:p w14:paraId="18DF2360">
            <w:pPr>
              <w:jc w:val="both"/>
              <w:rPr>
                <w:rFonts w:ascii="仿宋" w:hAnsi="仿宋" w:eastAsia="仿宋" w:cs="仿宋"/>
                <w:color w:val="000000"/>
              </w:rPr>
            </w:pPr>
            <w:r>
              <w:rPr>
                <w:rFonts w:hint="eastAsia" w:ascii="仿宋" w:hAnsi="仿宋" w:eastAsia="仿宋" w:cs="仿宋"/>
                <w:color w:val="000000"/>
              </w:rPr>
              <w:t>信用评级机构所用的假设与分析摘要--包括但不限于估计资产池回收金额及时间所用的假设、依据、方法；评级方法的基本假设、逻辑思路；基础资产和交易结构分析结果（包括优势与关注中的核心内容）；信用级别等。</w:t>
            </w:r>
          </w:p>
        </w:tc>
        <w:tc>
          <w:tcPr>
            <w:tcW w:w="774" w:type="dxa"/>
            <w:tcBorders>
              <w:top w:val="single" w:color="auto" w:sz="4" w:space="0"/>
              <w:left w:val="single" w:color="auto" w:sz="4" w:space="0"/>
              <w:bottom w:val="single" w:color="auto" w:sz="4" w:space="0"/>
              <w:right w:val="single" w:color="auto" w:sz="4" w:space="0"/>
            </w:tcBorders>
            <w:vAlign w:val="center"/>
          </w:tcPr>
          <w:p w14:paraId="76F14382">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3E975B21">
            <w:pPr>
              <w:jc w:val="both"/>
              <w:rPr>
                <w:rFonts w:ascii="仿宋" w:hAnsi="仿宋" w:eastAsia="仿宋" w:cs="仿宋"/>
                <w:color w:val="000000"/>
              </w:rPr>
            </w:pPr>
          </w:p>
        </w:tc>
      </w:tr>
      <w:tr w14:paraId="5B273379">
        <w:tblPrEx>
          <w:tblCellMar>
            <w:top w:w="0" w:type="dxa"/>
            <w:left w:w="108" w:type="dxa"/>
            <w:bottom w:w="0" w:type="dxa"/>
            <w:right w:w="108" w:type="dxa"/>
          </w:tblCellMar>
        </w:tblPrEx>
        <w:trPr>
          <w:trHeight w:val="93"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38856D4A">
            <w:pPr>
              <w:jc w:val="both"/>
              <w:rPr>
                <w:rFonts w:ascii="仿宋" w:hAnsi="仿宋" w:eastAsia="仿宋" w:cs="仿宋"/>
                <w:color w:val="000000"/>
              </w:rPr>
            </w:pPr>
            <w:r>
              <w:rPr>
                <w:rFonts w:hint="eastAsia" w:ascii="仿宋" w:hAnsi="仿宋" w:eastAsia="仿宋" w:cs="仿宋"/>
                <w:color w:val="000000"/>
              </w:rPr>
              <w:t>F-10-4</w:t>
            </w:r>
          </w:p>
        </w:tc>
        <w:tc>
          <w:tcPr>
            <w:tcW w:w="5473" w:type="dxa"/>
            <w:tcBorders>
              <w:top w:val="single" w:color="auto" w:sz="4" w:space="0"/>
              <w:left w:val="single" w:color="auto" w:sz="4" w:space="0"/>
              <w:bottom w:val="single" w:color="auto" w:sz="4" w:space="0"/>
              <w:right w:val="single" w:color="auto" w:sz="4" w:space="0"/>
            </w:tcBorders>
            <w:vAlign w:val="center"/>
          </w:tcPr>
          <w:p w14:paraId="605FE1CF">
            <w:pPr>
              <w:jc w:val="both"/>
              <w:rPr>
                <w:rFonts w:ascii="仿宋" w:hAnsi="仿宋" w:eastAsia="仿宋" w:cs="仿宋"/>
                <w:color w:val="000000"/>
              </w:rPr>
            </w:pPr>
            <w:r>
              <w:rPr>
                <w:rFonts w:hint="eastAsia" w:ascii="仿宋" w:hAnsi="仿宋" w:eastAsia="仿宋" w:cs="仿宋"/>
                <w:color w:val="000000"/>
              </w:rPr>
              <w:t>资产评估机构（如有）所用的假设与分析摘要--包括但不限于评估资产池回收金额、时间所用的假设、依据、方法，对资产池整体回收情况的评价等。</w:t>
            </w:r>
          </w:p>
        </w:tc>
        <w:tc>
          <w:tcPr>
            <w:tcW w:w="774" w:type="dxa"/>
            <w:tcBorders>
              <w:top w:val="single" w:color="auto" w:sz="4" w:space="0"/>
              <w:left w:val="single" w:color="auto" w:sz="4" w:space="0"/>
              <w:bottom w:val="single" w:color="auto" w:sz="4" w:space="0"/>
              <w:right w:val="single" w:color="auto" w:sz="4" w:space="0"/>
            </w:tcBorders>
            <w:vAlign w:val="center"/>
          </w:tcPr>
          <w:p w14:paraId="73C9367E">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6C26C8BC">
            <w:pPr>
              <w:jc w:val="both"/>
              <w:rPr>
                <w:rFonts w:ascii="仿宋" w:hAnsi="仿宋" w:eastAsia="仿宋" w:cs="仿宋"/>
                <w:color w:val="000000"/>
              </w:rPr>
            </w:pPr>
          </w:p>
        </w:tc>
      </w:tr>
      <w:tr w14:paraId="13B72044">
        <w:tblPrEx>
          <w:tblCellMar>
            <w:top w:w="0" w:type="dxa"/>
            <w:left w:w="108" w:type="dxa"/>
            <w:bottom w:w="0" w:type="dxa"/>
            <w:right w:w="108" w:type="dxa"/>
          </w:tblCellMar>
        </w:tblPrEx>
        <w:trPr>
          <w:trHeight w:val="285" w:hRule="atLeast"/>
        </w:trPr>
        <w:tc>
          <w:tcPr>
            <w:tcW w:w="1014" w:type="dxa"/>
            <w:tcBorders>
              <w:top w:val="single" w:color="auto" w:sz="4" w:space="0"/>
              <w:left w:val="single" w:color="auto" w:sz="4" w:space="0"/>
              <w:bottom w:val="single" w:color="auto" w:sz="4" w:space="0"/>
              <w:right w:val="single" w:color="auto" w:sz="4" w:space="0"/>
            </w:tcBorders>
            <w:noWrap/>
            <w:vAlign w:val="center"/>
          </w:tcPr>
          <w:p w14:paraId="381113EB">
            <w:pPr>
              <w:jc w:val="both"/>
              <w:rPr>
                <w:rFonts w:ascii="仿宋" w:hAnsi="仿宋" w:eastAsia="仿宋" w:cs="仿宋"/>
                <w:b/>
                <w:color w:val="000000"/>
              </w:rPr>
            </w:pPr>
            <w:r>
              <w:rPr>
                <w:rFonts w:hint="eastAsia" w:ascii="仿宋" w:hAnsi="仿宋" w:eastAsia="仿宋" w:cs="仿宋"/>
                <w:b/>
                <w:color w:val="000000"/>
              </w:rPr>
              <w:t>F-11</w:t>
            </w:r>
          </w:p>
        </w:tc>
        <w:tc>
          <w:tcPr>
            <w:tcW w:w="5473" w:type="dxa"/>
            <w:tcBorders>
              <w:top w:val="single" w:color="auto" w:sz="4" w:space="0"/>
              <w:left w:val="nil"/>
              <w:bottom w:val="single" w:color="auto" w:sz="4" w:space="0"/>
              <w:right w:val="single" w:color="auto" w:sz="4" w:space="0"/>
            </w:tcBorders>
            <w:vAlign w:val="center"/>
          </w:tcPr>
          <w:p w14:paraId="4A35F191">
            <w:pPr>
              <w:jc w:val="both"/>
              <w:rPr>
                <w:rFonts w:ascii="仿宋" w:hAnsi="仿宋" w:eastAsia="仿宋" w:cs="仿宋"/>
                <w:b/>
                <w:color w:val="000000"/>
              </w:rPr>
            </w:pPr>
            <w:r>
              <w:rPr>
                <w:rFonts w:hint="eastAsia" w:ascii="仿宋" w:hAnsi="仿宋" w:eastAsia="仿宋" w:cs="仿宋"/>
                <w:b/>
                <w:color w:val="000000"/>
              </w:rPr>
              <w:t>跟踪评级及后续信息披露安排</w:t>
            </w:r>
          </w:p>
        </w:tc>
        <w:tc>
          <w:tcPr>
            <w:tcW w:w="774" w:type="dxa"/>
            <w:tcBorders>
              <w:top w:val="single" w:color="auto" w:sz="4" w:space="0"/>
              <w:left w:val="nil"/>
              <w:bottom w:val="single" w:color="auto" w:sz="4" w:space="0"/>
              <w:right w:val="single" w:color="auto" w:sz="4" w:space="0"/>
            </w:tcBorders>
            <w:vAlign w:val="center"/>
          </w:tcPr>
          <w:p w14:paraId="515D6D4F">
            <w:pPr>
              <w:jc w:val="both"/>
              <w:rPr>
                <w:rFonts w:ascii="仿宋" w:hAnsi="仿宋" w:eastAsia="仿宋" w:cs="仿宋"/>
                <w:b/>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46CA2B27">
            <w:pPr>
              <w:jc w:val="both"/>
              <w:rPr>
                <w:rFonts w:ascii="仿宋" w:hAnsi="仿宋" w:eastAsia="仿宋" w:cs="仿宋"/>
                <w:b/>
                <w:color w:val="000000"/>
              </w:rPr>
            </w:pPr>
          </w:p>
        </w:tc>
      </w:tr>
      <w:tr w14:paraId="4C2F6A51">
        <w:tblPrEx>
          <w:tblCellMar>
            <w:top w:w="0" w:type="dxa"/>
            <w:left w:w="108" w:type="dxa"/>
            <w:bottom w:w="0" w:type="dxa"/>
            <w:right w:w="108" w:type="dxa"/>
          </w:tblCellMar>
        </w:tblPrEx>
        <w:trPr>
          <w:trHeight w:val="810" w:hRule="atLeast"/>
        </w:trPr>
        <w:tc>
          <w:tcPr>
            <w:tcW w:w="1014" w:type="dxa"/>
            <w:tcBorders>
              <w:top w:val="nil"/>
              <w:left w:val="single" w:color="auto" w:sz="4" w:space="0"/>
              <w:bottom w:val="single" w:color="auto" w:sz="4" w:space="0"/>
              <w:right w:val="single" w:color="auto" w:sz="4" w:space="0"/>
            </w:tcBorders>
            <w:noWrap/>
            <w:vAlign w:val="center"/>
          </w:tcPr>
          <w:p w14:paraId="05D4D3B6">
            <w:pPr>
              <w:jc w:val="both"/>
              <w:rPr>
                <w:rFonts w:ascii="仿宋" w:hAnsi="仿宋" w:eastAsia="仿宋" w:cs="仿宋"/>
                <w:color w:val="000000"/>
              </w:rPr>
            </w:pPr>
            <w:r>
              <w:rPr>
                <w:rFonts w:hint="eastAsia" w:ascii="仿宋" w:hAnsi="仿宋" w:eastAsia="仿宋" w:cs="仿宋"/>
                <w:color w:val="000000"/>
              </w:rPr>
              <w:t>F-11-1</w:t>
            </w:r>
          </w:p>
        </w:tc>
        <w:tc>
          <w:tcPr>
            <w:tcW w:w="5473" w:type="dxa"/>
            <w:tcBorders>
              <w:top w:val="nil"/>
              <w:left w:val="nil"/>
              <w:bottom w:val="single" w:color="auto" w:sz="4" w:space="0"/>
              <w:right w:val="single" w:color="auto" w:sz="4" w:space="0"/>
            </w:tcBorders>
            <w:vAlign w:val="center"/>
          </w:tcPr>
          <w:p w14:paraId="372E724A">
            <w:pPr>
              <w:jc w:val="both"/>
              <w:rPr>
                <w:rFonts w:ascii="仿宋" w:hAnsi="仿宋" w:eastAsia="仿宋" w:cs="仿宋"/>
                <w:color w:val="000000"/>
              </w:rPr>
            </w:pPr>
            <w:r>
              <w:rPr>
                <w:rFonts w:hint="eastAsia" w:ascii="仿宋" w:hAnsi="仿宋" w:eastAsia="仿宋" w:cs="仿宋"/>
                <w:color w:val="000000"/>
              </w:rPr>
              <w:t>证券跟踪评级安排--指在受评证券信用等级有效期内，对受评证券的信用状况进行持续跟踪监测，并每年出具评级报告。</w:t>
            </w:r>
          </w:p>
        </w:tc>
        <w:tc>
          <w:tcPr>
            <w:tcW w:w="774" w:type="dxa"/>
            <w:tcBorders>
              <w:top w:val="single" w:color="auto" w:sz="4" w:space="0"/>
              <w:left w:val="nil"/>
              <w:bottom w:val="single" w:color="auto" w:sz="4" w:space="0"/>
              <w:right w:val="single" w:color="auto" w:sz="4" w:space="0"/>
            </w:tcBorders>
            <w:vAlign w:val="center"/>
          </w:tcPr>
          <w:p w14:paraId="28F99D17">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2181ACEE">
            <w:pPr>
              <w:jc w:val="both"/>
              <w:rPr>
                <w:rFonts w:ascii="仿宋" w:hAnsi="仿宋" w:eastAsia="仿宋" w:cs="仿宋"/>
                <w:color w:val="000000"/>
              </w:rPr>
            </w:pPr>
          </w:p>
        </w:tc>
      </w:tr>
      <w:tr w14:paraId="5EE3AA89">
        <w:tblPrEx>
          <w:tblCellMar>
            <w:top w:w="0" w:type="dxa"/>
            <w:left w:w="108" w:type="dxa"/>
            <w:bottom w:w="0" w:type="dxa"/>
            <w:right w:w="108" w:type="dxa"/>
          </w:tblCellMar>
        </w:tblPrEx>
        <w:trPr>
          <w:trHeight w:val="1080" w:hRule="atLeast"/>
        </w:trPr>
        <w:tc>
          <w:tcPr>
            <w:tcW w:w="1014" w:type="dxa"/>
            <w:tcBorders>
              <w:top w:val="nil"/>
              <w:left w:val="single" w:color="auto" w:sz="4" w:space="0"/>
              <w:bottom w:val="single" w:color="auto" w:sz="4" w:space="0"/>
              <w:right w:val="single" w:color="auto" w:sz="4" w:space="0"/>
            </w:tcBorders>
            <w:noWrap/>
            <w:vAlign w:val="center"/>
          </w:tcPr>
          <w:p w14:paraId="1840A9F5">
            <w:pPr>
              <w:jc w:val="both"/>
              <w:rPr>
                <w:rFonts w:ascii="仿宋" w:hAnsi="仿宋" w:eastAsia="仿宋" w:cs="仿宋"/>
                <w:color w:val="000000"/>
              </w:rPr>
            </w:pPr>
            <w:r>
              <w:rPr>
                <w:rFonts w:hint="eastAsia" w:ascii="仿宋" w:hAnsi="仿宋" w:eastAsia="仿宋" w:cs="仿宋"/>
                <w:color w:val="000000"/>
              </w:rPr>
              <w:t>F-11-2</w:t>
            </w:r>
          </w:p>
        </w:tc>
        <w:tc>
          <w:tcPr>
            <w:tcW w:w="5473" w:type="dxa"/>
            <w:tcBorders>
              <w:top w:val="nil"/>
              <w:left w:val="nil"/>
              <w:bottom w:val="single" w:color="auto" w:sz="4" w:space="0"/>
              <w:right w:val="single" w:color="auto" w:sz="4" w:space="0"/>
            </w:tcBorders>
            <w:vAlign w:val="center"/>
          </w:tcPr>
          <w:p w14:paraId="3B99389B">
            <w:pPr>
              <w:jc w:val="both"/>
              <w:rPr>
                <w:rFonts w:ascii="仿宋" w:hAnsi="仿宋" w:eastAsia="仿宋" w:cs="仿宋"/>
                <w:color w:val="000000"/>
              </w:rPr>
            </w:pPr>
            <w:r>
              <w:rPr>
                <w:rFonts w:hint="eastAsia" w:ascii="仿宋" w:hAnsi="仿宋" w:eastAsia="仿宋" w:cs="仿宋"/>
                <w:color w:val="000000"/>
              </w:rPr>
              <w:t>证券后续信息披露安排--存续期的信息披露要求、披露方式、途径及内容，明确特殊事件发生后的信息披露机制，以及其他影响产品风险及投资者判断的信息披露安排。受托机构需在发行说明书显著位置载明投资者在不良贷款支持证券存续期内查阅基础资产池具体信息的途径和方法。</w:t>
            </w:r>
          </w:p>
        </w:tc>
        <w:tc>
          <w:tcPr>
            <w:tcW w:w="774" w:type="dxa"/>
            <w:tcBorders>
              <w:top w:val="single" w:color="auto" w:sz="4" w:space="0"/>
              <w:left w:val="nil"/>
              <w:bottom w:val="single" w:color="auto" w:sz="4" w:space="0"/>
              <w:right w:val="single" w:color="auto" w:sz="4" w:space="0"/>
            </w:tcBorders>
            <w:vAlign w:val="center"/>
          </w:tcPr>
          <w:p w14:paraId="3CE432D4">
            <w:pPr>
              <w:jc w:val="both"/>
              <w:rPr>
                <w:rFonts w:ascii="仿宋" w:hAnsi="仿宋" w:eastAsia="仿宋" w:cs="仿宋"/>
                <w:color w:val="000000"/>
              </w:rPr>
            </w:pPr>
          </w:p>
        </w:tc>
        <w:tc>
          <w:tcPr>
            <w:tcW w:w="1261" w:type="dxa"/>
            <w:tcBorders>
              <w:top w:val="single" w:color="auto" w:sz="4" w:space="0"/>
              <w:left w:val="single" w:color="auto" w:sz="4" w:space="0"/>
              <w:bottom w:val="single" w:color="auto" w:sz="4" w:space="0"/>
              <w:right w:val="single" w:color="auto" w:sz="4" w:space="0"/>
            </w:tcBorders>
            <w:noWrap/>
            <w:vAlign w:val="center"/>
          </w:tcPr>
          <w:p w14:paraId="35F799B8">
            <w:pPr>
              <w:jc w:val="both"/>
              <w:rPr>
                <w:rFonts w:ascii="仿宋" w:hAnsi="仿宋" w:eastAsia="仿宋" w:cs="仿宋"/>
                <w:color w:val="000000"/>
              </w:rPr>
            </w:pPr>
          </w:p>
        </w:tc>
      </w:tr>
    </w:tbl>
    <w:p w14:paraId="5EFB883C">
      <w:pPr>
        <w:jc w:val="both"/>
        <w:rPr>
          <w:rFonts w:ascii="仿宋" w:hAnsi="仿宋" w:eastAsia="仿宋" w:cs="仿宋"/>
          <w:b/>
          <w:color w:val="000000"/>
        </w:rPr>
      </w:pPr>
    </w:p>
    <w:p w14:paraId="2A88C6B8">
      <w:pPr>
        <w:rPr>
          <w:rFonts w:ascii="仿宋" w:hAnsi="仿宋" w:eastAsia="仿宋" w:cs="仿宋"/>
          <w:b/>
          <w:color w:val="000000"/>
        </w:rPr>
      </w:pPr>
      <w:r>
        <w:rPr>
          <w:rFonts w:hint="eastAsia" w:ascii="仿宋" w:hAnsi="仿宋" w:eastAsia="仿宋" w:cs="仿宋"/>
          <w:b/>
          <w:color w:val="000000"/>
        </w:rPr>
        <w:br w:type="page"/>
      </w:r>
    </w:p>
    <w:p w14:paraId="7B559F54">
      <w:pPr>
        <w:jc w:val="both"/>
        <w:rPr>
          <w:rFonts w:ascii="仿宋" w:hAnsi="仿宋" w:eastAsia="仿宋" w:cs="仿宋"/>
          <w:b/>
          <w:color w:val="000000"/>
        </w:rPr>
      </w:pPr>
      <w:r>
        <w:rPr>
          <w:rFonts w:hint="eastAsia" w:ascii="仿宋" w:hAnsi="仿宋" w:eastAsia="仿宋" w:cs="仿宋"/>
          <w:b/>
          <w:color w:val="000000"/>
        </w:rPr>
        <w:t>附件1：发行名称参考规范</w:t>
      </w:r>
    </w:p>
    <w:tbl>
      <w:tblPr>
        <w:tblStyle w:val="10"/>
        <w:tblW w:w="85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8"/>
        <w:gridCol w:w="2268"/>
        <w:gridCol w:w="4394"/>
      </w:tblGrid>
      <w:tr w14:paraId="336B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126" w:type="dxa"/>
            <w:gridSpan w:val="2"/>
            <w:vAlign w:val="center"/>
          </w:tcPr>
          <w:p w14:paraId="70E2CCB7">
            <w:pPr>
              <w:jc w:val="center"/>
              <w:rPr>
                <w:rFonts w:ascii="仿宋" w:hAnsi="仿宋" w:eastAsia="仿宋" w:cs="仿宋"/>
                <w:bCs/>
                <w:color w:val="000000"/>
                <w:sz w:val="22"/>
                <w:szCs w:val="22"/>
              </w:rPr>
            </w:pPr>
            <w:r>
              <w:rPr>
                <w:rFonts w:hint="eastAsia" w:ascii="仿宋" w:hAnsi="仿宋" w:eastAsia="仿宋" w:cs="仿宋"/>
                <w:bCs/>
                <w:color w:val="000000"/>
                <w:sz w:val="22"/>
                <w:szCs w:val="22"/>
              </w:rPr>
              <w:t>基础资产类型</w:t>
            </w:r>
          </w:p>
        </w:tc>
        <w:tc>
          <w:tcPr>
            <w:tcW w:w="4394" w:type="dxa"/>
            <w:vAlign w:val="center"/>
          </w:tcPr>
          <w:p w14:paraId="28CBFF34">
            <w:pPr>
              <w:rPr>
                <w:rFonts w:ascii="仿宋" w:hAnsi="仿宋" w:eastAsia="仿宋" w:cs="仿宋"/>
                <w:bCs/>
                <w:color w:val="000000"/>
                <w:sz w:val="22"/>
                <w:szCs w:val="22"/>
              </w:rPr>
            </w:pPr>
            <w:r>
              <w:rPr>
                <w:rFonts w:hint="eastAsia" w:ascii="仿宋" w:hAnsi="仿宋" w:eastAsia="仿宋" w:cs="仿宋"/>
                <w:bCs/>
                <w:color w:val="000000"/>
                <w:sz w:val="22"/>
                <w:szCs w:val="22"/>
              </w:rPr>
              <w:t>信贷资产支持证券名称</w:t>
            </w:r>
          </w:p>
        </w:tc>
      </w:tr>
      <w:tr w14:paraId="40AE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Align w:val="center"/>
          </w:tcPr>
          <w:p w14:paraId="775BB1E9">
            <w:pPr>
              <w:jc w:val="center"/>
              <w:rPr>
                <w:rFonts w:ascii="仿宋" w:hAnsi="仿宋" w:eastAsia="仿宋" w:cs="仿宋"/>
                <w:color w:val="000000"/>
                <w:sz w:val="22"/>
                <w:szCs w:val="22"/>
              </w:rPr>
            </w:pPr>
            <w:r>
              <w:rPr>
                <w:rFonts w:hint="eastAsia" w:ascii="仿宋" w:hAnsi="仿宋" w:eastAsia="仿宋" w:cs="仿宋"/>
                <w:color w:val="000000"/>
                <w:sz w:val="22"/>
                <w:szCs w:val="22"/>
              </w:rPr>
              <w:t>对公不良</w:t>
            </w:r>
          </w:p>
        </w:tc>
        <w:tc>
          <w:tcPr>
            <w:tcW w:w="2268" w:type="dxa"/>
            <w:vAlign w:val="center"/>
          </w:tcPr>
          <w:p w14:paraId="11482700">
            <w:pPr>
              <w:rPr>
                <w:rFonts w:ascii="仿宋" w:hAnsi="仿宋" w:eastAsia="仿宋" w:cs="仿宋"/>
                <w:color w:val="000000"/>
                <w:sz w:val="22"/>
                <w:szCs w:val="22"/>
              </w:rPr>
            </w:pPr>
            <w:r>
              <w:rPr>
                <w:rFonts w:hint="eastAsia" w:ascii="仿宋" w:hAnsi="仿宋" w:eastAsia="仿宋" w:cs="仿宋"/>
                <w:color w:val="000000"/>
                <w:sz w:val="22"/>
                <w:szCs w:val="22"/>
              </w:rPr>
              <w:t>对公企业贷款</w:t>
            </w:r>
          </w:p>
        </w:tc>
        <w:tc>
          <w:tcPr>
            <w:tcW w:w="4394" w:type="dxa"/>
            <w:vAlign w:val="center"/>
          </w:tcPr>
          <w:p w14:paraId="6289203A">
            <w:pPr>
              <w:rPr>
                <w:rFonts w:ascii="仿宋" w:hAnsi="仿宋" w:eastAsia="仿宋" w:cs="仿宋"/>
                <w:color w:val="000000"/>
                <w:sz w:val="22"/>
                <w:szCs w:val="22"/>
              </w:rPr>
            </w:pPr>
            <w:r>
              <w:rPr>
                <w:rFonts w:hint="eastAsia" w:ascii="仿宋" w:hAnsi="仿宋" w:eastAsia="仿宋" w:cs="仿宋"/>
                <w:color w:val="000000"/>
                <w:sz w:val="22"/>
                <w:szCs w:val="22"/>
              </w:rPr>
              <w:t>XXXXX对公不良贷款资产支持证券</w:t>
            </w:r>
          </w:p>
        </w:tc>
      </w:tr>
      <w:tr w14:paraId="4494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restart"/>
            <w:vAlign w:val="center"/>
          </w:tcPr>
          <w:p w14:paraId="574C3CD7">
            <w:pPr>
              <w:jc w:val="center"/>
              <w:rPr>
                <w:rFonts w:ascii="仿宋" w:hAnsi="仿宋" w:eastAsia="仿宋" w:cs="仿宋"/>
                <w:color w:val="000000"/>
                <w:sz w:val="22"/>
                <w:szCs w:val="22"/>
              </w:rPr>
            </w:pPr>
            <w:r>
              <w:rPr>
                <w:rFonts w:hint="eastAsia" w:ascii="仿宋" w:hAnsi="仿宋" w:eastAsia="仿宋" w:cs="仿宋"/>
                <w:color w:val="000000"/>
                <w:sz w:val="22"/>
                <w:szCs w:val="22"/>
              </w:rPr>
              <w:t>微小抵押类不良</w:t>
            </w:r>
          </w:p>
        </w:tc>
        <w:tc>
          <w:tcPr>
            <w:tcW w:w="2268" w:type="dxa"/>
            <w:vAlign w:val="center"/>
          </w:tcPr>
          <w:p w14:paraId="1995AC92">
            <w:pPr>
              <w:rPr>
                <w:rFonts w:ascii="仿宋" w:hAnsi="仿宋" w:eastAsia="仿宋" w:cs="仿宋"/>
                <w:color w:val="000000"/>
                <w:sz w:val="22"/>
                <w:szCs w:val="22"/>
              </w:rPr>
            </w:pPr>
            <w:r>
              <w:rPr>
                <w:rFonts w:hint="eastAsia" w:ascii="仿宋" w:hAnsi="仿宋" w:eastAsia="仿宋" w:cs="仿宋"/>
                <w:color w:val="000000"/>
                <w:sz w:val="22"/>
                <w:szCs w:val="22"/>
              </w:rPr>
              <w:t>微小企业抵押类贷款</w:t>
            </w:r>
          </w:p>
        </w:tc>
        <w:tc>
          <w:tcPr>
            <w:tcW w:w="4394" w:type="dxa"/>
            <w:vAlign w:val="center"/>
          </w:tcPr>
          <w:p w14:paraId="3272B0CF">
            <w:pPr>
              <w:rPr>
                <w:rFonts w:ascii="仿宋" w:hAnsi="仿宋" w:eastAsia="仿宋" w:cs="仿宋"/>
                <w:color w:val="000000"/>
                <w:sz w:val="22"/>
                <w:szCs w:val="22"/>
              </w:rPr>
            </w:pPr>
            <w:r>
              <w:rPr>
                <w:rFonts w:hint="eastAsia" w:ascii="仿宋" w:hAnsi="仿宋" w:eastAsia="仿宋" w:cs="仿宋"/>
                <w:color w:val="000000"/>
                <w:sz w:val="22"/>
                <w:szCs w:val="22"/>
              </w:rPr>
              <w:t>XXXXX微小企业抵押贷款不良资产支持证券</w:t>
            </w:r>
          </w:p>
        </w:tc>
      </w:tr>
      <w:tr w14:paraId="3C3C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09AD8D58">
            <w:pPr>
              <w:rPr>
                <w:rFonts w:ascii="仿宋" w:hAnsi="仿宋" w:eastAsia="仿宋" w:cs="仿宋"/>
                <w:color w:val="000000"/>
                <w:sz w:val="22"/>
                <w:szCs w:val="22"/>
              </w:rPr>
            </w:pPr>
          </w:p>
        </w:tc>
        <w:tc>
          <w:tcPr>
            <w:tcW w:w="2268" w:type="dxa"/>
            <w:vAlign w:val="center"/>
          </w:tcPr>
          <w:p w14:paraId="380789FC">
            <w:pPr>
              <w:rPr>
                <w:rFonts w:ascii="仿宋" w:hAnsi="仿宋" w:eastAsia="仿宋" w:cs="仿宋"/>
                <w:color w:val="000000"/>
                <w:sz w:val="22"/>
                <w:szCs w:val="22"/>
              </w:rPr>
            </w:pPr>
            <w:r>
              <w:rPr>
                <w:rFonts w:hint="eastAsia" w:ascii="仿宋" w:hAnsi="仿宋" w:eastAsia="仿宋" w:cs="仿宋"/>
                <w:color w:val="000000"/>
                <w:sz w:val="22"/>
                <w:szCs w:val="22"/>
              </w:rPr>
              <w:t>个人经营抵押类贷款</w:t>
            </w:r>
          </w:p>
        </w:tc>
        <w:tc>
          <w:tcPr>
            <w:tcW w:w="4394" w:type="dxa"/>
            <w:vAlign w:val="center"/>
          </w:tcPr>
          <w:p w14:paraId="2BEB99D3">
            <w:pPr>
              <w:rPr>
                <w:rFonts w:ascii="仿宋" w:hAnsi="仿宋" w:eastAsia="仿宋" w:cs="仿宋"/>
                <w:color w:val="000000"/>
                <w:sz w:val="22"/>
                <w:szCs w:val="22"/>
              </w:rPr>
            </w:pPr>
            <w:r>
              <w:rPr>
                <w:rFonts w:hint="eastAsia" w:ascii="仿宋" w:hAnsi="仿宋" w:eastAsia="仿宋" w:cs="仿宋"/>
                <w:color w:val="000000"/>
                <w:sz w:val="22"/>
                <w:szCs w:val="22"/>
              </w:rPr>
              <w:t>XXXXX个人经营抵押贷款不良资产支持证券</w:t>
            </w:r>
          </w:p>
        </w:tc>
      </w:tr>
      <w:tr w14:paraId="3B14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restart"/>
            <w:vAlign w:val="center"/>
          </w:tcPr>
          <w:p w14:paraId="1C2675E5">
            <w:pPr>
              <w:jc w:val="center"/>
              <w:rPr>
                <w:rFonts w:ascii="仿宋" w:hAnsi="仿宋" w:eastAsia="仿宋" w:cs="仿宋"/>
                <w:color w:val="000000"/>
                <w:sz w:val="22"/>
                <w:szCs w:val="22"/>
              </w:rPr>
            </w:pPr>
            <w:r>
              <w:rPr>
                <w:rFonts w:hint="eastAsia" w:ascii="仿宋" w:hAnsi="仿宋" w:eastAsia="仿宋" w:cs="仿宋"/>
                <w:color w:val="000000"/>
                <w:sz w:val="22"/>
                <w:szCs w:val="22"/>
              </w:rPr>
              <w:t>微小信用类不良</w:t>
            </w:r>
          </w:p>
        </w:tc>
        <w:tc>
          <w:tcPr>
            <w:tcW w:w="2268" w:type="dxa"/>
            <w:vAlign w:val="center"/>
          </w:tcPr>
          <w:p w14:paraId="19AEE7F0">
            <w:pPr>
              <w:rPr>
                <w:rFonts w:ascii="仿宋" w:hAnsi="仿宋" w:eastAsia="仿宋" w:cs="仿宋"/>
                <w:color w:val="000000"/>
                <w:sz w:val="22"/>
                <w:szCs w:val="22"/>
              </w:rPr>
            </w:pPr>
            <w:r>
              <w:rPr>
                <w:rFonts w:hint="eastAsia" w:ascii="仿宋" w:hAnsi="仿宋" w:eastAsia="仿宋" w:cs="仿宋"/>
                <w:color w:val="000000"/>
                <w:sz w:val="22"/>
                <w:szCs w:val="22"/>
              </w:rPr>
              <w:t>微小企业信用类贷款</w:t>
            </w:r>
          </w:p>
        </w:tc>
        <w:tc>
          <w:tcPr>
            <w:tcW w:w="4394" w:type="dxa"/>
            <w:vAlign w:val="center"/>
          </w:tcPr>
          <w:p w14:paraId="7375ADDA">
            <w:pPr>
              <w:rPr>
                <w:rFonts w:ascii="仿宋" w:hAnsi="仿宋" w:eastAsia="仿宋" w:cs="仿宋"/>
                <w:color w:val="000000"/>
                <w:sz w:val="22"/>
                <w:szCs w:val="22"/>
              </w:rPr>
            </w:pPr>
            <w:r>
              <w:rPr>
                <w:rFonts w:hint="eastAsia" w:ascii="仿宋" w:hAnsi="仿宋" w:eastAsia="仿宋" w:cs="仿宋"/>
                <w:color w:val="000000"/>
                <w:sz w:val="22"/>
                <w:szCs w:val="22"/>
              </w:rPr>
              <w:t>XXXXX微小企业贷款不良资产支持证券</w:t>
            </w:r>
          </w:p>
        </w:tc>
      </w:tr>
      <w:tr w14:paraId="7B26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78CEDA4E">
            <w:pPr>
              <w:rPr>
                <w:rFonts w:ascii="仿宋" w:hAnsi="仿宋" w:eastAsia="仿宋" w:cs="仿宋"/>
                <w:color w:val="000000"/>
                <w:sz w:val="22"/>
                <w:szCs w:val="22"/>
              </w:rPr>
            </w:pPr>
          </w:p>
        </w:tc>
        <w:tc>
          <w:tcPr>
            <w:tcW w:w="2268" w:type="dxa"/>
            <w:vAlign w:val="center"/>
          </w:tcPr>
          <w:p w14:paraId="5D45480E">
            <w:pPr>
              <w:rPr>
                <w:rFonts w:ascii="仿宋" w:hAnsi="仿宋" w:eastAsia="仿宋" w:cs="仿宋"/>
                <w:color w:val="000000"/>
                <w:sz w:val="22"/>
                <w:szCs w:val="22"/>
              </w:rPr>
            </w:pPr>
            <w:r>
              <w:rPr>
                <w:rFonts w:hint="eastAsia" w:ascii="仿宋" w:hAnsi="仿宋" w:eastAsia="仿宋" w:cs="仿宋"/>
                <w:color w:val="000000"/>
                <w:sz w:val="22"/>
                <w:szCs w:val="22"/>
              </w:rPr>
              <w:t>个人经营信用类贷款</w:t>
            </w:r>
          </w:p>
        </w:tc>
        <w:tc>
          <w:tcPr>
            <w:tcW w:w="4394" w:type="dxa"/>
            <w:vAlign w:val="center"/>
          </w:tcPr>
          <w:p w14:paraId="0A85A012">
            <w:pPr>
              <w:rPr>
                <w:rFonts w:ascii="仿宋" w:hAnsi="仿宋" w:eastAsia="仿宋" w:cs="仿宋"/>
                <w:color w:val="000000"/>
                <w:sz w:val="22"/>
                <w:szCs w:val="22"/>
              </w:rPr>
            </w:pPr>
            <w:r>
              <w:rPr>
                <w:rFonts w:hint="eastAsia" w:ascii="仿宋" w:hAnsi="仿宋" w:eastAsia="仿宋" w:cs="仿宋"/>
                <w:color w:val="000000"/>
                <w:sz w:val="22"/>
                <w:szCs w:val="22"/>
              </w:rPr>
              <w:t>XXXXX个人经营贷款不良资产支持证券</w:t>
            </w:r>
          </w:p>
        </w:tc>
      </w:tr>
      <w:tr w14:paraId="0B32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restart"/>
            <w:vAlign w:val="center"/>
          </w:tcPr>
          <w:p w14:paraId="70A781BF">
            <w:pPr>
              <w:jc w:val="center"/>
              <w:rPr>
                <w:rFonts w:ascii="仿宋" w:hAnsi="仿宋" w:eastAsia="仿宋" w:cs="仿宋"/>
                <w:color w:val="000000"/>
                <w:sz w:val="22"/>
                <w:szCs w:val="22"/>
              </w:rPr>
            </w:pPr>
            <w:r>
              <w:rPr>
                <w:rFonts w:hint="eastAsia" w:ascii="仿宋" w:hAnsi="仿宋" w:eastAsia="仿宋" w:cs="仿宋"/>
                <w:color w:val="000000"/>
                <w:sz w:val="22"/>
                <w:szCs w:val="22"/>
              </w:rPr>
              <w:t>个人抵押类不良</w:t>
            </w:r>
          </w:p>
        </w:tc>
        <w:tc>
          <w:tcPr>
            <w:tcW w:w="2268" w:type="dxa"/>
            <w:vAlign w:val="center"/>
          </w:tcPr>
          <w:p w14:paraId="492AA4E4">
            <w:pPr>
              <w:rPr>
                <w:rFonts w:ascii="仿宋" w:hAnsi="仿宋" w:eastAsia="仿宋" w:cs="仿宋"/>
                <w:color w:val="000000"/>
                <w:sz w:val="22"/>
                <w:szCs w:val="22"/>
              </w:rPr>
            </w:pPr>
            <w:r>
              <w:rPr>
                <w:rFonts w:hint="eastAsia" w:ascii="仿宋" w:hAnsi="仿宋" w:eastAsia="仿宋" w:cs="仿宋"/>
                <w:color w:val="000000"/>
                <w:sz w:val="22"/>
                <w:szCs w:val="22"/>
              </w:rPr>
              <w:t>汽车贷款</w:t>
            </w:r>
          </w:p>
        </w:tc>
        <w:tc>
          <w:tcPr>
            <w:tcW w:w="4394" w:type="dxa"/>
            <w:vAlign w:val="center"/>
          </w:tcPr>
          <w:p w14:paraId="7DC11ED5">
            <w:pPr>
              <w:rPr>
                <w:rFonts w:ascii="仿宋" w:hAnsi="仿宋" w:eastAsia="仿宋" w:cs="仿宋"/>
                <w:color w:val="000000"/>
                <w:sz w:val="22"/>
                <w:szCs w:val="22"/>
              </w:rPr>
            </w:pPr>
            <w:r>
              <w:rPr>
                <w:rFonts w:hint="eastAsia" w:ascii="仿宋" w:hAnsi="仿宋" w:eastAsia="仿宋" w:cs="仿宋"/>
                <w:color w:val="000000"/>
                <w:sz w:val="22"/>
                <w:szCs w:val="22"/>
              </w:rPr>
              <w:t>XXXXX个人汽车抵押贷款不良资产支持证券</w:t>
            </w:r>
          </w:p>
        </w:tc>
      </w:tr>
      <w:tr w14:paraId="7B1A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1559CFEF">
            <w:pPr>
              <w:rPr>
                <w:rFonts w:ascii="仿宋" w:hAnsi="仿宋" w:eastAsia="仿宋" w:cs="仿宋"/>
                <w:color w:val="000000"/>
                <w:sz w:val="22"/>
                <w:szCs w:val="22"/>
              </w:rPr>
            </w:pPr>
          </w:p>
        </w:tc>
        <w:tc>
          <w:tcPr>
            <w:tcW w:w="2268" w:type="dxa"/>
            <w:vAlign w:val="center"/>
          </w:tcPr>
          <w:p w14:paraId="0DE5C435">
            <w:pPr>
              <w:rPr>
                <w:rFonts w:ascii="仿宋" w:hAnsi="仿宋" w:eastAsia="仿宋" w:cs="仿宋"/>
                <w:color w:val="000000"/>
                <w:sz w:val="22"/>
                <w:szCs w:val="22"/>
              </w:rPr>
            </w:pPr>
            <w:r>
              <w:rPr>
                <w:rFonts w:hint="eastAsia" w:ascii="仿宋" w:hAnsi="仿宋" w:eastAsia="仿宋" w:cs="仿宋"/>
                <w:color w:val="000000"/>
                <w:sz w:val="22"/>
                <w:szCs w:val="22"/>
              </w:rPr>
              <w:t>消费贷款</w:t>
            </w:r>
          </w:p>
        </w:tc>
        <w:tc>
          <w:tcPr>
            <w:tcW w:w="4394" w:type="dxa"/>
            <w:vAlign w:val="center"/>
          </w:tcPr>
          <w:p w14:paraId="733DD088">
            <w:pPr>
              <w:rPr>
                <w:rFonts w:ascii="仿宋" w:hAnsi="仿宋" w:eastAsia="仿宋" w:cs="仿宋"/>
                <w:color w:val="000000"/>
                <w:sz w:val="22"/>
                <w:szCs w:val="22"/>
              </w:rPr>
            </w:pPr>
            <w:r>
              <w:rPr>
                <w:rFonts w:hint="eastAsia" w:ascii="仿宋" w:hAnsi="仿宋" w:eastAsia="仿宋" w:cs="仿宋"/>
                <w:color w:val="000000"/>
                <w:sz w:val="22"/>
                <w:szCs w:val="22"/>
              </w:rPr>
              <w:t>XXXXX个人消费抵押贷款不良资产支持证券</w:t>
            </w:r>
          </w:p>
        </w:tc>
      </w:tr>
      <w:tr w14:paraId="463C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3793DF9F">
            <w:pPr>
              <w:rPr>
                <w:rFonts w:ascii="仿宋" w:hAnsi="仿宋" w:eastAsia="仿宋" w:cs="仿宋"/>
                <w:color w:val="000000"/>
                <w:sz w:val="22"/>
                <w:szCs w:val="22"/>
              </w:rPr>
            </w:pPr>
          </w:p>
        </w:tc>
        <w:tc>
          <w:tcPr>
            <w:tcW w:w="2268" w:type="dxa"/>
            <w:vAlign w:val="center"/>
          </w:tcPr>
          <w:p w14:paraId="1CDB9E68">
            <w:pPr>
              <w:rPr>
                <w:rFonts w:ascii="仿宋" w:hAnsi="仿宋" w:eastAsia="仿宋" w:cs="仿宋"/>
                <w:color w:val="000000"/>
                <w:sz w:val="22"/>
                <w:szCs w:val="22"/>
              </w:rPr>
            </w:pPr>
            <w:r>
              <w:rPr>
                <w:rFonts w:hint="eastAsia" w:ascii="仿宋" w:hAnsi="仿宋" w:eastAsia="仿宋" w:cs="仿宋"/>
                <w:color w:val="000000"/>
                <w:sz w:val="22"/>
                <w:szCs w:val="22"/>
              </w:rPr>
              <w:t>住房贷款</w:t>
            </w:r>
          </w:p>
        </w:tc>
        <w:tc>
          <w:tcPr>
            <w:tcW w:w="4394" w:type="dxa"/>
            <w:vAlign w:val="center"/>
          </w:tcPr>
          <w:p w14:paraId="38C46B48">
            <w:pPr>
              <w:rPr>
                <w:rFonts w:ascii="仿宋" w:hAnsi="仿宋" w:eastAsia="仿宋" w:cs="仿宋"/>
                <w:color w:val="000000"/>
                <w:sz w:val="22"/>
                <w:szCs w:val="22"/>
              </w:rPr>
            </w:pPr>
            <w:r>
              <w:rPr>
                <w:rFonts w:hint="eastAsia" w:ascii="仿宋" w:hAnsi="仿宋" w:eastAsia="仿宋" w:cs="仿宋"/>
                <w:color w:val="000000"/>
                <w:sz w:val="22"/>
                <w:szCs w:val="22"/>
              </w:rPr>
              <w:t>XXXXX个人住房抵押贷款不良资产支持证券</w:t>
            </w:r>
          </w:p>
        </w:tc>
      </w:tr>
      <w:tr w14:paraId="78541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restart"/>
            <w:vAlign w:val="center"/>
          </w:tcPr>
          <w:p w14:paraId="4706E064">
            <w:pPr>
              <w:jc w:val="center"/>
              <w:rPr>
                <w:rFonts w:ascii="仿宋" w:hAnsi="仿宋" w:eastAsia="仿宋" w:cs="仿宋"/>
                <w:color w:val="000000"/>
                <w:sz w:val="22"/>
                <w:szCs w:val="22"/>
              </w:rPr>
            </w:pPr>
            <w:r>
              <w:rPr>
                <w:rFonts w:hint="eastAsia" w:ascii="仿宋" w:hAnsi="仿宋" w:eastAsia="仿宋" w:cs="仿宋"/>
                <w:color w:val="000000"/>
                <w:sz w:val="22"/>
                <w:szCs w:val="22"/>
              </w:rPr>
              <w:t>个人信用类不良</w:t>
            </w:r>
          </w:p>
        </w:tc>
        <w:tc>
          <w:tcPr>
            <w:tcW w:w="2268" w:type="dxa"/>
            <w:vAlign w:val="center"/>
          </w:tcPr>
          <w:p w14:paraId="531B59BC">
            <w:pPr>
              <w:rPr>
                <w:rFonts w:ascii="仿宋" w:hAnsi="仿宋" w:eastAsia="仿宋" w:cs="仿宋"/>
                <w:color w:val="000000"/>
                <w:sz w:val="22"/>
                <w:szCs w:val="22"/>
              </w:rPr>
            </w:pPr>
            <w:r>
              <w:rPr>
                <w:rFonts w:hint="eastAsia" w:ascii="仿宋" w:hAnsi="仿宋" w:eastAsia="仿宋" w:cs="仿宋"/>
                <w:color w:val="000000"/>
                <w:sz w:val="22"/>
                <w:szCs w:val="22"/>
              </w:rPr>
              <w:t>汽车贷款</w:t>
            </w:r>
          </w:p>
        </w:tc>
        <w:tc>
          <w:tcPr>
            <w:tcW w:w="4394" w:type="dxa"/>
            <w:vAlign w:val="center"/>
          </w:tcPr>
          <w:p w14:paraId="7688E9DD">
            <w:pPr>
              <w:rPr>
                <w:rFonts w:ascii="仿宋" w:hAnsi="仿宋" w:eastAsia="仿宋" w:cs="仿宋"/>
                <w:color w:val="000000"/>
                <w:sz w:val="22"/>
                <w:szCs w:val="22"/>
              </w:rPr>
            </w:pPr>
            <w:r>
              <w:rPr>
                <w:rFonts w:hint="eastAsia" w:ascii="仿宋" w:hAnsi="仿宋" w:eastAsia="仿宋" w:cs="仿宋"/>
                <w:color w:val="000000"/>
                <w:sz w:val="22"/>
                <w:szCs w:val="22"/>
              </w:rPr>
              <w:t>XXXXX个人汽车贷款不良资产支持证券</w:t>
            </w:r>
          </w:p>
        </w:tc>
      </w:tr>
      <w:tr w14:paraId="0947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1422DEB9">
            <w:pPr>
              <w:rPr>
                <w:rFonts w:ascii="仿宋" w:hAnsi="仿宋" w:eastAsia="仿宋" w:cs="仿宋"/>
                <w:color w:val="000000"/>
                <w:sz w:val="22"/>
                <w:szCs w:val="22"/>
              </w:rPr>
            </w:pPr>
          </w:p>
        </w:tc>
        <w:tc>
          <w:tcPr>
            <w:tcW w:w="2268" w:type="dxa"/>
            <w:vAlign w:val="center"/>
          </w:tcPr>
          <w:p w14:paraId="7AA88E2E">
            <w:pPr>
              <w:rPr>
                <w:rFonts w:ascii="仿宋" w:hAnsi="仿宋" w:eastAsia="仿宋" w:cs="仿宋"/>
                <w:color w:val="000000"/>
                <w:sz w:val="22"/>
                <w:szCs w:val="22"/>
              </w:rPr>
            </w:pPr>
            <w:r>
              <w:rPr>
                <w:rFonts w:hint="eastAsia" w:ascii="仿宋" w:hAnsi="仿宋" w:eastAsia="仿宋" w:cs="仿宋"/>
                <w:color w:val="000000"/>
                <w:sz w:val="22"/>
                <w:szCs w:val="22"/>
              </w:rPr>
              <w:t>消费贷款</w:t>
            </w:r>
          </w:p>
        </w:tc>
        <w:tc>
          <w:tcPr>
            <w:tcW w:w="4394" w:type="dxa"/>
            <w:vAlign w:val="center"/>
          </w:tcPr>
          <w:p w14:paraId="46F8D7F7">
            <w:pPr>
              <w:rPr>
                <w:rFonts w:ascii="仿宋" w:hAnsi="仿宋" w:eastAsia="仿宋" w:cs="仿宋"/>
                <w:color w:val="000000"/>
                <w:sz w:val="22"/>
                <w:szCs w:val="22"/>
              </w:rPr>
            </w:pPr>
            <w:r>
              <w:rPr>
                <w:rFonts w:hint="eastAsia" w:ascii="仿宋" w:hAnsi="仿宋" w:eastAsia="仿宋" w:cs="仿宋"/>
                <w:color w:val="000000"/>
                <w:sz w:val="22"/>
                <w:szCs w:val="22"/>
              </w:rPr>
              <w:t>XXXXX个人消费贷款不良资产支持证券</w:t>
            </w:r>
          </w:p>
        </w:tc>
      </w:tr>
      <w:tr w14:paraId="3D68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14600CB8">
            <w:pPr>
              <w:rPr>
                <w:rFonts w:ascii="仿宋" w:hAnsi="仿宋" w:eastAsia="仿宋" w:cs="仿宋"/>
                <w:color w:val="000000"/>
                <w:sz w:val="22"/>
                <w:szCs w:val="22"/>
              </w:rPr>
            </w:pPr>
          </w:p>
        </w:tc>
        <w:tc>
          <w:tcPr>
            <w:tcW w:w="2268" w:type="dxa"/>
            <w:vAlign w:val="center"/>
          </w:tcPr>
          <w:p w14:paraId="5E4FD9EE">
            <w:pPr>
              <w:rPr>
                <w:rFonts w:ascii="仿宋" w:hAnsi="仿宋" w:eastAsia="仿宋" w:cs="仿宋"/>
                <w:color w:val="000000"/>
                <w:sz w:val="22"/>
                <w:szCs w:val="22"/>
              </w:rPr>
            </w:pPr>
            <w:r>
              <w:rPr>
                <w:rFonts w:hint="eastAsia" w:ascii="仿宋" w:hAnsi="仿宋" w:eastAsia="仿宋" w:cs="仿宋"/>
                <w:color w:val="000000"/>
                <w:sz w:val="22"/>
                <w:szCs w:val="22"/>
              </w:rPr>
              <w:t>信用卡</w:t>
            </w:r>
          </w:p>
        </w:tc>
        <w:tc>
          <w:tcPr>
            <w:tcW w:w="4394" w:type="dxa"/>
            <w:vAlign w:val="center"/>
          </w:tcPr>
          <w:p w14:paraId="0AD848C2">
            <w:pPr>
              <w:rPr>
                <w:rFonts w:ascii="仿宋" w:hAnsi="仿宋" w:eastAsia="仿宋" w:cs="仿宋"/>
                <w:color w:val="000000"/>
                <w:sz w:val="22"/>
                <w:szCs w:val="22"/>
              </w:rPr>
            </w:pPr>
            <w:r>
              <w:rPr>
                <w:rFonts w:hint="eastAsia" w:ascii="仿宋" w:hAnsi="仿宋" w:eastAsia="仿宋" w:cs="仿宋"/>
                <w:color w:val="000000"/>
                <w:sz w:val="22"/>
                <w:szCs w:val="22"/>
              </w:rPr>
              <w:t>XXXXX信用卡不良资产支持证券</w:t>
            </w:r>
          </w:p>
        </w:tc>
      </w:tr>
      <w:tr w14:paraId="0CF5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restart"/>
            <w:vAlign w:val="center"/>
          </w:tcPr>
          <w:p w14:paraId="58CE4F17">
            <w:pPr>
              <w:jc w:val="center"/>
              <w:rPr>
                <w:rFonts w:ascii="仿宋" w:hAnsi="仿宋" w:eastAsia="仿宋" w:cs="仿宋"/>
                <w:color w:val="000000"/>
                <w:sz w:val="22"/>
                <w:szCs w:val="22"/>
              </w:rPr>
            </w:pPr>
            <w:r>
              <w:rPr>
                <w:rFonts w:hint="eastAsia" w:ascii="仿宋" w:hAnsi="仿宋" w:eastAsia="仿宋" w:cs="仿宋"/>
                <w:color w:val="000000"/>
                <w:sz w:val="22"/>
                <w:szCs w:val="22"/>
              </w:rPr>
              <w:t>混包不良(信用类+抵押类)</w:t>
            </w:r>
          </w:p>
        </w:tc>
        <w:tc>
          <w:tcPr>
            <w:tcW w:w="2268" w:type="dxa"/>
            <w:vAlign w:val="center"/>
          </w:tcPr>
          <w:p w14:paraId="2B9F4363">
            <w:pPr>
              <w:rPr>
                <w:rFonts w:ascii="仿宋" w:hAnsi="仿宋" w:eastAsia="仿宋" w:cs="仿宋"/>
                <w:color w:val="000000"/>
                <w:sz w:val="22"/>
                <w:szCs w:val="22"/>
              </w:rPr>
            </w:pPr>
            <w:r>
              <w:rPr>
                <w:rFonts w:hint="eastAsia" w:ascii="仿宋" w:hAnsi="仿宋" w:eastAsia="仿宋" w:cs="仿宋"/>
                <w:color w:val="000000"/>
                <w:sz w:val="22"/>
                <w:szCs w:val="22"/>
              </w:rPr>
              <w:t>微小企业贷款</w:t>
            </w:r>
          </w:p>
        </w:tc>
        <w:tc>
          <w:tcPr>
            <w:tcW w:w="4394" w:type="dxa"/>
            <w:vAlign w:val="center"/>
          </w:tcPr>
          <w:p w14:paraId="3294FE70">
            <w:pPr>
              <w:rPr>
                <w:rFonts w:ascii="仿宋" w:hAnsi="仿宋" w:eastAsia="仿宋" w:cs="仿宋"/>
                <w:color w:val="000000"/>
                <w:sz w:val="22"/>
                <w:szCs w:val="22"/>
              </w:rPr>
            </w:pPr>
            <w:r>
              <w:rPr>
                <w:rFonts w:hint="eastAsia" w:ascii="仿宋" w:hAnsi="仿宋" w:eastAsia="仿宋" w:cs="仿宋"/>
                <w:color w:val="000000"/>
                <w:sz w:val="22"/>
                <w:szCs w:val="22"/>
              </w:rPr>
              <w:t>XXXXX微小企业混合类不良资产支持证券</w:t>
            </w:r>
          </w:p>
        </w:tc>
      </w:tr>
      <w:tr w14:paraId="3DEF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2A4BD9FA">
            <w:pPr>
              <w:rPr>
                <w:rFonts w:ascii="仿宋" w:hAnsi="仿宋" w:eastAsia="仿宋" w:cs="仿宋"/>
                <w:color w:val="000000"/>
                <w:sz w:val="22"/>
                <w:szCs w:val="22"/>
              </w:rPr>
            </w:pPr>
          </w:p>
        </w:tc>
        <w:tc>
          <w:tcPr>
            <w:tcW w:w="2268" w:type="dxa"/>
            <w:vAlign w:val="center"/>
          </w:tcPr>
          <w:p w14:paraId="07B4330A">
            <w:pPr>
              <w:rPr>
                <w:rFonts w:ascii="仿宋" w:hAnsi="仿宋" w:eastAsia="仿宋" w:cs="仿宋"/>
                <w:color w:val="000000"/>
                <w:sz w:val="22"/>
                <w:szCs w:val="22"/>
              </w:rPr>
            </w:pPr>
            <w:r>
              <w:rPr>
                <w:rFonts w:hint="eastAsia" w:ascii="仿宋" w:hAnsi="仿宋" w:eastAsia="仿宋" w:cs="仿宋"/>
                <w:color w:val="000000"/>
                <w:sz w:val="22"/>
                <w:szCs w:val="22"/>
              </w:rPr>
              <w:t>个人经营贷款</w:t>
            </w:r>
          </w:p>
        </w:tc>
        <w:tc>
          <w:tcPr>
            <w:tcW w:w="4394" w:type="dxa"/>
            <w:vAlign w:val="center"/>
          </w:tcPr>
          <w:p w14:paraId="01599F85">
            <w:pPr>
              <w:rPr>
                <w:rFonts w:ascii="仿宋" w:hAnsi="仿宋" w:eastAsia="仿宋" w:cs="仿宋"/>
                <w:color w:val="000000"/>
                <w:sz w:val="22"/>
                <w:szCs w:val="22"/>
              </w:rPr>
            </w:pPr>
            <w:r>
              <w:rPr>
                <w:rFonts w:hint="eastAsia" w:ascii="仿宋" w:hAnsi="仿宋" w:eastAsia="仿宋" w:cs="仿宋"/>
                <w:color w:val="000000"/>
                <w:sz w:val="22"/>
                <w:szCs w:val="22"/>
              </w:rPr>
              <w:t>XXXXX个人经营混合类贷款不良资产支持证券</w:t>
            </w:r>
          </w:p>
        </w:tc>
      </w:tr>
      <w:tr w14:paraId="7EF8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58" w:type="dxa"/>
            <w:vMerge w:val="continue"/>
            <w:vAlign w:val="center"/>
          </w:tcPr>
          <w:p w14:paraId="1656EAA1">
            <w:pPr>
              <w:rPr>
                <w:rFonts w:ascii="仿宋" w:hAnsi="仿宋" w:eastAsia="仿宋" w:cs="仿宋"/>
                <w:color w:val="000000"/>
                <w:sz w:val="22"/>
                <w:szCs w:val="22"/>
              </w:rPr>
            </w:pPr>
          </w:p>
        </w:tc>
        <w:tc>
          <w:tcPr>
            <w:tcW w:w="2268" w:type="dxa"/>
            <w:vAlign w:val="center"/>
          </w:tcPr>
          <w:p w14:paraId="6B6185CA">
            <w:pPr>
              <w:rPr>
                <w:rFonts w:ascii="仿宋" w:hAnsi="仿宋" w:eastAsia="仿宋" w:cs="仿宋"/>
                <w:color w:val="000000"/>
                <w:sz w:val="22"/>
                <w:szCs w:val="22"/>
              </w:rPr>
            </w:pPr>
            <w:r>
              <w:rPr>
                <w:rFonts w:hint="eastAsia" w:ascii="仿宋" w:hAnsi="仿宋" w:eastAsia="仿宋" w:cs="仿宋"/>
                <w:color w:val="000000"/>
                <w:sz w:val="22"/>
                <w:szCs w:val="22"/>
              </w:rPr>
              <w:t>个人贷款</w:t>
            </w:r>
          </w:p>
        </w:tc>
        <w:tc>
          <w:tcPr>
            <w:tcW w:w="4394" w:type="dxa"/>
            <w:vAlign w:val="center"/>
          </w:tcPr>
          <w:p w14:paraId="16CAB0DD">
            <w:pPr>
              <w:rPr>
                <w:rFonts w:ascii="仿宋" w:hAnsi="仿宋" w:eastAsia="仿宋" w:cs="仿宋"/>
                <w:color w:val="000000"/>
                <w:sz w:val="22"/>
                <w:szCs w:val="22"/>
              </w:rPr>
            </w:pPr>
            <w:r>
              <w:rPr>
                <w:rFonts w:hint="eastAsia" w:ascii="仿宋" w:hAnsi="仿宋" w:eastAsia="仿宋" w:cs="仿宋"/>
                <w:color w:val="000000"/>
                <w:sz w:val="22"/>
                <w:szCs w:val="22"/>
              </w:rPr>
              <w:t>XXXXX个人混合类贷款不良资产支持证券</w:t>
            </w:r>
          </w:p>
        </w:tc>
      </w:tr>
    </w:tbl>
    <w:p w14:paraId="14C5C4F9">
      <w:pPr>
        <w:jc w:val="both"/>
        <w:rPr>
          <w:rFonts w:ascii="仿宋" w:hAnsi="仿宋" w:eastAsia="仿宋" w:cs="仿宋"/>
          <w:b/>
          <w:color w:val="000000"/>
        </w:rPr>
      </w:pPr>
    </w:p>
    <w:p w14:paraId="799D828B">
      <w:pPr>
        <w:jc w:val="both"/>
        <w:rPr>
          <w:rFonts w:ascii="仿宋" w:hAnsi="仿宋" w:eastAsia="仿宋" w:cs="仿宋"/>
          <w:b/>
          <w:color w:val="000000"/>
        </w:rPr>
      </w:pPr>
      <w:r>
        <w:rPr>
          <w:rFonts w:hint="eastAsia" w:ascii="仿宋" w:hAnsi="仿宋" w:eastAsia="仿宋" w:cs="仿宋"/>
          <w:b/>
          <w:color w:val="000000"/>
        </w:rPr>
        <w:t>附件2：交易结构图</w:t>
      </w:r>
      <w:r>
        <w:rPr>
          <w:rFonts w:hint="eastAsia" w:ascii="仿宋" w:hAnsi="仿宋" w:eastAsia="仿宋" w:cs="仿宋"/>
          <w:b/>
          <w:color w:val="000000"/>
          <w:vertAlign w:val="superscript"/>
        </w:rPr>
        <w:footnoteReference w:id="32"/>
      </w:r>
    </w:p>
    <w:p w14:paraId="60FC2FB8">
      <w:pPr>
        <w:jc w:val="center"/>
        <w:rPr>
          <w:rFonts w:ascii="仿宋" w:hAnsi="仿宋" w:eastAsia="仿宋" w:cs="仿宋"/>
        </w:rPr>
      </w:pPr>
      <w:r>
        <w:drawing>
          <wp:inline distT="0" distB="0" distL="114300" distR="114300">
            <wp:extent cx="4592955" cy="2585720"/>
            <wp:effectExtent l="0" t="0" r="9525" b="50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4592955" cy="2585720"/>
                    </a:xfrm>
                    <a:prstGeom prst="rect">
                      <a:avLst/>
                    </a:prstGeom>
                    <a:noFill/>
                    <a:ln>
                      <a:noFill/>
                    </a:ln>
                  </pic:spPr>
                </pic:pic>
              </a:graphicData>
            </a:graphic>
          </wp:inline>
        </w:drawing>
      </w:r>
    </w:p>
    <w:p w14:paraId="0C76439F">
      <w:pPr>
        <w:jc w:val="both"/>
        <w:rPr>
          <w:rFonts w:ascii="仿宋" w:hAnsi="仿宋" w:eastAsia="仿宋" w:cs="仿宋"/>
          <w:b/>
          <w:color w:val="000000"/>
        </w:rPr>
      </w:pPr>
    </w:p>
    <w:p w14:paraId="089C46D3">
      <w:pPr>
        <w:rPr>
          <w:rFonts w:ascii="仿宋" w:hAnsi="仿宋" w:eastAsia="仿宋" w:cs="仿宋"/>
          <w:b/>
          <w:color w:val="000000"/>
        </w:rPr>
      </w:pPr>
      <w:r>
        <w:rPr>
          <w:rFonts w:hint="eastAsia" w:ascii="仿宋" w:hAnsi="仿宋" w:eastAsia="仿宋" w:cs="仿宋"/>
          <w:b/>
          <w:color w:val="000000"/>
        </w:rPr>
        <w:br w:type="page"/>
      </w:r>
    </w:p>
    <w:p w14:paraId="3A7DDD56">
      <w:pPr>
        <w:jc w:val="both"/>
        <w:rPr>
          <w:rFonts w:ascii="仿宋" w:hAnsi="仿宋" w:eastAsia="仿宋" w:cs="仿宋"/>
          <w:b/>
          <w:color w:val="000000"/>
        </w:rPr>
      </w:pPr>
      <w:r>
        <w:rPr>
          <w:rFonts w:hint="eastAsia" w:ascii="仿宋" w:hAnsi="仿宋" w:eastAsia="仿宋" w:cs="仿宋"/>
          <w:b/>
          <w:color w:val="000000"/>
        </w:rPr>
        <w:t>附件3：现金流分配机制</w:t>
      </w:r>
      <w:r>
        <w:rPr>
          <w:rFonts w:hint="eastAsia" w:ascii="仿宋" w:hAnsi="仿宋" w:eastAsia="仿宋" w:cs="仿宋"/>
          <w:b/>
          <w:color w:val="000000"/>
          <w:vertAlign w:val="superscript"/>
        </w:rPr>
        <w:footnoteReference w:id="33"/>
      </w:r>
    </w:p>
    <w:p w14:paraId="4D6426D3">
      <w:pPr>
        <w:jc w:val="center"/>
        <w:rPr>
          <w:rFonts w:ascii="仿宋" w:hAnsi="仿宋" w:eastAsia="仿宋" w:cs="仿宋"/>
          <w:b/>
          <w:color w:val="000000"/>
        </w:rPr>
      </w:pPr>
      <w:r>
        <w:rPr>
          <w:rFonts w:hint="eastAsia" w:ascii="仿宋" w:hAnsi="仿宋" w:eastAsia="仿宋" w:cs="仿宋"/>
        </w:rPr>
        <w:drawing>
          <wp:inline distT="0" distB="0" distL="0" distR="0">
            <wp:extent cx="4191000" cy="237172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srcRect/>
                    <a:stretch>
                      <a:fillRect/>
                    </a:stretch>
                  </pic:blipFill>
                  <pic:spPr>
                    <a:xfrm>
                      <a:off x="0" y="0"/>
                      <a:ext cx="4191000" cy="2371725"/>
                    </a:xfrm>
                    <a:prstGeom prst="rect">
                      <a:avLst/>
                    </a:prstGeom>
                    <a:noFill/>
                    <a:ln w="9525">
                      <a:noFill/>
                      <a:miter lim="800000"/>
                      <a:headEnd/>
                      <a:tailEnd/>
                    </a:ln>
                  </pic:spPr>
                </pic:pic>
              </a:graphicData>
            </a:graphic>
          </wp:inline>
        </w:drawing>
      </w:r>
    </w:p>
    <w:p w14:paraId="17A90110">
      <w:pPr>
        <w:jc w:val="both"/>
        <w:rPr>
          <w:rFonts w:ascii="仿宋" w:hAnsi="仿宋" w:eastAsia="仿宋" w:cs="仿宋"/>
          <w:b/>
          <w:color w:val="000000"/>
        </w:rPr>
      </w:pPr>
    </w:p>
    <w:p w14:paraId="476431B0">
      <w:pPr>
        <w:jc w:val="both"/>
        <w:rPr>
          <w:rFonts w:ascii="仿宋" w:hAnsi="仿宋" w:eastAsia="仿宋" w:cs="仿宋"/>
          <w:b/>
          <w:color w:val="000000"/>
        </w:rPr>
      </w:pPr>
      <w:r>
        <w:rPr>
          <w:rFonts w:hint="eastAsia" w:ascii="仿宋" w:hAnsi="仿宋" w:eastAsia="仿宋" w:cs="仿宋"/>
          <w:b/>
          <w:color w:val="000000"/>
        </w:rPr>
        <w:t>附件4：预测回收率分布表</w:t>
      </w:r>
    </w:p>
    <w:tbl>
      <w:tblPr>
        <w:tblStyle w:val="10"/>
        <w:tblW w:w="8514" w:type="dxa"/>
        <w:tblInd w:w="15" w:type="dxa"/>
        <w:tblLayout w:type="autofit"/>
        <w:tblCellMar>
          <w:top w:w="0" w:type="dxa"/>
          <w:left w:w="108" w:type="dxa"/>
          <w:bottom w:w="0" w:type="dxa"/>
          <w:right w:w="108" w:type="dxa"/>
        </w:tblCellMar>
      </w:tblPr>
      <w:tblGrid>
        <w:gridCol w:w="1542"/>
        <w:gridCol w:w="1587"/>
        <w:gridCol w:w="737"/>
        <w:gridCol w:w="1587"/>
        <w:gridCol w:w="737"/>
        <w:gridCol w:w="1587"/>
        <w:gridCol w:w="737"/>
      </w:tblGrid>
      <w:tr w14:paraId="15790755">
        <w:tblPrEx>
          <w:tblCellMar>
            <w:top w:w="0" w:type="dxa"/>
            <w:left w:w="108" w:type="dxa"/>
            <w:bottom w:w="0" w:type="dxa"/>
            <w:right w:w="108" w:type="dxa"/>
          </w:tblCellMar>
        </w:tblPrEx>
        <w:trPr>
          <w:trHeight w:val="288" w:hRule="atLeast"/>
        </w:trPr>
        <w:tc>
          <w:tcPr>
            <w:tcW w:w="1542" w:type="dxa"/>
            <w:tcBorders>
              <w:top w:val="single" w:color="auto" w:sz="4" w:space="0"/>
              <w:left w:val="single" w:color="auto" w:sz="4" w:space="0"/>
              <w:bottom w:val="single" w:color="auto" w:sz="4" w:space="0"/>
              <w:right w:val="single" w:color="auto" w:sz="4" w:space="0"/>
            </w:tcBorders>
            <w:noWrap/>
            <w:vAlign w:val="center"/>
          </w:tcPr>
          <w:p w14:paraId="1D6E2C28">
            <w:pPr>
              <w:rPr>
                <w:rFonts w:ascii="仿宋" w:hAnsi="仿宋" w:eastAsia="仿宋" w:cs="仿宋"/>
                <w:color w:val="000000"/>
                <w:sz w:val="22"/>
                <w:szCs w:val="22"/>
              </w:rPr>
            </w:pPr>
            <w:r>
              <w:rPr>
                <w:rFonts w:hint="eastAsia" w:ascii="仿宋" w:hAnsi="仿宋" w:eastAsia="仿宋" w:cs="仿宋"/>
                <w:color w:val="000000"/>
                <w:sz w:val="22"/>
                <w:szCs w:val="22"/>
              </w:rPr>
              <w:t>回收率（%）</w:t>
            </w:r>
          </w:p>
        </w:tc>
        <w:tc>
          <w:tcPr>
            <w:tcW w:w="1587" w:type="dxa"/>
            <w:tcBorders>
              <w:top w:val="single" w:color="auto" w:sz="4" w:space="0"/>
              <w:left w:val="nil"/>
              <w:bottom w:val="single" w:color="auto" w:sz="4" w:space="0"/>
              <w:right w:val="single" w:color="auto" w:sz="4" w:space="0"/>
            </w:tcBorders>
            <w:vAlign w:val="center"/>
          </w:tcPr>
          <w:p w14:paraId="7F1F9380">
            <w:pPr>
              <w:jc w:val="center"/>
              <w:rPr>
                <w:rFonts w:ascii="仿宋" w:hAnsi="仿宋" w:eastAsia="仿宋" w:cs="仿宋"/>
                <w:color w:val="000000"/>
                <w:sz w:val="22"/>
                <w:szCs w:val="22"/>
              </w:rPr>
            </w:pPr>
            <w:r>
              <w:rPr>
                <w:rFonts w:hint="eastAsia" w:ascii="仿宋" w:hAnsi="仿宋" w:eastAsia="仿宋" w:cs="仿宋"/>
                <w:color w:val="000000"/>
                <w:sz w:val="22"/>
                <w:szCs w:val="22"/>
              </w:rPr>
              <w:t>借款人户数</w:t>
            </w:r>
          </w:p>
        </w:tc>
        <w:tc>
          <w:tcPr>
            <w:tcW w:w="737" w:type="dxa"/>
            <w:tcBorders>
              <w:top w:val="single" w:color="auto" w:sz="4" w:space="0"/>
              <w:left w:val="single" w:color="auto" w:sz="4" w:space="0"/>
              <w:bottom w:val="single" w:color="auto" w:sz="4" w:space="0"/>
              <w:right w:val="single" w:color="auto" w:sz="4" w:space="0"/>
            </w:tcBorders>
            <w:vAlign w:val="center"/>
          </w:tcPr>
          <w:p w14:paraId="00E1ED1A">
            <w:pPr>
              <w:jc w:val="center"/>
              <w:rPr>
                <w:rFonts w:ascii="仿宋" w:hAnsi="仿宋" w:eastAsia="仿宋" w:cs="仿宋"/>
                <w:color w:val="000000"/>
                <w:sz w:val="22"/>
                <w:szCs w:val="22"/>
              </w:rPr>
            </w:pPr>
            <w:r>
              <w:rPr>
                <w:rFonts w:hint="eastAsia" w:ascii="仿宋" w:hAnsi="仿宋" w:eastAsia="仿宋" w:cs="仿宋"/>
                <w:color w:val="000000"/>
                <w:sz w:val="22"/>
                <w:szCs w:val="22"/>
              </w:rPr>
              <w:t>占比</w:t>
            </w:r>
          </w:p>
        </w:tc>
        <w:tc>
          <w:tcPr>
            <w:tcW w:w="1587" w:type="dxa"/>
            <w:tcBorders>
              <w:top w:val="single" w:color="auto" w:sz="4" w:space="0"/>
              <w:left w:val="nil"/>
              <w:bottom w:val="single" w:color="auto" w:sz="4" w:space="0"/>
              <w:right w:val="single" w:color="auto" w:sz="4" w:space="0"/>
            </w:tcBorders>
            <w:vAlign w:val="center"/>
          </w:tcPr>
          <w:p w14:paraId="400E879E">
            <w:pPr>
              <w:jc w:val="center"/>
              <w:rPr>
                <w:rFonts w:ascii="仿宋" w:hAnsi="仿宋" w:eastAsia="仿宋" w:cs="仿宋"/>
                <w:color w:val="000000"/>
                <w:sz w:val="22"/>
                <w:szCs w:val="22"/>
              </w:rPr>
            </w:pPr>
            <w:r>
              <w:rPr>
                <w:rFonts w:hint="eastAsia" w:ascii="仿宋" w:hAnsi="仿宋" w:eastAsia="仿宋" w:cs="仿宋"/>
                <w:color w:val="000000"/>
                <w:sz w:val="22"/>
                <w:szCs w:val="22"/>
              </w:rPr>
              <w:t>未偿本息余额</w:t>
            </w:r>
          </w:p>
        </w:tc>
        <w:tc>
          <w:tcPr>
            <w:tcW w:w="737" w:type="dxa"/>
            <w:tcBorders>
              <w:top w:val="single" w:color="auto" w:sz="4" w:space="0"/>
              <w:left w:val="single" w:color="auto" w:sz="4" w:space="0"/>
              <w:bottom w:val="single" w:color="auto" w:sz="4" w:space="0"/>
              <w:right w:val="single" w:color="auto" w:sz="4" w:space="0"/>
            </w:tcBorders>
            <w:vAlign w:val="center"/>
          </w:tcPr>
          <w:p w14:paraId="2BF50E5E">
            <w:pPr>
              <w:jc w:val="center"/>
              <w:rPr>
                <w:rFonts w:ascii="仿宋" w:hAnsi="仿宋" w:eastAsia="仿宋" w:cs="仿宋"/>
                <w:color w:val="000000"/>
                <w:sz w:val="22"/>
                <w:szCs w:val="22"/>
              </w:rPr>
            </w:pPr>
            <w:r>
              <w:rPr>
                <w:rFonts w:hint="eastAsia" w:ascii="仿宋" w:hAnsi="仿宋" w:eastAsia="仿宋" w:cs="仿宋"/>
                <w:color w:val="000000"/>
                <w:sz w:val="22"/>
                <w:szCs w:val="22"/>
              </w:rPr>
              <w:t>占比</w:t>
            </w:r>
          </w:p>
        </w:tc>
        <w:tc>
          <w:tcPr>
            <w:tcW w:w="1587" w:type="dxa"/>
            <w:tcBorders>
              <w:top w:val="single" w:color="auto" w:sz="4" w:space="0"/>
              <w:left w:val="nil"/>
              <w:bottom w:val="single" w:color="auto" w:sz="4" w:space="0"/>
              <w:right w:val="single" w:color="auto" w:sz="4" w:space="0"/>
            </w:tcBorders>
            <w:noWrap/>
            <w:vAlign w:val="center"/>
          </w:tcPr>
          <w:p w14:paraId="0B88E504">
            <w:pPr>
              <w:jc w:val="center"/>
              <w:rPr>
                <w:rFonts w:ascii="仿宋" w:hAnsi="仿宋" w:eastAsia="仿宋" w:cs="仿宋"/>
                <w:color w:val="000000"/>
                <w:sz w:val="22"/>
                <w:szCs w:val="22"/>
              </w:rPr>
            </w:pPr>
            <w:r>
              <w:rPr>
                <w:rFonts w:hint="eastAsia" w:ascii="仿宋" w:hAnsi="仿宋" w:eastAsia="仿宋" w:cs="仿宋"/>
                <w:color w:val="000000"/>
                <w:sz w:val="22"/>
                <w:szCs w:val="22"/>
              </w:rPr>
              <w:t>预测回收金额</w:t>
            </w:r>
          </w:p>
        </w:tc>
        <w:tc>
          <w:tcPr>
            <w:tcW w:w="737" w:type="dxa"/>
            <w:tcBorders>
              <w:top w:val="single" w:color="auto" w:sz="4" w:space="0"/>
              <w:left w:val="nil"/>
              <w:bottom w:val="single" w:color="auto" w:sz="4" w:space="0"/>
              <w:right w:val="single" w:color="auto" w:sz="4" w:space="0"/>
            </w:tcBorders>
            <w:noWrap/>
            <w:vAlign w:val="center"/>
          </w:tcPr>
          <w:p w14:paraId="3EA6A542">
            <w:pPr>
              <w:jc w:val="center"/>
              <w:rPr>
                <w:rFonts w:ascii="仿宋" w:hAnsi="仿宋" w:eastAsia="仿宋" w:cs="仿宋"/>
                <w:color w:val="000000"/>
                <w:sz w:val="22"/>
                <w:szCs w:val="22"/>
              </w:rPr>
            </w:pPr>
            <w:r>
              <w:rPr>
                <w:rFonts w:hint="eastAsia" w:ascii="仿宋" w:hAnsi="仿宋" w:eastAsia="仿宋" w:cs="仿宋"/>
                <w:color w:val="000000"/>
                <w:sz w:val="22"/>
                <w:szCs w:val="22"/>
              </w:rPr>
              <w:t>占比</w:t>
            </w:r>
          </w:p>
        </w:tc>
      </w:tr>
      <w:tr w14:paraId="2647488A">
        <w:tblPrEx>
          <w:tblCellMar>
            <w:top w:w="0" w:type="dxa"/>
            <w:left w:w="108" w:type="dxa"/>
            <w:bottom w:w="0" w:type="dxa"/>
            <w:right w:w="108" w:type="dxa"/>
          </w:tblCellMar>
        </w:tblPrEx>
        <w:trPr>
          <w:trHeight w:val="288" w:hRule="atLeast"/>
        </w:trPr>
        <w:tc>
          <w:tcPr>
            <w:tcW w:w="1542" w:type="dxa"/>
            <w:tcBorders>
              <w:top w:val="nil"/>
              <w:left w:val="single" w:color="auto" w:sz="4" w:space="0"/>
              <w:bottom w:val="single" w:color="auto" w:sz="4" w:space="0"/>
              <w:right w:val="single" w:color="auto" w:sz="4" w:space="0"/>
            </w:tcBorders>
            <w:noWrap/>
            <w:vAlign w:val="center"/>
          </w:tcPr>
          <w:p w14:paraId="63F1E8E2">
            <w:pPr>
              <w:rPr>
                <w:rFonts w:ascii="仿宋" w:hAnsi="仿宋" w:eastAsia="仿宋" w:cs="仿宋"/>
                <w:color w:val="000000"/>
                <w:sz w:val="22"/>
                <w:szCs w:val="22"/>
              </w:rPr>
            </w:pPr>
            <w:r>
              <w:rPr>
                <w:rFonts w:hint="eastAsia" w:ascii="仿宋" w:hAnsi="仿宋" w:eastAsia="仿宋" w:cs="仿宋"/>
                <w:color w:val="000000"/>
                <w:sz w:val="22"/>
                <w:szCs w:val="22"/>
              </w:rPr>
              <w:t>[0,10）</w:t>
            </w:r>
          </w:p>
        </w:tc>
        <w:tc>
          <w:tcPr>
            <w:tcW w:w="1587" w:type="dxa"/>
            <w:tcBorders>
              <w:top w:val="single" w:color="auto" w:sz="4" w:space="0"/>
              <w:left w:val="nil"/>
              <w:bottom w:val="single" w:color="auto" w:sz="4" w:space="0"/>
              <w:right w:val="single" w:color="auto" w:sz="4" w:space="0"/>
            </w:tcBorders>
            <w:vAlign w:val="center"/>
          </w:tcPr>
          <w:p w14:paraId="7F663E4C">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76F46DA3">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636BC309">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2244ED73">
            <w:pPr>
              <w:jc w:val="center"/>
              <w:rPr>
                <w:rFonts w:ascii="仿宋" w:hAnsi="仿宋" w:eastAsia="仿宋" w:cs="仿宋"/>
                <w:color w:val="000000"/>
                <w:sz w:val="22"/>
                <w:szCs w:val="22"/>
              </w:rPr>
            </w:pPr>
          </w:p>
        </w:tc>
        <w:tc>
          <w:tcPr>
            <w:tcW w:w="1587" w:type="dxa"/>
            <w:tcBorders>
              <w:top w:val="nil"/>
              <w:left w:val="nil"/>
              <w:bottom w:val="single" w:color="auto" w:sz="4" w:space="0"/>
              <w:right w:val="single" w:color="auto" w:sz="4" w:space="0"/>
            </w:tcBorders>
            <w:noWrap/>
            <w:vAlign w:val="center"/>
          </w:tcPr>
          <w:p w14:paraId="734F31F4">
            <w:pPr>
              <w:jc w:val="center"/>
              <w:rPr>
                <w:rFonts w:ascii="仿宋" w:hAnsi="仿宋" w:eastAsia="仿宋" w:cs="仿宋"/>
                <w:color w:val="000000"/>
                <w:sz w:val="22"/>
                <w:szCs w:val="22"/>
              </w:rPr>
            </w:pPr>
          </w:p>
        </w:tc>
        <w:tc>
          <w:tcPr>
            <w:tcW w:w="737" w:type="dxa"/>
            <w:tcBorders>
              <w:top w:val="nil"/>
              <w:left w:val="nil"/>
              <w:bottom w:val="single" w:color="auto" w:sz="4" w:space="0"/>
              <w:right w:val="single" w:color="auto" w:sz="4" w:space="0"/>
            </w:tcBorders>
            <w:noWrap/>
            <w:vAlign w:val="center"/>
          </w:tcPr>
          <w:p w14:paraId="258B1873">
            <w:pPr>
              <w:jc w:val="center"/>
              <w:rPr>
                <w:rFonts w:ascii="仿宋" w:hAnsi="仿宋" w:eastAsia="仿宋" w:cs="仿宋"/>
                <w:color w:val="000000"/>
                <w:sz w:val="22"/>
                <w:szCs w:val="22"/>
              </w:rPr>
            </w:pPr>
          </w:p>
        </w:tc>
      </w:tr>
      <w:tr w14:paraId="147BF7E9">
        <w:tblPrEx>
          <w:tblCellMar>
            <w:top w:w="0" w:type="dxa"/>
            <w:left w:w="108" w:type="dxa"/>
            <w:bottom w:w="0" w:type="dxa"/>
            <w:right w:w="108" w:type="dxa"/>
          </w:tblCellMar>
        </w:tblPrEx>
        <w:trPr>
          <w:trHeight w:val="288" w:hRule="atLeast"/>
        </w:trPr>
        <w:tc>
          <w:tcPr>
            <w:tcW w:w="1542" w:type="dxa"/>
            <w:tcBorders>
              <w:top w:val="nil"/>
              <w:left w:val="single" w:color="auto" w:sz="4" w:space="0"/>
              <w:bottom w:val="single" w:color="auto" w:sz="4" w:space="0"/>
              <w:right w:val="single" w:color="auto" w:sz="4" w:space="0"/>
            </w:tcBorders>
            <w:noWrap/>
            <w:vAlign w:val="center"/>
          </w:tcPr>
          <w:p w14:paraId="5F959BE0">
            <w:pPr>
              <w:rPr>
                <w:rFonts w:ascii="仿宋" w:hAnsi="仿宋" w:eastAsia="仿宋" w:cs="仿宋"/>
                <w:color w:val="000000"/>
                <w:sz w:val="22"/>
                <w:szCs w:val="22"/>
              </w:rPr>
            </w:pPr>
            <w:r>
              <w:rPr>
                <w:rFonts w:hint="eastAsia" w:ascii="仿宋" w:hAnsi="仿宋" w:eastAsia="仿宋" w:cs="仿宋"/>
                <w:color w:val="000000"/>
                <w:sz w:val="22"/>
                <w:szCs w:val="22"/>
              </w:rPr>
              <w:t>[10,20)</w:t>
            </w:r>
          </w:p>
        </w:tc>
        <w:tc>
          <w:tcPr>
            <w:tcW w:w="1587" w:type="dxa"/>
            <w:tcBorders>
              <w:top w:val="single" w:color="auto" w:sz="4" w:space="0"/>
              <w:left w:val="nil"/>
              <w:bottom w:val="single" w:color="auto" w:sz="4" w:space="0"/>
              <w:right w:val="single" w:color="auto" w:sz="4" w:space="0"/>
            </w:tcBorders>
            <w:vAlign w:val="center"/>
          </w:tcPr>
          <w:p w14:paraId="2867E339">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2011B7F0">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6723616A">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7EFE0A03">
            <w:pPr>
              <w:jc w:val="center"/>
              <w:rPr>
                <w:rFonts w:ascii="仿宋" w:hAnsi="仿宋" w:eastAsia="仿宋" w:cs="仿宋"/>
                <w:color w:val="000000"/>
                <w:sz w:val="22"/>
                <w:szCs w:val="22"/>
              </w:rPr>
            </w:pPr>
          </w:p>
        </w:tc>
        <w:tc>
          <w:tcPr>
            <w:tcW w:w="1587" w:type="dxa"/>
            <w:tcBorders>
              <w:top w:val="nil"/>
              <w:left w:val="nil"/>
              <w:bottom w:val="single" w:color="auto" w:sz="4" w:space="0"/>
              <w:right w:val="single" w:color="auto" w:sz="4" w:space="0"/>
            </w:tcBorders>
            <w:noWrap/>
            <w:vAlign w:val="center"/>
          </w:tcPr>
          <w:p w14:paraId="446F121D">
            <w:pPr>
              <w:jc w:val="center"/>
              <w:rPr>
                <w:rFonts w:ascii="仿宋" w:hAnsi="仿宋" w:eastAsia="仿宋" w:cs="仿宋"/>
                <w:color w:val="000000"/>
                <w:sz w:val="22"/>
                <w:szCs w:val="22"/>
              </w:rPr>
            </w:pPr>
          </w:p>
        </w:tc>
        <w:tc>
          <w:tcPr>
            <w:tcW w:w="737" w:type="dxa"/>
            <w:tcBorders>
              <w:top w:val="nil"/>
              <w:left w:val="nil"/>
              <w:bottom w:val="single" w:color="auto" w:sz="4" w:space="0"/>
              <w:right w:val="single" w:color="auto" w:sz="4" w:space="0"/>
            </w:tcBorders>
            <w:noWrap/>
            <w:vAlign w:val="center"/>
          </w:tcPr>
          <w:p w14:paraId="0E6ABE65">
            <w:pPr>
              <w:jc w:val="center"/>
              <w:rPr>
                <w:rFonts w:ascii="仿宋" w:hAnsi="仿宋" w:eastAsia="仿宋" w:cs="仿宋"/>
                <w:color w:val="000000"/>
                <w:sz w:val="22"/>
                <w:szCs w:val="22"/>
              </w:rPr>
            </w:pPr>
          </w:p>
        </w:tc>
      </w:tr>
      <w:tr w14:paraId="2E7646E5">
        <w:tblPrEx>
          <w:tblCellMar>
            <w:top w:w="0" w:type="dxa"/>
            <w:left w:w="108" w:type="dxa"/>
            <w:bottom w:w="0" w:type="dxa"/>
            <w:right w:w="108" w:type="dxa"/>
          </w:tblCellMar>
        </w:tblPrEx>
        <w:trPr>
          <w:trHeight w:val="288" w:hRule="atLeast"/>
        </w:trPr>
        <w:tc>
          <w:tcPr>
            <w:tcW w:w="1542" w:type="dxa"/>
            <w:tcBorders>
              <w:top w:val="nil"/>
              <w:left w:val="single" w:color="auto" w:sz="4" w:space="0"/>
              <w:bottom w:val="single" w:color="auto" w:sz="4" w:space="0"/>
              <w:right w:val="single" w:color="auto" w:sz="4" w:space="0"/>
            </w:tcBorders>
            <w:noWrap/>
            <w:vAlign w:val="center"/>
          </w:tcPr>
          <w:p w14:paraId="2F390F42">
            <w:pPr>
              <w:rPr>
                <w:rFonts w:ascii="仿宋" w:hAnsi="仿宋" w:eastAsia="仿宋" w:cs="仿宋"/>
                <w:color w:val="000000"/>
                <w:sz w:val="22"/>
                <w:szCs w:val="22"/>
              </w:rPr>
            </w:pPr>
            <w:r>
              <w:rPr>
                <w:rFonts w:hint="eastAsia" w:ascii="仿宋" w:hAnsi="仿宋" w:eastAsia="仿宋" w:cs="仿宋"/>
                <w:color w:val="000000"/>
                <w:sz w:val="22"/>
                <w:szCs w:val="22"/>
              </w:rPr>
              <w:t>[20,30)</w:t>
            </w:r>
          </w:p>
        </w:tc>
        <w:tc>
          <w:tcPr>
            <w:tcW w:w="1587" w:type="dxa"/>
            <w:tcBorders>
              <w:top w:val="single" w:color="auto" w:sz="4" w:space="0"/>
              <w:left w:val="nil"/>
              <w:bottom w:val="single" w:color="auto" w:sz="4" w:space="0"/>
              <w:right w:val="single" w:color="auto" w:sz="4" w:space="0"/>
            </w:tcBorders>
            <w:vAlign w:val="center"/>
          </w:tcPr>
          <w:p w14:paraId="0A1FC9AA">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703C1963">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24CDFE30">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7B09E87C">
            <w:pPr>
              <w:jc w:val="center"/>
              <w:rPr>
                <w:rFonts w:ascii="仿宋" w:hAnsi="仿宋" w:eastAsia="仿宋" w:cs="仿宋"/>
                <w:color w:val="000000"/>
                <w:sz w:val="22"/>
                <w:szCs w:val="22"/>
              </w:rPr>
            </w:pPr>
          </w:p>
        </w:tc>
        <w:tc>
          <w:tcPr>
            <w:tcW w:w="1587" w:type="dxa"/>
            <w:tcBorders>
              <w:top w:val="nil"/>
              <w:left w:val="nil"/>
              <w:bottom w:val="single" w:color="auto" w:sz="4" w:space="0"/>
              <w:right w:val="single" w:color="auto" w:sz="4" w:space="0"/>
            </w:tcBorders>
            <w:noWrap/>
            <w:vAlign w:val="center"/>
          </w:tcPr>
          <w:p w14:paraId="20E70E83">
            <w:pPr>
              <w:jc w:val="center"/>
              <w:rPr>
                <w:rFonts w:ascii="仿宋" w:hAnsi="仿宋" w:eastAsia="仿宋" w:cs="仿宋"/>
                <w:color w:val="000000"/>
                <w:sz w:val="22"/>
                <w:szCs w:val="22"/>
              </w:rPr>
            </w:pPr>
          </w:p>
        </w:tc>
        <w:tc>
          <w:tcPr>
            <w:tcW w:w="737" w:type="dxa"/>
            <w:tcBorders>
              <w:top w:val="nil"/>
              <w:left w:val="nil"/>
              <w:bottom w:val="single" w:color="auto" w:sz="4" w:space="0"/>
              <w:right w:val="single" w:color="auto" w:sz="4" w:space="0"/>
            </w:tcBorders>
            <w:noWrap/>
            <w:vAlign w:val="center"/>
          </w:tcPr>
          <w:p w14:paraId="461A8372">
            <w:pPr>
              <w:jc w:val="center"/>
              <w:rPr>
                <w:rFonts w:ascii="仿宋" w:hAnsi="仿宋" w:eastAsia="仿宋" w:cs="仿宋"/>
                <w:color w:val="000000"/>
                <w:sz w:val="22"/>
                <w:szCs w:val="22"/>
              </w:rPr>
            </w:pPr>
          </w:p>
        </w:tc>
      </w:tr>
      <w:tr w14:paraId="3E3AB4A6">
        <w:tblPrEx>
          <w:tblCellMar>
            <w:top w:w="0" w:type="dxa"/>
            <w:left w:w="108" w:type="dxa"/>
            <w:bottom w:w="0" w:type="dxa"/>
            <w:right w:w="108" w:type="dxa"/>
          </w:tblCellMar>
        </w:tblPrEx>
        <w:trPr>
          <w:trHeight w:val="288" w:hRule="atLeast"/>
        </w:trPr>
        <w:tc>
          <w:tcPr>
            <w:tcW w:w="1542" w:type="dxa"/>
            <w:tcBorders>
              <w:top w:val="nil"/>
              <w:left w:val="single" w:color="auto" w:sz="4" w:space="0"/>
              <w:bottom w:val="single" w:color="auto" w:sz="4" w:space="0"/>
              <w:right w:val="single" w:color="auto" w:sz="4" w:space="0"/>
            </w:tcBorders>
            <w:noWrap/>
            <w:vAlign w:val="center"/>
          </w:tcPr>
          <w:p w14:paraId="6D2E1451">
            <w:pPr>
              <w:rPr>
                <w:rFonts w:ascii="仿宋" w:hAnsi="仿宋" w:eastAsia="仿宋" w:cs="仿宋"/>
                <w:color w:val="000000"/>
                <w:sz w:val="22"/>
                <w:szCs w:val="22"/>
              </w:rPr>
            </w:pPr>
            <w:r>
              <w:rPr>
                <w:rFonts w:hint="eastAsia" w:ascii="仿宋" w:hAnsi="仿宋" w:eastAsia="仿宋" w:cs="仿宋"/>
                <w:color w:val="000000"/>
                <w:sz w:val="22"/>
                <w:szCs w:val="22"/>
              </w:rPr>
              <w:t>[30,40)</w:t>
            </w:r>
          </w:p>
        </w:tc>
        <w:tc>
          <w:tcPr>
            <w:tcW w:w="1587" w:type="dxa"/>
            <w:tcBorders>
              <w:top w:val="single" w:color="auto" w:sz="4" w:space="0"/>
              <w:left w:val="nil"/>
              <w:bottom w:val="single" w:color="auto" w:sz="4" w:space="0"/>
              <w:right w:val="single" w:color="auto" w:sz="4" w:space="0"/>
            </w:tcBorders>
            <w:vAlign w:val="center"/>
          </w:tcPr>
          <w:p w14:paraId="155F0E7A">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394CB9D6">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4F40F6CE">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7DB2065A">
            <w:pPr>
              <w:jc w:val="center"/>
              <w:rPr>
                <w:rFonts w:ascii="仿宋" w:hAnsi="仿宋" w:eastAsia="仿宋" w:cs="仿宋"/>
                <w:color w:val="000000"/>
                <w:sz w:val="22"/>
                <w:szCs w:val="22"/>
              </w:rPr>
            </w:pPr>
          </w:p>
        </w:tc>
        <w:tc>
          <w:tcPr>
            <w:tcW w:w="1587" w:type="dxa"/>
            <w:tcBorders>
              <w:top w:val="nil"/>
              <w:left w:val="nil"/>
              <w:bottom w:val="single" w:color="auto" w:sz="4" w:space="0"/>
              <w:right w:val="single" w:color="auto" w:sz="4" w:space="0"/>
            </w:tcBorders>
            <w:noWrap/>
            <w:vAlign w:val="center"/>
          </w:tcPr>
          <w:p w14:paraId="32F91552">
            <w:pPr>
              <w:jc w:val="center"/>
              <w:rPr>
                <w:rFonts w:ascii="仿宋" w:hAnsi="仿宋" w:eastAsia="仿宋" w:cs="仿宋"/>
                <w:color w:val="000000"/>
                <w:sz w:val="22"/>
                <w:szCs w:val="22"/>
              </w:rPr>
            </w:pPr>
          </w:p>
        </w:tc>
        <w:tc>
          <w:tcPr>
            <w:tcW w:w="737" w:type="dxa"/>
            <w:tcBorders>
              <w:top w:val="nil"/>
              <w:left w:val="nil"/>
              <w:bottom w:val="single" w:color="auto" w:sz="4" w:space="0"/>
              <w:right w:val="single" w:color="auto" w:sz="4" w:space="0"/>
            </w:tcBorders>
            <w:noWrap/>
            <w:vAlign w:val="center"/>
          </w:tcPr>
          <w:p w14:paraId="741EFE2D">
            <w:pPr>
              <w:jc w:val="center"/>
              <w:rPr>
                <w:rFonts w:ascii="仿宋" w:hAnsi="仿宋" w:eastAsia="仿宋" w:cs="仿宋"/>
                <w:color w:val="000000"/>
                <w:sz w:val="22"/>
                <w:szCs w:val="22"/>
              </w:rPr>
            </w:pPr>
          </w:p>
        </w:tc>
      </w:tr>
      <w:tr w14:paraId="08D5C2CD">
        <w:tblPrEx>
          <w:tblCellMar>
            <w:top w:w="0" w:type="dxa"/>
            <w:left w:w="108" w:type="dxa"/>
            <w:bottom w:w="0" w:type="dxa"/>
            <w:right w:w="108" w:type="dxa"/>
          </w:tblCellMar>
        </w:tblPrEx>
        <w:trPr>
          <w:trHeight w:val="288" w:hRule="atLeast"/>
        </w:trPr>
        <w:tc>
          <w:tcPr>
            <w:tcW w:w="1542" w:type="dxa"/>
            <w:tcBorders>
              <w:top w:val="single" w:color="auto" w:sz="4" w:space="0"/>
              <w:left w:val="single" w:color="auto" w:sz="4" w:space="0"/>
              <w:bottom w:val="single" w:color="auto" w:sz="4" w:space="0"/>
              <w:right w:val="single" w:color="auto" w:sz="4" w:space="0"/>
            </w:tcBorders>
            <w:noWrap/>
            <w:vAlign w:val="center"/>
          </w:tcPr>
          <w:p w14:paraId="12C7698E">
            <w:pPr>
              <w:rPr>
                <w:rFonts w:ascii="仿宋" w:hAnsi="仿宋" w:eastAsia="仿宋" w:cs="仿宋"/>
                <w:color w:val="000000"/>
                <w:sz w:val="22"/>
                <w:szCs w:val="22"/>
              </w:rPr>
            </w:pPr>
            <w:r>
              <w:rPr>
                <w:rFonts w:hint="eastAsia" w:ascii="仿宋" w:hAnsi="仿宋" w:eastAsia="仿宋" w:cs="仿宋"/>
                <w:color w:val="000000"/>
                <w:sz w:val="22"/>
                <w:szCs w:val="22"/>
              </w:rPr>
              <w:t>[40,50)</w:t>
            </w:r>
          </w:p>
        </w:tc>
        <w:tc>
          <w:tcPr>
            <w:tcW w:w="1587" w:type="dxa"/>
            <w:tcBorders>
              <w:top w:val="single" w:color="auto" w:sz="4" w:space="0"/>
              <w:left w:val="nil"/>
              <w:bottom w:val="single" w:color="auto" w:sz="4" w:space="0"/>
              <w:right w:val="single" w:color="auto" w:sz="4" w:space="0"/>
            </w:tcBorders>
            <w:vAlign w:val="center"/>
          </w:tcPr>
          <w:p w14:paraId="28EB1460">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2260D2B6">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5A0217FE">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20B36A8F">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noWrap/>
            <w:vAlign w:val="center"/>
          </w:tcPr>
          <w:p w14:paraId="38D2F6A2">
            <w:pPr>
              <w:jc w:val="center"/>
              <w:rPr>
                <w:rFonts w:ascii="仿宋" w:hAnsi="仿宋" w:eastAsia="仿宋" w:cs="仿宋"/>
                <w:color w:val="000000"/>
                <w:sz w:val="22"/>
                <w:szCs w:val="22"/>
              </w:rPr>
            </w:pPr>
          </w:p>
        </w:tc>
        <w:tc>
          <w:tcPr>
            <w:tcW w:w="737" w:type="dxa"/>
            <w:tcBorders>
              <w:top w:val="single" w:color="auto" w:sz="4" w:space="0"/>
              <w:left w:val="nil"/>
              <w:bottom w:val="single" w:color="auto" w:sz="4" w:space="0"/>
              <w:right w:val="single" w:color="auto" w:sz="4" w:space="0"/>
            </w:tcBorders>
            <w:noWrap/>
            <w:vAlign w:val="center"/>
          </w:tcPr>
          <w:p w14:paraId="0971EF73">
            <w:pPr>
              <w:jc w:val="center"/>
              <w:rPr>
                <w:rFonts w:ascii="仿宋" w:hAnsi="仿宋" w:eastAsia="仿宋" w:cs="仿宋"/>
                <w:color w:val="000000"/>
                <w:sz w:val="22"/>
                <w:szCs w:val="22"/>
              </w:rPr>
            </w:pPr>
          </w:p>
        </w:tc>
      </w:tr>
      <w:tr w14:paraId="0C3ECFD5">
        <w:tblPrEx>
          <w:tblCellMar>
            <w:top w:w="0" w:type="dxa"/>
            <w:left w:w="108" w:type="dxa"/>
            <w:bottom w:w="0" w:type="dxa"/>
            <w:right w:w="108" w:type="dxa"/>
          </w:tblCellMar>
        </w:tblPrEx>
        <w:trPr>
          <w:trHeight w:val="288" w:hRule="atLeast"/>
        </w:trPr>
        <w:tc>
          <w:tcPr>
            <w:tcW w:w="1542" w:type="dxa"/>
            <w:tcBorders>
              <w:top w:val="single" w:color="auto" w:sz="4" w:space="0"/>
              <w:left w:val="single" w:color="auto" w:sz="4" w:space="0"/>
              <w:bottom w:val="single" w:color="auto" w:sz="4" w:space="0"/>
              <w:right w:val="single" w:color="auto" w:sz="4" w:space="0"/>
            </w:tcBorders>
            <w:noWrap/>
            <w:vAlign w:val="center"/>
          </w:tcPr>
          <w:p w14:paraId="1D9E3775">
            <w:pPr>
              <w:rPr>
                <w:rFonts w:ascii="仿宋" w:hAnsi="仿宋" w:eastAsia="仿宋" w:cs="仿宋"/>
                <w:color w:val="000000"/>
                <w:sz w:val="22"/>
                <w:szCs w:val="22"/>
              </w:rPr>
            </w:pPr>
            <w:r>
              <w:rPr>
                <w:rFonts w:hint="eastAsia" w:ascii="仿宋" w:hAnsi="仿宋" w:eastAsia="仿宋" w:cs="仿宋"/>
                <w:color w:val="000000"/>
                <w:sz w:val="22"/>
                <w:szCs w:val="22"/>
              </w:rPr>
              <w:t>[50,60)</w:t>
            </w:r>
          </w:p>
        </w:tc>
        <w:tc>
          <w:tcPr>
            <w:tcW w:w="1587" w:type="dxa"/>
            <w:tcBorders>
              <w:top w:val="single" w:color="auto" w:sz="4" w:space="0"/>
              <w:left w:val="nil"/>
              <w:bottom w:val="single" w:color="auto" w:sz="4" w:space="0"/>
              <w:right w:val="single" w:color="auto" w:sz="4" w:space="0"/>
            </w:tcBorders>
            <w:vAlign w:val="center"/>
          </w:tcPr>
          <w:p w14:paraId="5B19D428">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26F50380">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2C59F12F">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3C91B3E7">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noWrap/>
            <w:vAlign w:val="center"/>
          </w:tcPr>
          <w:p w14:paraId="4B1503AE">
            <w:pPr>
              <w:jc w:val="center"/>
              <w:rPr>
                <w:rFonts w:ascii="仿宋" w:hAnsi="仿宋" w:eastAsia="仿宋" w:cs="仿宋"/>
                <w:color w:val="000000"/>
                <w:sz w:val="22"/>
                <w:szCs w:val="22"/>
              </w:rPr>
            </w:pPr>
          </w:p>
        </w:tc>
        <w:tc>
          <w:tcPr>
            <w:tcW w:w="737" w:type="dxa"/>
            <w:tcBorders>
              <w:top w:val="single" w:color="auto" w:sz="4" w:space="0"/>
              <w:left w:val="nil"/>
              <w:bottom w:val="single" w:color="auto" w:sz="4" w:space="0"/>
              <w:right w:val="single" w:color="auto" w:sz="4" w:space="0"/>
            </w:tcBorders>
            <w:noWrap/>
            <w:vAlign w:val="center"/>
          </w:tcPr>
          <w:p w14:paraId="7DD3288B">
            <w:pPr>
              <w:jc w:val="center"/>
              <w:rPr>
                <w:rFonts w:ascii="仿宋" w:hAnsi="仿宋" w:eastAsia="仿宋" w:cs="仿宋"/>
                <w:color w:val="000000"/>
                <w:sz w:val="22"/>
                <w:szCs w:val="22"/>
              </w:rPr>
            </w:pPr>
          </w:p>
        </w:tc>
      </w:tr>
      <w:tr w14:paraId="0347B3BF">
        <w:tblPrEx>
          <w:tblCellMar>
            <w:top w:w="0" w:type="dxa"/>
            <w:left w:w="108" w:type="dxa"/>
            <w:bottom w:w="0" w:type="dxa"/>
            <w:right w:w="108" w:type="dxa"/>
          </w:tblCellMar>
        </w:tblPrEx>
        <w:trPr>
          <w:trHeight w:val="288" w:hRule="atLeast"/>
        </w:trPr>
        <w:tc>
          <w:tcPr>
            <w:tcW w:w="1542" w:type="dxa"/>
            <w:tcBorders>
              <w:top w:val="single" w:color="auto" w:sz="4" w:space="0"/>
              <w:left w:val="single" w:color="auto" w:sz="4" w:space="0"/>
              <w:bottom w:val="single" w:color="auto" w:sz="4" w:space="0"/>
              <w:right w:val="single" w:color="auto" w:sz="4" w:space="0"/>
            </w:tcBorders>
            <w:noWrap/>
            <w:vAlign w:val="center"/>
          </w:tcPr>
          <w:p w14:paraId="56E0DE97">
            <w:pPr>
              <w:rPr>
                <w:rFonts w:ascii="仿宋" w:hAnsi="仿宋" w:eastAsia="仿宋" w:cs="仿宋"/>
                <w:color w:val="000000"/>
                <w:sz w:val="22"/>
                <w:szCs w:val="22"/>
              </w:rPr>
            </w:pPr>
            <w:r>
              <w:rPr>
                <w:rFonts w:hint="eastAsia" w:ascii="仿宋" w:hAnsi="仿宋" w:eastAsia="仿宋" w:cs="仿宋"/>
                <w:color w:val="000000"/>
                <w:sz w:val="22"/>
                <w:szCs w:val="22"/>
              </w:rPr>
              <w:t>[60,100]</w:t>
            </w:r>
          </w:p>
        </w:tc>
        <w:tc>
          <w:tcPr>
            <w:tcW w:w="1587" w:type="dxa"/>
            <w:tcBorders>
              <w:top w:val="single" w:color="auto" w:sz="4" w:space="0"/>
              <w:left w:val="nil"/>
              <w:bottom w:val="single" w:color="auto" w:sz="4" w:space="0"/>
              <w:right w:val="single" w:color="auto" w:sz="4" w:space="0"/>
            </w:tcBorders>
            <w:vAlign w:val="center"/>
          </w:tcPr>
          <w:p w14:paraId="35C38EE3">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2355B949">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vAlign w:val="center"/>
          </w:tcPr>
          <w:p w14:paraId="375B3F97">
            <w:pPr>
              <w:jc w:val="center"/>
              <w:rPr>
                <w:rFonts w:ascii="仿宋" w:hAnsi="仿宋" w:eastAsia="仿宋" w:cs="仿宋"/>
                <w:color w:val="000000"/>
                <w:sz w:val="22"/>
                <w:szCs w:val="22"/>
              </w:rPr>
            </w:pPr>
          </w:p>
        </w:tc>
        <w:tc>
          <w:tcPr>
            <w:tcW w:w="737" w:type="dxa"/>
            <w:tcBorders>
              <w:top w:val="single" w:color="auto" w:sz="4" w:space="0"/>
              <w:left w:val="single" w:color="auto" w:sz="4" w:space="0"/>
              <w:bottom w:val="single" w:color="auto" w:sz="4" w:space="0"/>
              <w:right w:val="single" w:color="auto" w:sz="4" w:space="0"/>
            </w:tcBorders>
            <w:vAlign w:val="center"/>
          </w:tcPr>
          <w:p w14:paraId="61AFF424">
            <w:pPr>
              <w:jc w:val="center"/>
              <w:rPr>
                <w:rFonts w:ascii="仿宋" w:hAnsi="仿宋" w:eastAsia="仿宋" w:cs="仿宋"/>
                <w:color w:val="000000"/>
                <w:sz w:val="22"/>
                <w:szCs w:val="22"/>
              </w:rPr>
            </w:pPr>
          </w:p>
        </w:tc>
        <w:tc>
          <w:tcPr>
            <w:tcW w:w="1587" w:type="dxa"/>
            <w:tcBorders>
              <w:top w:val="single" w:color="auto" w:sz="4" w:space="0"/>
              <w:left w:val="nil"/>
              <w:bottom w:val="single" w:color="auto" w:sz="4" w:space="0"/>
              <w:right w:val="single" w:color="auto" w:sz="4" w:space="0"/>
            </w:tcBorders>
            <w:noWrap/>
            <w:vAlign w:val="center"/>
          </w:tcPr>
          <w:p w14:paraId="1A7AE1D0">
            <w:pPr>
              <w:jc w:val="center"/>
              <w:rPr>
                <w:rFonts w:ascii="仿宋" w:hAnsi="仿宋" w:eastAsia="仿宋" w:cs="仿宋"/>
                <w:color w:val="000000"/>
                <w:sz w:val="22"/>
                <w:szCs w:val="22"/>
              </w:rPr>
            </w:pPr>
          </w:p>
        </w:tc>
        <w:tc>
          <w:tcPr>
            <w:tcW w:w="737" w:type="dxa"/>
            <w:tcBorders>
              <w:top w:val="single" w:color="auto" w:sz="4" w:space="0"/>
              <w:left w:val="nil"/>
              <w:bottom w:val="single" w:color="auto" w:sz="4" w:space="0"/>
              <w:right w:val="single" w:color="auto" w:sz="4" w:space="0"/>
            </w:tcBorders>
            <w:noWrap/>
            <w:vAlign w:val="center"/>
          </w:tcPr>
          <w:p w14:paraId="0121BD27">
            <w:pPr>
              <w:jc w:val="center"/>
              <w:rPr>
                <w:rFonts w:ascii="仿宋" w:hAnsi="仿宋" w:eastAsia="仿宋" w:cs="仿宋"/>
                <w:color w:val="000000"/>
                <w:sz w:val="22"/>
                <w:szCs w:val="22"/>
              </w:rPr>
            </w:pPr>
          </w:p>
        </w:tc>
      </w:tr>
    </w:tbl>
    <w:p w14:paraId="533337A4">
      <w:pPr>
        <w:jc w:val="both"/>
        <w:rPr>
          <w:rFonts w:ascii="仿宋" w:hAnsi="仿宋" w:eastAsia="仿宋" w:cs="仿宋"/>
          <w:b/>
          <w:color w:val="000000"/>
        </w:rPr>
      </w:pPr>
    </w:p>
    <w:p w14:paraId="662D56D8">
      <w:pPr>
        <w:jc w:val="both"/>
        <w:rPr>
          <w:rFonts w:ascii="仿宋" w:hAnsi="仿宋" w:eastAsia="仿宋" w:cs="仿宋"/>
          <w:b/>
          <w:color w:val="000000"/>
        </w:rPr>
      </w:pPr>
      <w:r>
        <w:rPr>
          <w:rFonts w:hint="eastAsia" w:ascii="仿宋" w:hAnsi="仿宋" w:eastAsia="仿宋" w:cs="仿宋"/>
          <w:b/>
          <w:color w:val="000000"/>
        </w:rPr>
        <w:t>附件5：资产回收现金流预测表</w:t>
      </w:r>
    </w:p>
    <w:tbl>
      <w:tblPr>
        <w:tblStyle w:val="10"/>
        <w:tblW w:w="5004"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132"/>
        <w:gridCol w:w="2132"/>
        <w:gridCol w:w="2132"/>
        <w:gridCol w:w="2133"/>
      </w:tblGrid>
      <w:tr w14:paraId="29A06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250" w:type="pct"/>
            <w:vAlign w:val="center"/>
          </w:tcPr>
          <w:p w14:paraId="6B89DD6E">
            <w:pPr>
              <w:rPr>
                <w:rFonts w:ascii="仿宋" w:hAnsi="仿宋" w:eastAsia="仿宋" w:cs="仿宋"/>
                <w:color w:val="000000"/>
                <w:sz w:val="22"/>
                <w:szCs w:val="22"/>
              </w:rPr>
            </w:pPr>
          </w:p>
        </w:tc>
        <w:tc>
          <w:tcPr>
            <w:tcW w:w="1250" w:type="pct"/>
            <w:vAlign w:val="center"/>
          </w:tcPr>
          <w:p w14:paraId="31F2B41B">
            <w:pPr>
              <w:rPr>
                <w:rFonts w:ascii="仿宋" w:hAnsi="仿宋" w:eastAsia="仿宋" w:cs="仿宋"/>
                <w:color w:val="000000"/>
                <w:sz w:val="22"/>
                <w:szCs w:val="22"/>
              </w:rPr>
            </w:pPr>
            <w:r>
              <w:rPr>
                <w:rFonts w:hint="eastAsia" w:ascii="仿宋" w:hAnsi="仿宋" w:eastAsia="仿宋" w:cs="仿宋"/>
                <w:color w:val="000000"/>
                <w:sz w:val="22"/>
                <w:szCs w:val="22"/>
              </w:rPr>
              <w:t>期初本息余额</w:t>
            </w:r>
          </w:p>
        </w:tc>
        <w:tc>
          <w:tcPr>
            <w:tcW w:w="1250" w:type="pct"/>
            <w:vAlign w:val="center"/>
          </w:tcPr>
          <w:p w14:paraId="70A69A28">
            <w:pPr>
              <w:rPr>
                <w:rFonts w:ascii="仿宋" w:hAnsi="仿宋" w:eastAsia="仿宋" w:cs="仿宋"/>
                <w:color w:val="000000"/>
                <w:sz w:val="22"/>
                <w:szCs w:val="22"/>
              </w:rPr>
            </w:pPr>
            <w:r>
              <w:rPr>
                <w:rFonts w:hint="eastAsia" w:ascii="仿宋" w:hAnsi="仿宋" w:eastAsia="仿宋" w:cs="仿宋"/>
                <w:color w:val="000000"/>
                <w:sz w:val="22"/>
                <w:szCs w:val="22"/>
              </w:rPr>
              <w:t>本期预计回收金额</w:t>
            </w:r>
          </w:p>
        </w:tc>
        <w:tc>
          <w:tcPr>
            <w:tcW w:w="1250" w:type="pct"/>
            <w:vAlign w:val="center"/>
          </w:tcPr>
          <w:p w14:paraId="1A55A854">
            <w:pPr>
              <w:rPr>
                <w:rFonts w:ascii="仿宋" w:hAnsi="仿宋" w:eastAsia="仿宋" w:cs="仿宋"/>
                <w:color w:val="000000"/>
                <w:sz w:val="22"/>
                <w:szCs w:val="22"/>
              </w:rPr>
            </w:pPr>
            <w:r>
              <w:rPr>
                <w:rFonts w:hint="eastAsia" w:ascii="仿宋" w:hAnsi="仿宋" w:eastAsia="仿宋" w:cs="仿宋"/>
                <w:color w:val="000000"/>
                <w:sz w:val="22"/>
                <w:szCs w:val="22"/>
              </w:rPr>
              <w:t>期末本息余额</w:t>
            </w:r>
          </w:p>
        </w:tc>
      </w:tr>
      <w:tr w14:paraId="713AB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7A93662B">
            <w:pPr>
              <w:rPr>
                <w:rFonts w:ascii="仿宋" w:hAnsi="仿宋" w:eastAsia="仿宋" w:cs="仿宋"/>
                <w:color w:val="000000"/>
                <w:sz w:val="22"/>
                <w:szCs w:val="22"/>
              </w:rPr>
            </w:pPr>
            <w:r>
              <w:rPr>
                <w:rFonts w:hint="eastAsia" w:ascii="仿宋" w:hAnsi="仿宋" w:eastAsia="仿宋" w:cs="仿宋"/>
                <w:color w:val="000000"/>
                <w:sz w:val="22"/>
                <w:szCs w:val="22"/>
              </w:rPr>
              <w:t>2016/1/6</w:t>
            </w:r>
            <w:r>
              <w:rPr>
                <w:rFonts w:hint="eastAsia" w:ascii="仿宋" w:hAnsi="仿宋" w:eastAsia="仿宋" w:cs="仿宋"/>
                <w:color w:val="000000"/>
                <w:sz w:val="22"/>
                <w:szCs w:val="22"/>
                <w:vertAlign w:val="superscript"/>
              </w:rPr>
              <w:footnoteReference w:id="34"/>
            </w:r>
          </w:p>
        </w:tc>
        <w:tc>
          <w:tcPr>
            <w:tcW w:w="1250" w:type="pct"/>
            <w:vAlign w:val="center"/>
          </w:tcPr>
          <w:p w14:paraId="0B36DC2E">
            <w:pPr>
              <w:rPr>
                <w:rFonts w:ascii="仿宋" w:hAnsi="仿宋" w:eastAsia="仿宋" w:cs="仿宋"/>
                <w:color w:val="000000"/>
                <w:sz w:val="22"/>
                <w:szCs w:val="22"/>
              </w:rPr>
            </w:pPr>
          </w:p>
        </w:tc>
        <w:tc>
          <w:tcPr>
            <w:tcW w:w="1250" w:type="pct"/>
            <w:vAlign w:val="center"/>
          </w:tcPr>
          <w:p w14:paraId="1C424C59">
            <w:pPr>
              <w:rPr>
                <w:rFonts w:ascii="仿宋" w:hAnsi="仿宋" w:eastAsia="仿宋" w:cs="仿宋"/>
                <w:color w:val="000000"/>
                <w:sz w:val="22"/>
                <w:szCs w:val="22"/>
              </w:rPr>
            </w:pPr>
          </w:p>
        </w:tc>
        <w:tc>
          <w:tcPr>
            <w:tcW w:w="1250" w:type="pct"/>
            <w:vAlign w:val="center"/>
          </w:tcPr>
          <w:p w14:paraId="5DD4C0D9">
            <w:pPr>
              <w:rPr>
                <w:rFonts w:ascii="仿宋" w:hAnsi="仿宋" w:eastAsia="仿宋" w:cs="仿宋"/>
                <w:color w:val="000000"/>
                <w:sz w:val="22"/>
                <w:szCs w:val="22"/>
              </w:rPr>
            </w:pPr>
          </w:p>
        </w:tc>
      </w:tr>
      <w:tr w14:paraId="49A95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7FF7287C">
            <w:pPr>
              <w:rPr>
                <w:rFonts w:ascii="仿宋" w:hAnsi="仿宋" w:eastAsia="仿宋" w:cs="仿宋"/>
                <w:color w:val="000000"/>
                <w:sz w:val="22"/>
                <w:szCs w:val="22"/>
              </w:rPr>
            </w:pPr>
            <w:r>
              <w:rPr>
                <w:rFonts w:hint="eastAsia" w:ascii="仿宋" w:hAnsi="仿宋" w:eastAsia="仿宋" w:cs="仿宋"/>
                <w:color w:val="000000"/>
                <w:sz w:val="22"/>
                <w:szCs w:val="22"/>
              </w:rPr>
              <w:t>2016/6/30</w:t>
            </w:r>
          </w:p>
        </w:tc>
        <w:tc>
          <w:tcPr>
            <w:tcW w:w="1250" w:type="pct"/>
            <w:vAlign w:val="center"/>
          </w:tcPr>
          <w:p w14:paraId="2CFBFC6C">
            <w:pPr>
              <w:rPr>
                <w:rFonts w:ascii="仿宋" w:hAnsi="仿宋" w:eastAsia="仿宋" w:cs="仿宋"/>
                <w:color w:val="000000"/>
                <w:sz w:val="22"/>
                <w:szCs w:val="22"/>
              </w:rPr>
            </w:pPr>
          </w:p>
        </w:tc>
        <w:tc>
          <w:tcPr>
            <w:tcW w:w="1250" w:type="pct"/>
            <w:vAlign w:val="center"/>
          </w:tcPr>
          <w:p w14:paraId="31F5A49B">
            <w:pPr>
              <w:rPr>
                <w:rFonts w:ascii="仿宋" w:hAnsi="仿宋" w:eastAsia="仿宋" w:cs="仿宋"/>
                <w:color w:val="000000"/>
                <w:sz w:val="22"/>
                <w:szCs w:val="22"/>
              </w:rPr>
            </w:pPr>
          </w:p>
        </w:tc>
        <w:tc>
          <w:tcPr>
            <w:tcW w:w="1250" w:type="pct"/>
            <w:vAlign w:val="center"/>
          </w:tcPr>
          <w:p w14:paraId="2E45CF27">
            <w:pPr>
              <w:rPr>
                <w:rFonts w:ascii="仿宋" w:hAnsi="仿宋" w:eastAsia="仿宋" w:cs="仿宋"/>
                <w:color w:val="000000"/>
                <w:sz w:val="22"/>
                <w:szCs w:val="22"/>
              </w:rPr>
            </w:pPr>
          </w:p>
        </w:tc>
      </w:tr>
      <w:tr w14:paraId="41837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60CAACEE">
            <w:pPr>
              <w:rPr>
                <w:rFonts w:ascii="仿宋" w:hAnsi="仿宋" w:eastAsia="仿宋" w:cs="仿宋"/>
                <w:color w:val="000000"/>
                <w:sz w:val="22"/>
                <w:szCs w:val="22"/>
              </w:rPr>
            </w:pPr>
            <w:r>
              <w:rPr>
                <w:rFonts w:hint="eastAsia" w:ascii="仿宋" w:hAnsi="仿宋" w:eastAsia="仿宋" w:cs="仿宋"/>
                <w:color w:val="000000"/>
                <w:sz w:val="22"/>
                <w:szCs w:val="22"/>
              </w:rPr>
              <w:t>2016/12/31</w:t>
            </w:r>
          </w:p>
        </w:tc>
        <w:tc>
          <w:tcPr>
            <w:tcW w:w="1250" w:type="pct"/>
            <w:vAlign w:val="center"/>
          </w:tcPr>
          <w:p w14:paraId="4B620469">
            <w:pPr>
              <w:rPr>
                <w:rFonts w:ascii="仿宋" w:hAnsi="仿宋" w:eastAsia="仿宋" w:cs="仿宋"/>
                <w:color w:val="000000"/>
                <w:sz w:val="22"/>
                <w:szCs w:val="22"/>
              </w:rPr>
            </w:pPr>
          </w:p>
        </w:tc>
        <w:tc>
          <w:tcPr>
            <w:tcW w:w="1250" w:type="pct"/>
            <w:vAlign w:val="center"/>
          </w:tcPr>
          <w:p w14:paraId="4696C627">
            <w:pPr>
              <w:rPr>
                <w:rFonts w:ascii="仿宋" w:hAnsi="仿宋" w:eastAsia="仿宋" w:cs="仿宋"/>
                <w:color w:val="000000"/>
                <w:sz w:val="22"/>
                <w:szCs w:val="22"/>
              </w:rPr>
            </w:pPr>
          </w:p>
        </w:tc>
        <w:tc>
          <w:tcPr>
            <w:tcW w:w="1250" w:type="pct"/>
            <w:vAlign w:val="center"/>
          </w:tcPr>
          <w:p w14:paraId="5C93DCDE">
            <w:pPr>
              <w:rPr>
                <w:rFonts w:ascii="仿宋" w:hAnsi="仿宋" w:eastAsia="仿宋" w:cs="仿宋"/>
                <w:color w:val="000000"/>
                <w:sz w:val="22"/>
                <w:szCs w:val="22"/>
              </w:rPr>
            </w:pPr>
          </w:p>
        </w:tc>
      </w:tr>
      <w:tr w14:paraId="688C7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582C8302">
            <w:pPr>
              <w:rPr>
                <w:rFonts w:ascii="仿宋" w:hAnsi="仿宋" w:eastAsia="仿宋" w:cs="仿宋"/>
                <w:color w:val="000000"/>
                <w:sz w:val="22"/>
                <w:szCs w:val="22"/>
              </w:rPr>
            </w:pPr>
            <w:r>
              <w:rPr>
                <w:rFonts w:hint="eastAsia" w:ascii="仿宋" w:hAnsi="仿宋" w:eastAsia="仿宋" w:cs="仿宋"/>
                <w:color w:val="000000"/>
                <w:sz w:val="22"/>
                <w:szCs w:val="22"/>
              </w:rPr>
              <w:t>2017/6/30</w:t>
            </w:r>
          </w:p>
        </w:tc>
        <w:tc>
          <w:tcPr>
            <w:tcW w:w="1250" w:type="pct"/>
            <w:vAlign w:val="center"/>
          </w:tcPr>
          <w:p w14:paraId="7CFD592D">
            <w:pPr>
              <w:rPr>
                <w:rFonts w:ascii="仿宋" w:hAnsi="仿宋" w:eastAsia="仿宋" w:cs="仿宋"/>
                <w:color w:val="000000"/>
                <w:sz w:val="22"/>
                <w:szCs w:val="22"/>
              </w:rPr>
            </w:pPr>
          </w:p>
        </w:tc>
        <w:tc>
          <w:tcPr>
            <w:tcW w:w="1250" w:type="pct"/>
            <w:vAlign w:val="center"/>
          </w:tcPr>
          <w:p w14:paraId="5C5BA4F9">
            <w:pPr>
              <w:rPr>
                <w:rFonts w:ascii="仿宋" w:hAnsi="仿宋" w:eastAsia="仿宋" w:cs="仿宋"/>
                <w:color w:val="000000"/>
                <w:sz w:val="22"/>
                <w:szCs w:val="22"/>
              </w:rPr>
            </w:pPr>
          </w:p>
        </w:tc>
        <w:tc>
          <w:tcPr>
            <w:tcW w:w="1250" w:type="pct"/>
            <w:vAlign w:val="center"/>
          </w:tcPr>
          <w:p w14:paraId="2210A760">
            <w:pPr>
              <w:rPr>
                <w:rFonts w:ascii="仿宋" w:hAnsi="仿宋" w:eastAsia="仿宋" w:cs="仿宋"/>
                <w:color w:val="000000"/>
                <w:sz w:val="22"/>
                <w:szCs w:val="22"/>
              </w:rPr>
            </w:pPr>
          </w:p>
        </w:tc>
      </w:tr>
      <w:tr w14:paraId="535EC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3559A997">
            <w:pPr>
              <w:rPr>
                <w:rFonts w:ascii="仿宋" w:hAnsi="仿宋" w:eastAsia="仿宋" w:cs="仿宋"/>
                <w:color w:val="000000"/>
                <w:sz w:val="22"/>
                <w:szCs w:val="22"/>
              </w:rPr>
            </w:pPr>
            <w:r>
              <w:rPr>
                <w:rFonts w:hint="eastAsia" w:ascii="仿宋" w:hAnsi="仿宋" w:eastAsia="仿宋" w:cs="仿宋"/>
                <w:color w:val="000000"/>
                <w:sz w:val="22"/>
                <w:szCs w:val="22"/>
              </w:rPr>
              <w:t>2017/12/31</w:t>
            </w:r>
          </w:p>
        </w:tc>
        <w:tc>
          <w:tcPr>
            <w:tcW w:w="1250" w:type="pct"/>
            <w:vAlign w:val="center"/>
          </w:tcPr>
          <w:p w14:paraId="0A69F24B">
            <w:pPr>
              <w:rPr>
                <w:rFonts w:ascii="仿宋" w:hAnsi="仿宋" w:eastAsia="仿宋" w:cs="仿宋"/>
                <w:color w:val="000000"/>
                <w:sz w:val="22"/>
                <w:szCs w:val="22"/>
              </w:rPr>
            </w:pPr>
          </w:p>
        </w:tc>
        <w:tc>
          <w:tcPr>
            <w:tcW w:w="1250" w:type="pct"/>
            <w:vAlign w:val="center"/>
          </w:tcPr>
          <w:p w14:paraId="1AFF832C">
            <w:pPr>
              <w:rPr>
                <w:rFonts w:ascii="仿宋" w:hAnsi="仿宋" w:eastAsia="仿宋" w:cs="仿宋"/>
                <w:color w:val="000000"/>
                <w:sz w:val="22"/>
                <w:szCs w:val="22"/>
              </w:rPr>
            </w:pPr>
          </w:p>
        </w:tc>
        <w:tc>
          <w:tcPr>
            <w:tcW w:w="1250" w:type="pct"/>
            <w:vAlign w:val="center"/>
          </w:tcPr>
          <w:p w14:paraId="2AB608E2">
            <w:pPr>
              <w:rPr>
                <w:rFonts w:ascii="仿宋" w:hAnsi="仿宋" w:eastAsia="仿宋" w:cs="仿宋"/>
                <w:color w:val="000000"/>
                <w:sz w:val="22"/>
                <w:szCs w:val="22"/>
              </w:rPr>
            </w:pPr>
          </w:p>
        </w:tc>
      </w:tr>
      <w:tr w14:paraId="10A68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00" w:hRule="atLeast"/>
        </w:trPr>
        <w:tc>
          <w:tcPr>
            <w:tcW w:w="1250" w:type="pct"/>
            <w:vAlign w:val="center"/>
          </w:tcPr>
          <w:p w14:paraId="5A9FDBFE">
            <w:pPr>
              <w:rPr>
                <w:rFonts w:ascii="仿宋" w:hAnsi="仿宋" w:eastAsia="仿宋" w:cs="仿宋"/>
                <w:color w:val="000000"/>
                <w:sz w:val="22"/>
                <w:szCs w:val="22"/>
              </w:rPr>
            </w:pPr>
            <w:r>
              <w:rPr>
                <w:rFonts w:hint="eastAsia" w:ascii="仿宋" w:hAnsi="仿宋" w:eastAsia="仿宋" w:cs="仿宋"/>
                <w:color w:val="000000"/>
                <w:sz w:val="22"/>
                <w:szCs w:val="22"/>
              </w:rPr>
              <w:t>2018/6/30</w:t>
            </w:r>
          </w:p>
        </w:tc>
        <w:tc>
          <w:tcPr>
            <w:tcW w:w="1250" w:type="pct"/>
            <w:vAlign w:val="center"/>
          </w:tcPr>
          <w:p w14:paraId="52D6B0EE">
            <w:pPr>
              <w:rPr>
                <w:rFonts w:ascii="仿宋" w:hAnsi="仿宋" w:eastAsia="仿宋" w:cs="仿宋"/>
                <w:color w:val="000000"/>
                <w:sz w:val="22"/>
                <w:szCs w:val="22"/>
              </w:rPr>
            </w:pPr>
          </w:p>
        </w:tc>
        <w:tc>
          <w:tcPr>
            <w:tcW w:w="1250" w:type="pct"/>
            <w:vAlign w:val="center"/>
          </w:tcPr>
          <w:p w14:paraId="3C0AAE16">
            <w:pPr>
              <w:rPr>
                <w:rFonts w:ascii="仿宋" w:hAnsi="仿宋" w:eastAsia="仿宋" w:cs="仿宋"/>
                <w:color w:val="000000"/>
                <w:sz w:val="22"/>
                <w:szCs w:val="22"/>
              </w:rPr>
            </w:pPr>
          </w:p>
        </w:tc>
        <w:tc>
          <w:tcPr>
            <w:tcW w:w="1250" w:type="pct"/>
            <w:vAlign w:val="center"/>
          </w:tcPr>
          <w:p w14:paraId="16E4984A">
            <w:pPr>
              <w:rPr>
                <w:rFonts w:ascii="仿宋" w:hAnsi="仿宋" w:eastAsia="仿宋" w:cs="仿宋"/>
                <w:color w:val="000000"/>
                <w:sz w:val="22"/>
                <w:szCs w:val="22"/>
              </w:rPr>
            </w:pPr>
          </w:p>
        </w:tc>
      </w:tr>
      <w:tr w14:paraId="425F4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75DB59F3">
            <w:pPr>
              <w:rPr>
                <w:rFonts w:ascii="仿宋" w:hAnsi="仿宋" w:eastAsia="仿宋" w:cs="仿宋"/>
                <w:color w:val="000000"/>
                <w:sz w:val="22"/>
                <w:szCs w:val="22"/>
              </w:rPr>
            </w:pPr>
            <w:r>
              <w:rPr>
                <w:rFonts w:hint="eastAsia" w:ascii="仿宋" w:hAnsi="仿宋" w:eastAsia="仿宋" w:cs="仿宋"/>
                <w:color w:val="000000"/>
                <w:sz w:val="22"/>
                <w:szCs w:val="22"/>
              </w:rPr>
              <w:t>2018/12/31</w:t>
            </w:r>
            <w:r>
              <w:rPr>
                <w:rStyle w:val="17"/>
                <w:rFonts w:hint="eastAsia" w:ascii="仿宋" w:hAnsi="仿宋" w:eastAsia="仿宋" w:cs="仿宋"/>
                <w:color w:val="000000"/>
                <w:sz w:val="22"/>
                <w:szCs w:val="22"/>
              </w:rPr>
              <w:footnoteReference w:id="35"/>
            </w:r>
          </w:p>
        </w:tc>
        <w:tc>
          <w:tcPr>
            <w:tcW w:w="1250" w:type="pct"/>
            <w:vAlign w:val="center"/>
          </w:tcPr>
          <w:p w14:paraId="5E23A161">
            <w:pPr>
              <w:rPr>
                <w:rFonts w:ascii="仿宋" w:hAnsi="仿宋" w:eastAsia="仿宋" w:cs="仿宋"/>
                <w:color w:val="000000"/>
                <w:sz w:val="22"/>
                <w:szCs w:val="22"/>
              </w:rPr>
            </w:pPr>
          </w:p>
        </w:tc>
        <w:tc>
          <w:tcPr>
            <w:tcW w:w="1250" w:type="pct"/>
            <w:vAlign w:val="center"/>
          </w:tcPr>
          <w:p w14:paraId="590BFD17">
            <w:pPr>
              <w:rPr>
                <w:rFonts w:ascii="仿宋" w:hAnsi="仿宋" w:eastAsia="仿宋" w:cs="仿宋"/>
                <w:color w:val="000000"/>
                <w:sz w:val="22"/>
                <w:szCs w:val="22"/>
              </w:rPr>
            </w:pPr>
          </w:p>
        </w:tc>
        <w:tc>
          <w:tcPr>
            <w:tcW w:w="1250" w:type="pct"/>
            <w:vAlign w:val="center"/>
          </w:tcPr>
          <w:p w14:paraId="4BFE60DD">
            <w:pPr>
              <w:rPr>
                <w:rFonts w:ascii="仿宋" w:hAnsi="仿宋" w:eastAsia="仿宋" w:cs="仿宋"/>
                <w:color w:val="000000"/>
                <w:sz w:val="22"/>
                <w:szCs w:val="22"/>
              </w:rPr>
            </w:pPr>
          </w:p>
        </w:tc>
      </w:tr>
    </w:tbl>
    <w:p w14:paraId="49F16549">
      <w:pPr>
        <w:jc w:val="both"/>
        <w:rPr>
          <w:rFonts w:ascii="仿宋" w:hAnsi="仿宋" w:eastAsia="仿宋" w:cs="仿宋"/>
          <w:b/>
          <w:color w:val="000000"/>
        </w:rPr>
      </w:pPr>
    </w:p>
    <w:p w14:paraId="0637E38E">
      <w:pPr>
        <w:jc w:val="both"/>
        <w:rPr>
          <w:rFonts w:ascii="仿宋" w:hAnsi="仿宋" w:eastAsia="仿宋" w:cs="仿宋"/>
          <w:b/>
          <w:color w:val="000000"/>
        </w:rPr>
        <w:sectPr>
          <w:footerReference r:id="rId4" w:type="default"/>
          <w:footerReference r:id="rId5" w:type="even"/>
          <w:pgSz w:w="11906" w:h="16838"/>
          <w:pgMar w:top="1440" w:right="1800" w:bottom="1440" w:left="1800" w:header="851" w:footer="992" w:gutter="0"/>
          <w:cols w:space="425" w:num="1"/>
          <w:docGrid w:type="lines" w:linePitch="312" w:charSpace="0"/>
        </w:sectPr>
      </w:pPr>
    </w:p>
    <w:p w14:paraId="35CA3525">
      <w:pPr>
        <w:jc w:val="both"/>
        <w:rPr>
          <w:rFonts w:ascii="仿宋" w:hAnsi="仿宋" w:eastAsia="仿宋" w:cs="仿宋"/>
          <w:b/>
          <w:color w:val="000000"/>
        </w:rPr>
      </w:pPr>
      <w:r>
        <w:rPr>
          <w:rFonts w:hint="eastAsia" w:ascii="仿宋" w:hAnsi="仿宋" w:eastAsia="仿宋" w:cs="仿宋"/>
          <w:b/>
          <w:color w:val="000000"/>
        </w:rPr>
        <w:t>附件6：预计回收率占比较高借款人信息披露表——借款人信息</w:t>
      </w:r>
      <w:r>
        <w:rPr>
          <w:rStyle w:val="17"/>
          <w:rFonts w:hint="eastAsia" w:ascii="仿宋" w:hAnsi="仿宋" w:eastAsia="仿宋" w:cs="仿宋"/>
          <w:b/>
          <w:color w:val="000000"/>
        </w:rPr>
        <w:footnoteReference w:id="36"/>
      </w:r>
    </w:p>
    <w:tbl>
      <w:tblPr>
        <w:tblStyle w:val="10"/>
        <w:tblW w:w="4939" w:type="pct"/>
        <w:tblInd w:w="0" w:type="dxa"/>
        <w:tblLayout w:type="fixed"/>
        <w:tblCellMar>
          <w:top w:w="0" w:type="dxa"/>
          <w:left w:w="108" w:type="dxa"/>
          <w:bottom w:w="0" w:type="dxa"/>
          <w:right w:w="108" w:type="dxa"/>
        </w:tblCellMar>
      </w:tblPr>
      <w:tblGrid>
        <w:gridCol w:w="1670"/>
        <w:gridCol w:w="997"/>
        <w:gridCol w:w="714"/>
        <w:gridCol w:w="994"/>
        <w:gridCol w:w="636"/>
        <w:gridCol w:w="636"/>
        <w:gridCol w:w="636"/>
        <w:gridCol w:w="636"/>
        <w:gridCol w:w="1179"/>
        <w:gridCol w:w="1179"/>
        <w:gridCol w:w="1179"/>
        <w:gridCol w:w="3545"/>
      </w:tblGrid>
      <w:tr w14:paraId="70D851E7">
        <w:tblPrEx>
          <w:tblCellMar>
            <w:top w:w="0" w:type="dxa"/>
            <w:left w:w="108" w:type="dxa"/>
            <w:bottom w:w="0" w:type="dxa"/>
            <w:right w:w="108" w:type="dxa"/>
          </w:tblCellMar>
        </w:tblPrEx>
        <w:trPr>
          <w:trHeight w:val="567" w:hRule="atLeast"/>
        </w:trPr>
        <w:tc>
          <w:tcPr>
            <w:tcW w:w="596" w:type="pct"/>
            <w:tcBorders>
              <w:top w:val="single" w:color="auto" w:sz="8" w:space="0"/>
              <w:left w:val="single" w:color="auto" w:sz="8" w:space="0"/>
              <w:bottom w:val="single" w:color="auto" w:sz="8" w:space="0"/>
              <w:right w:val="single" w:color="auto" w:sz="8" w:space="0"/>
            </w:tcBorders>
            <w:noWrap/>
            <w:vAlign w:val="center"/>
          </w:tcPr>
          <w:p w14:paraId="4C01D347">
            <w:pPr>
              <w:rPr>
                <w:rFonts w:ascii="仿宋" w:hAnsi="仿宋" w:eastAsia="仿宋" w:cs="仿宋"/>
                <w:color w:val="000000"/>
                <w:sz w:val="21"/>
                <w:szCs w:val="21"/>
              </w:rPr>
            </w:pPr>
            <w:r>
              <w:rPr>
                <w:rFonts w:hint="eastAsia" w:ascii="仿宋" w:hAnsi="仿宋" w:eastAsia="仿宋" w:cs="仿宋"/>
                <w:color w:val="000000"/>
                <w:sz w:val="21"/>
                <w:szCs w:val="21"/>
              </w:rPr>
              <w:t>　</w:t>
            </w:r>
          </w:p>
        </w:tc>
        <w:tc>
          <w:tcPr>
            <w:tcW w:w="356" w:type="pct"/>
            <w:tcBorders>
              <w:top w:val="single" w:color="auto" w:sz="8" w:space="0"/>
              <w:left w:val="nil"/>
              <w:bottom w:val="single" w:color="auto" w:sz="8" w:space="0"/>
              <w:right w:val="single" w:color="auto" w:sz="8" w:space="0"/>
            </w:tcBorders>
            <w:noWrap/>
            <w:vAlign w:val="center"/>
          </w:tcPr>
          <w:p w14:paraId="425248F1">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预计总回收金额</w:t>
            </w:r>
          </w:p>
        </w:tc>
        <w:tc>
          <w:tcPr>
            <w:tcW w:w="255" w:type="pct"/>
            <w:tcBorders>
              <w:top w:val="single" w:color="auto" w:sz="8" w:space="0"/>
              <w:left w:val="nil"/>
              <w:bottom w:val="single" w:color="auto" w:sz="8" w:space="0"/>
              <w:right w:val="single" w:color="auto" w:sz="8" w:space="0"/>
            </w:tcBorders>
            <w:noWrap/>
            <w:vAlign w:val="center"/>
          </w:tcPr>
          <w:p w14:paraId="61997EC8">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占比</w:t>
            </w:r>
          </w:p>
        </w:tc>
        <w:tc>
          <w:tcPr>
            <w:tcW w:w="355" w:type="pct"/>
            <w:tcBorders>
              <w:top w:val="single" w:color="auto" w:sz="8" w:space="0"/>
              <w:left w:val="nil"/>
              <w:bottom w:val="single" w:color="auto" w:sz="8" w:space="0"/>
              <w:right w:val="single" w:color="auto" w:sz="8" w:space="0"/>
            </w:tcBorders>
            <w:noWrap/>
            <w:vAlign w:val="center"/>
          </w:tcPr>
          <w:p w14:paraId="4CE00B26">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入池未偿本息余额</w:t>
            </w:r>
          </w:p>
        </w:tc>
        <w:tc>
          <w:tcPr>
            <w:tcW w:w="227" w:type="pct"/>
            <w:tcBorders>
              <w:top w:val="single" w:color="auto" w:sz="8" w:space="0"/>
              <w:left w:val="nil"/>
              <w:bottom w:val="single" w:color="auto" w:sz="8" w:space="0"/>
              <w:right w:val="single" w:color="auto" w:sz="8" w:space="0"/>
            </w:tcBorders>
            <w:noWrap/>
            <w:vAlign w:val="center"/>
          </w:tcPr>
          <w:p w14:paraId="2AB7EA1A">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占比</w:t>
            </w:r>
          </w:p>
        </w:tc>
        <w:tc>
          <w:tcPr>
            <w:tcW w:w="227" w:type="pct"/>
            <w:tcBorders>
              <w:top w:val="single" w:color="auto" w:sz="8" w:space="0"/>
              <w:left w:val="nil"/>
              <w:bottom w:val="single" w:color="auto" w:sz="8" w:space="0"/>
              <w:right w:val="single" w:color="auto" w:sz="8" w:space="0"/>
            </w:tcBorders>
            <w:noWrap/>
            <w:vAlign w:val="center"/>
          </w:tcPr>
          <w:p w14:paraId="64619630">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预计回收时间</w:t>
            </w:r>
          </w:p>
        </w:tc>
        <w:tc>
          <w:tcPr>
            <w:tcW w:w="227" w:type="pct"/>
            <w:tcBorders>
              <w:top w:val="single" w:color="auto" w:sz="8" w:space="0"/>
              <w:left w:val="nil"/>
              <w:bottom w:val="single" w:color="auto" w:sz="8" w:space="0"/>
              <w:right w:val="single" w:color="auto" w:sz="8" w:space="0"/>
            </w:tcBorders>
            <w:noWrap/>
            <w:vAlign w:val="center"/>
          </w:tcPr>
          <w:p w14:paraId="617A973C">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地区</w:t>
            </w:r>
          </w:p>
        </w:tc>
        <w:tc>
          <w:tcPr>
            <w:tcW w:w="227" w:type="pct"/>
            <w:tcBorders>
              <w:top w:val="single" w:color="auto" w:sz="8" w:space="0"/>
              <w:left w:val="nil"/>
              <w:bottom w:val="single" w:color="auto" w:sz="8" w:space="0"/>
              <w:right w:val="single" w:color="auto" w:sz="8" w:space="0"/>
            </w:tcBorders>
            <w:noWrap/>
            <w:vAlign w:val="center"/>
          </w:tcPr>
          <w:p w14:paraId="17C4AA14">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行业</w:t>
            </w:r>
          </w:p>
        </w:tc>
        <w:tc>
          <w:tcPr>
            <w:tcW w:w="421" w:type="pct"/>
            <w:tcBorders>
              <w:top w:val="single" w:color="auto" w:sz="8" w:space="0"/>
              <w:left w:val="nil"/>
              <w:bottom w:val="single" w:color="auto" w:sz="8" w:space="0"/>
              <w:right w:val="single" w:color="auto" w:sz="8" w:space="0"/>
            </w:tcBorders>
            <w:noWrap/>
            <w:vAlign w:val="center"/>
          </w:tcPr>
          <w:p w14:paraId="7FE73364">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预计借款人自身回收金额</w:t>
            </w:r>
          </w:p>
        </w:tc>
        <w:tc>
          <w:tcPr>
            <w:tcW w:w="421" w:type="pct"/>
            <w:tcBorders>
              <w:top w:val="single" w:color="auto" w:sz="8" w:space="0"/>
              <w:left w:val="nil"/>
              <w:bottom w:val="single" w:color="auto" w:sz="8" w:space="0"/>
              <w:right w:val="single" w:color="auto" w:sz="8" w:space="0"/>
            </w:tcBorders>
            <w:noWrap/>
            <w:vAlign w:val="center"/>
          </w:tcPr>
          <w:p w14:paraId="7D6BBB99">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预计保证人回收金额</w:t>
            </w:r>
          </w:p>
        </w:tc>
        <w:tc>
          <w:tcPr>
            <w:tcW w:w="421" w:type="pct"/>
            <w:tcBorders>
              <w:top w:val="single" w:color="auto" w:sz="8" w:space="0"/>
              <w:left w:val="nil"/>
              <w:bottom w:val="single" w:color="auto" w:sz="8" w:space="0"/>
              <w:right w:val="single" w:color="auto" w:sz="8" w:space="0"/>
            </w:tcBorders>
            <w:noWrap/>
            <w:vAlign w:val="center"/>
          </w:tcPr>
          <w:p w14:paraId="0B7D356F">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预计抵（质）押物回收金额</w:t>
            </w:r>
          </w:p>
        </w:tc>
        <w:tc>
          <w:tcPr>
            <w:tcW w:w="1266" w:type="pct"/>
            <w:tcBorders>
              <w:top w:val="single" w:color="auto" w:sz="8" w:space="0"/>
              <w:left w:val="nil"/>
              <w:bottom w:val="single" w:color="auto" w:sz="8" w:space="0"/>
              <w:right w:val="single" w:color="auto" w:sz="8" w:space="0"/>
            </w:tcBorders>
            <w:noWrap/>
            <w:vAlign w:val="center"/>
          </w:tcPr>
          <w:p w14:paraId="4F24A5D6">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预期的处置方案</w:t>
            </w:r>
          </w:p>
          <w:p w14:paraId="000D3728">
            <w:pPr>
              <w:ind w:left="-6" w:leftChars="-45" w:hanging="102" w:hangingChars="51"/>
              <w:jc w:val="center"/>
              <w:rPr>
                <w:rFonts w:ascii="仿宋" w:hAnsi="仿宋" w:eastAsia="仿宋" w:cs="仿宋"/>
                <w:b/>
                <w:color w:val="000000"/>
                <w:sz w:val="20"/>
                <w:szCs w:val="22"/>
              </w:rPr>
            </w:pPr>
            <w:r>
              <w:rPr>
                <w:rFonts w:hint="eastAsia" w:ascii="仿宋" w:hAnsi="仿宋" w:eastAsia="仿宋" w:cs="仿宋"/>
                <w:b/>
                <w:color w:val="000000"/>
                <w:sz w:val="20"/>
                <w:szCs w:val="22"/>
              </w:rPr>
              <w:t>及主要回收贡献的估值依据</w:t>
            </w:r>
          </w:p>
        </w:tc>
      </w:tr>
      <w:tr w14:paraId="00E03A71">
        <w:tblPrEx>
          <w:tblCellMar>
            <w:top w:w="0" w:type="dxa"/>
            <w:left w:w="108" w:type="dxa"/>
            <w:bottom w:w="0" w:type="dxa"/>
            <w:right w:w="108" w:type="dxa"/>
          </w:tblCellMar>
        </w:tblPrEx>
        <w:trPr>
          <w:trHeight w:val="1015" w:hRule="atLeast"/>
        </w:trPr>
        <w:tc>
          <w:tcPr>
            <w:tcW w:w="596" w:type="pct"/>
            <w:tcBorders>
              <w:top w:val="nil"/>
              <w:left w:val="single" w:color="auto" w:sz="8" w:space="0"/>
              <w:bottom w:val="single" w:color="auto" w:sz="8" w:space="0"/>
              <w:right w:val="single" w:color="auto" w:sz="8" w:space="0"/>
            </w:tcBorders>
            <w:noWrap/>
            <w:vAlign w:val="center"/>
          </w:tcPr>
          <w:p w14:paraId="535F897F">
            <w:pPr>
              <w:jc w:val="center"/>
              <w:rPr>
                <w:rFonts w:ascii="仿宋" w:hAnsi="仿宋" w:eastAsia="仿宋" w:cs="仿宋"/>
                <w:color w:val="000000"/>
                <w:sz w:val="22"/>
                <w:szCs w:val="22"/>
              </w:rPr>
            </w:pPr>
            <w:r>
              <w:rPr>
                <w:rFonts w:hint="eastAsia" w:ascii="仿宋" w:hAnsi="仿宋" w:eastAsia="仿宋" w:cs="仿宋"/>
                <w:color w:val="000000"/>
                <w:sz w:val="22"/>
                <w:szCs w:val="22"/>
              </w:rPr>
              <w:t>借款人编号1</w:t>
            </w:r>
          </w:p>
        </w:tc>
        <w:tc>
          <w:tcPr>
            <w:tcW w:w="356" w:type="pct"/>
            <w:tcBorders>
              <w:top w:val="nil"/>
              <w:left w:val="nil"/>
              <w:bottom w:val="single" w:color="auto" w:sz="8" w:space="0"/>
              <w:right w:val="single" w:color="auto" w:sz="8" w:space="0"/>
            </w:tcBorders>
            <w:noWrap/>
            <w:vAlign w:val="center"/>
          </w:tcPr>
          <w:p w14:paraId="13E4DBC5">
            <w:pPr>
              <w:rPr>
                <w:rFonts w:ascii="仿宋" w:hAnsi="仿宋" w:eastAsia="仿宋" w:cs="仿宋"/>
                <w:color w:val="000000"/>
                <w:sz w:val="21"/>
                <w:szCs w:val="21"/>
              </w:rPr>
            </w:pPr>
          </w:p>
        </w:tc>
        <w:tc>
          <w:tcPr>
            <w:tcW w:w="255" w:type="pct"/>
            <w:tcBorders>
              <w:top w:val="nil"/>
              <w:left w:val="nil"/>
              <w:bottom w:val="single" w:color="auto" w:sz="8" w:space="0"/>
              <w:right w:val="single" w:color="auto" w:sz="8" w:space="0"/>
            </w:tcBorders>
            <w:noWrap/>
            <w:vAlign w:val="center"/>
          </w:tcPr>
          <w:p w14:paraId="591ADFF8">
            <w:pPr>
              <w:rPr>
                <w:rFonts w:ascii="仿宋" w:hAnsi="仿宋" w:eastAsia="仿宋" w:cs="仿宋"/>
                <w:color w:val="000000"/>
                <w:sz w:val="21"/>
                <w:szCs w:val="21"/>
              </w:rPr>
            </w:pPr>
          </w:p>
        </w:tc>
        <w:tc>
          <w:tcPr>
            <w:tcW w:w="355" w:type="pct"/>
            <w:tcBorders>
              <w:top w:val="nil"/>
              <w:left w:val="nil"/>
              <w:bottom w:val="single" w:color="auto" w:sz="8" w:space="0"/>
              <w:right w:val="single" w:color="auto" w:sz="8" w:space="0"/>
            </w:tcBorders>
            <w:noWrap/>
            <w:vAlign w:val="center"/>
          </w:tcPr>
          <w:p w14:paraId="68C6F76C">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17162008">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0570EA4D">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03E3ED09">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7BF44C10">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6D0FB191">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B6B0896">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5B2E201">
            <w:pPr>
              <w:rPr>
                <w:rFonts w:ascii="仿宋" w:hAnsi="仿宋" w:eastAsia="仿宋" w:cs="仿宋"/>
                <w:color w:val="000000"/>
                <w:sz w:val="21"/>
                <w:szCs w:val="21"/>
              </w:rPr>
            </w:pPr>
          </w:p>
        </w:tc>
        <w:tc>
          <w:tcPr>
            <w:tcW w:w="1266" w:type="pct"/>
            <w:tcBorders>
              <w:top w:val="nil"/>
              <w:left w:val="nil"/>
              <w:bottom w:val="single" w:color="auto" w:sz="8" w:space="0"/>
              <w:right w:val="single" w:color="auto" w:sz="8" w:space="0"/>
            </w:tcBorders>
            <w:noWrap/>
            <w:vAlign w:val="center"/>
          </w:tcPr>
          <w:p w14:paraId="444E4BC3">
            <w:pPr>
              <w:rPr>
                <w:rFonts w:ascii="仿宋" w:hAnsi="仿宋" w:eastAsia="仿宋" w:cs="仿宋"/>
                <w:color w:val="000000"/>
                <w:sz w:val="21"/>
                <w:szCs w:val="21"/>
              </w:rPr>
            </w:pPr>
          </w:p>
        </w:tc>
      </w:tr>
      <w:tr w14:paraId="3F17D2FD">
        <w:tblPrEx>
          <w:tblCellMar>
            <w:top w:w="0" w:type="dxa"/>
            <w:left w:w="108" w:type="dxa"/>
            <w:bottom w:w="0" w:type="dxa"/>
            <w:right w:w="108" w:type="dxa"/>
          </w:tblCellMar>
        </w:tblPrEx>
        <w:trPr>
          <w:trHeight w:val="1015" w:hRule="atLeast"/>
        </w:trPr>
        <w:tc>
          <w:tcPr>
            <w:tcW w:w="596" w:type="pct"/>
            <w:tcBorders>
              <w:top w:val="nil"/>
              <w:left w:val="single" w:color="auto" w:sz="8" w:space="0"/>
              <w:bottom w:val="single" w:color="auto" w:sz="8" w:space="0"/>
              <w:right w:val="single" w:color="auto" w:sz="8" w:space="0"/>
            </w:tcBorders>
            <w:noWrap/>
            <w:vAlign w:val="center"/>
          </w:tcPr>
          <w:p w14:paraId="4C3B564F">
            <w:pPr>
              <w:jc w:val="center"/>
              <w:rPr>
                <w:rFonts w:ascii="仿宋" w:hAnsi="仿宋" w:eastAsia="仿宋" w:cs="仿宋"/>
                <w:color w:val="000000"/>
                <w:sz w:val="22"/>
                <w:szCs w:val="22"/>
              </w:rPr>
            </w:pPr>
            <w:r>
              <w:rPr>
                <w:rFonts w:hint="eastAsia" w:ascii="仿宋" w:hAnsi="仿宋" w:eastAsia="仿宋" w:cs="仿宋"/>
                <w:color w:val="000000"/>
                <w:sz w:val="22"/>
                <w:szCs w:val="22"/>
              </w:rPr>
              <w:t>借款人编号2</w:t>
            </w:r>
          </w:p>
        </w:tc>
        <w:tc>
          <w:tcPr>
            <w:tcW w:w="356" w:type="pct"/>
            <w:tcBorders>
              <w:top w:val="nil"/>
              <w:left w:val="nil"/>
              <w:bottom w:val="single" w:color="auto" w:sz="8" w:space="0"/>
              <w:right w:val="single" w:color="auto" w:sz="8" w:space="0"/>
            </w:tcBorders>
            <w:noWrap/>
            <w:vAlign w:val="center"/>
          </w:tcPr>
          <w:p w14:paraId="2A219638">
            <w:pPr>
              <w:rPr>
                <w:rFonts w:ascii="仿宋" w:hAnsi="仿宋" w:eastAsia="仿宋" w:cs="仿宋"/>
                <w:color w:val="000000"/>
                <w:sz w:val="21"/>
                <w:szCs w:val="21"/>
              </w:rPr>
            </w:pPr>
          </w:p>
        </w:tc>
        <w:tc>
          <w:tcPr>
            <w:tcW w:w="255" w:type="pct"/>
            <w:tcBorders>
              <w:top w:val="nil"/>
              <w:left w:val="nil"/>
              <w:bottom w:val="single" w:color="auto" w:sz="8" w:space="0"/>
              <w:right w:val="single" w:color="auto" w:sz="8" w:space="0"/>
            </w:tcBorders>
            <w:noWrap/>
            <w:vAlign w:val="center"/>
          </w:tcPr>
          <w:p w14:paraId="681EAA28">
            <w:pPr>
              <w:rPr>
                <w:rFonts w:ascii="仿宋" w:hAnsi="仿宋" w:eastAsia="仿宋" w:cs="仿宋"/>
                <w:color w:val="000000"/>
                <w:sz w:val="21"/>
                <w:szCs w:val="21"/>
              </w:rPr>
            </w:pPr>
          </w:p>
        </w:tc>
        <w:tc>
          <w:tcPr>
            <w:tcW w:w="355" w:type="pct"/>
            <w:tcBorders>
              <w:top w:val="nil"/>
              <w:left w:val="nil"/>
              <w:bottom w:val="single" w:color="auto" w:sz="8" w:space="0"/>
              <w:right w:val="single" w:color="auto" w:sz="8" w:space="0"/>
            </w:tcBorders>
            <w:noWrap/>
            <w:vAlign w:val="center"/>
          </w:tcPr>
          <w:p w14:paraId="4EDC8719">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49856BFC">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6B09C456">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7316E1CB">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277791A8">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C8C3E29">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0A9CE447">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1CF9596A">
            <w:pPr>
              <w:rPr>
                <w:rFonts w:ascii="仿宋" w:hAnsi="仿宋" w:eastAsia="仿宋" w:cs="仿宋"/>
                <w:color w:val="000000"/>
                <w:sz w:val="21"/>
                <w:szCs w:val="21"/>
              </w:rPr>
            </w:pPr>
          </w:p>
        </w:tc>
        <w:tc>
          <w:tcPr>
            <w:tcW w:w="1266" w:type="pct"/>
            <w:tcBorders>
              <w:top w:val="nil"/>
              <w:left w:val="nil"/>
              <w:bottom w:val="single" w:color="auto" w:sz="8" w:space="0"/>
              <w:right w:val="single" w:color="auto" w:sz="8" w:space="0"/>
            </w:tcBorders>
            <w:noWrap/>
            <w:vAlign w:val="center"/>
          </w:tcPr>
          <w:p w14:paraId="55AA5419">
            <w:pPr>
              <w:rPr>
                <w:rFonts w:ascii="仿宋" w:hAnsi="仿宋" w:eastAsia="仿宋" w:cs="仿宋"/>
                <w:color w:val="000000"/>
                <w:sz w:val="21"/>
                <w:szCs w:val="21"/>
              </w:rPr>
            </w:pPr>
          </w:p>
        </w:tc>
      </w:tr>
      <w:tr w14:paraId="1D828C45">
        <w:tblPrEx>
          <w:tblCellMar>
            <w:top w:w="0" w:type="dxa"/>
            <w:left w:w="108" w:type="dxa"/>
            <w:bottom w:w="0" w:type="dxa"/>
            <w:right w:w="108" w:type="dxa"/>
          </w:tblCellMar>
        </w:tblPrEx>
        <w:trPr>
          <w:trHeight w:val="1015" w:hRule="atLeast"/>
        </w:trPr>
        <w:tc>
          <w:tcPr>
            <w:tcW w:w="596" w:type="pct"/>
            <w:tcBorders>
              <w:top w:val="nil"/>
              <w:left w:val="single" w:color="auto" w:sz="8" w:space="0"/>
              <w:bottom w:val="single" w:color="auto" w:sz="8" w:space="0"/>
              <w:right w:val="single" w:color="auto" w:sz="8" w:space="0"/>
            </w:tcBorders>
            <w:noWrap/>
            <w:vAlign w:val="center"/>
          </w:tcPr>
          <w:p w14:paraId="4235F841">
            <w:pPr>
              <w:jc w:val="center"/>
              <w:rPr>
                <w:rFonts w:ascii="仿宋" w:hAnsi="仿宋" w:eastAsia="仿宋" w:cs="仿宋"/>
                <w:color w:val="000000"/>
                <w:sz w:val="22"/>
                <w:szCs w:val="22"/>
              </w:rPr>
            </w:pPr>
            <w:r>
              <w:rPr>
                <w:rFonts w:hint="eastAsia" w:ascii="仿宋" w:hAnsi="仿宋" w:eastAsia="仿宋" w:cs="仿宋"/>
                <w:color w:val="000000"/>
                <w:sz w:val="22"/>
                <w:szCs w:val="22"/>
              </w:rPr>
              <w:t>…</w:t>
            </w:r>
          </w:p>
        </w:tc>
        <w:tc>
          <w:tcPr>
            <w:tcW w:w="356" w:type="pct"/>
            <w:tcBorders>
              <w:top w:val="nil"/>
              <w:left w:val="nil"/>
              <w:bottom w:val="single" w:color="auto" w:sz="8" w:space="0"/>
              <w:right w:val="single" w:color="auto" w:sz="8" w:space="0"/>
            </w:tcBorders>
            <w:noWrap/>
            <w:vAlign w:val="center"/>
          </w:tcPr>
          <w:p w14:paraId="737CD9A9">
            <w:pPr>
              <w:rPr>
                <w:rFonts w:ascii="仿宋" w:hAnsi="仿宋" w:eastAsia="仿宋" w:cs="仿宋"/>
                <w:color w:val="000000"/>
                <w:sz w:val="21"/>
                <w:szCs w:val="21"/>
              </w:rPr>
            </w:pPr>
          </w:p>
        </w:tc>
        <w:tc>
          <w:tcPr>
            <w:tcW w:w="255" w:type="pct"/>
            <w:tcBorders>
              <w:top w:val="nil"/>
              <w:left w:val="nil"/>
              <w:bottom w:val="single" w:color="auto" w:sz="8" w:space="0"/>
              <w:right w:val="single" w:color="auto" w:sz="8" w:space="0"/>
            </w:tcBorders>
            <w:noWrap/>
            <w:vAlign w:val="center"/>
          </w:tcPr>
          <w:p w14:paraId="69BB152A">
            <w:pPr>
              <w:rPr>
                <w:rFonts w:ascii="仿宋" w:hAnsi="仿宋" w:eastAsia="仿宋" w:cs="仿宋"/>
                <w:color w:val="000000"/>
                <w:sz w:val="21"/>
                <w:szCs w:val="21"/>
              </w:rPr>
            </w:pPr>
          </w:p>
        </w:tc>
        <w:tc>
          <w:tcPr>
            <w:tcW w:w="355" w:type="pct"/>
            <w:tcBorders>
              <w:top w:val="nil"/>
              <w:left w:val="nil"/>
              <w:bottom w:val="single" w:color="auto" w:sz="8" w:space="0"/>
              <w:right w:val="single" w:color="auto" w:sz="8" w:space="0"/>
            </w:tcBorders>
            <w:noWrap/>
            <w:vAlign w:val="center"/>
          </w:tcPr>
          <w:p w14:paraId="56190773">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0D0A2C2D">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1C640E92">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598E3A5B">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173B30FA">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E63F08C">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6F4E39B8">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C36CBC0">
            <w:pPr>
              <w:rPr>
                <w:rFonts w:ascii="仿宋" w:hAnsi="仿宋" w:eastAsia="仿宋" w:cs="仿宋"/>
                <w:color w:val="000000"/>
                <w:sz w:val="21"/>
                <w:szCs w:val="21"/>
              </w:rPr>
            </w:pPr>
          </w:p>
        </w:tc>
        <w:tc>
          <w:tcPr>
            <w:tcW w:w="1266" w:type="pct"/>
            <w:tcBorders>
              <w:top w:val="nil"/>
              <w:left w:val="nil"/>
              <w:bottom w:val="single" w:color="auto" w:sz="8" w:space="0"/>
              <w:right w:val="single" w:color="auto" w:sz="8" w:space="0"/>
            </w:tcBorders>
            <w:noWrap/>
            <w:vAlign w:val="center"/>
          </w:tcPr>
          <w:p w14:paraId="007DE191">
            <w:pPr>
              <w:rPr>
                <w:rFonts w:ascii="仿宋" w:hAnsi="仿宋" w:eastAsia="仿宋" w:cs="仿宋"/>
                <w:color w:val="000000"/>
                <w:sz w:val="21"/>
                <w:szCs w:val="21"/>
              </w:rPr>
            </w:pPr>
          </w:p>
        </w:tc>
      </w:tr>
      <w:tr w14:paraId="49E912E5">
        <w:tblPrEx>
          <w:tblCellMar>
            <w:top w:w="0" w:type="dxa"/>
            <w:left w:w="108" w:type="dxa"/>
            <w:bottom w:w="0" w:type="dxa"/>
            <w:right w:w="108" w:type="dxa"/>
          </w:tblCellMar>
        </w:tblPrEx>
        <w:trPr>
          <w:trHeight w:val="1015" w:hRule="atLeast"/>
        </w:trPr>
        <w:tc>
          <w:tcPr>
            <w:tcW w:w="596" w:type="pct"/>
            <w:tcBorders>
              <w:top w:val="nil"/>
              <w:left w:val="single" w:color="auto" w:sz="8" w:space="0"/>
              <w:bottom w:val="single" w:color="auto" w:sz="8" w:space="0"/>
              <w:right w:val="single" w:color="auto" w:sz="8" w:space="0"/>
            </w:tcBorders>
            <w:noWrap/>
            <w:vAlign w:val="center"/>
          </w:tcPr>
          <w:p w14:paraId="3992325B">
            <w:pPr>
              <w:jc w:val="center"/>
              <w:rPr>
                <w:rFonts w:ascii="仿宋" w:hAnsi="仿宋" w:eastAsia="仿宋" w:cs="仿宋"/>
                <w:color w:val="000000"/>
                <w:sz w:val="22"/>
                <w:szCs w:val="22"/>
              </w:rPr>
            </w:pPr>
            <w:r>
              <w:rPr>
                <w:rFonts w:hint="eastAsia" w:ascii="仿宋" w:hAnsi="仿宋" w:eastAsia="仿宋" w:cs="仿宋"/>
                <w:color w:val="000000"/>
                <w:sz w:val="22"/>
                <w:szCs w:val="22"/>
              </w:rPr>
              <w:t>借款人编号20</w:t>
            </w:r>
          </w:p>
        </w:tc>
        <w:tc>
          <w:tcPr>
            <w:tcW w:w="356" w:type="pct"/>
            <w:tcBorders>
              <w:top w:val="nil"/>
              <w:left w:val="nil"/>
              <w:bottom w:val="single" w:color="auto" w:sz="8" w:space="0"/>
              <w:right w:val="single" w:color="auto" w:sz="8" w:space="0"/>
            </w:tcBorders>
            <w:noWrap/>
            <w:vAlign w:val="center"/>
          </w:tcPr>
          <w:p w14:paraId="211C2CD9">
            <w:pPr>
              <w:rPr>
                <w:rFonts w:ascii="仿宋" w:hAnsi="仿宋" w:eastAsia="仿宋" w:cs="仿宋"/>
                <w:color w:val="000000"/>
                <w:sz w:val="21"/>
                <w:szCs w:val="21"/>
              </w:rPr>
            </w:pPr>
          </w:p>
        </w:tc>
        <w:tc>
          <w:tcPr>
            <w:tcW w:w="255" w:type="pct"/>
            <w:tcBorders>
              <w:top w:val="nil"/>
              <w:left w:val="nil"/>
              <w:bottom w:val="single" w:color="auto" w:sz="8" w:space="0"/>
              <w:right w:val="single" w:color="auto" w:sz="8" w:space="0"/>
            </w:tcBorders>
            <w:noWrap/>
            <w:vAlign w:val="center"/>
          </w:tcPr>
          <w:p w14:paraId="709508FD">
            <w:pPr>
              <w:rPr>
                <w:rFonts w:ascii="仿宋" w:hAnsi="仿宋" w:eastAsia="仿宋" w:cs="仿宋"/>
                <w:color w:val="000000"/>
                <w:sz w:val="21"/>
                <w:szCs w:val="21"/>
              </w:rPr>
            </w:pPr>
          </w:p>
        </w:tc>
        <w:tc>
          <w:tcPr>
            <w:tcW w:w="355" w:type="pct"/>
            <w:tcBorders>
              <w:top w:val="nil"/>
              <w:left w:val="nil"/>
              <w:bottom w:val="single" w:color="auto" w:sz="8" w:space="0"/>
              <w:right w:val="single" w:color="auto" w:sz="8" w:space="0"/>
            </w:tcBorders>
            <w:noWrap/>
            <w:vAlign w:val="center"/>
          </w:tcPr>
          <w:p w14:paraId="603C3661">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003EEC7F">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47A7B1E0">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0B224E0B">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3EC4EA69">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A00D54C">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3D08664F">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7B8D5580">
            <w:pPr>
              <w:rPr>
                <w:rFonts w:ascii="仿宋" w:hAnsi="仿宋" w:eastAsia="仿宋" w:cs="仿宋"/>
                <w:color w:val="000000"/>
                <w:sz w:val="21"/>
                <w:szCs w:val="21"/>
              </w:rPr>
            </w:pPr>
          </w:p>
        </w:tc>
        <w:tc>
          <w:tcPr>
            <w:tcW w:w="1266" w:type="pct"/>
            <w:tcBorders>
              <w:top w:val="nil"/>
              <w:left w:val="nil"/>
              <w:bottom w:val="single" w:color="auto" w:sz="8" w:space="0"/>
              <w:right w:val="single" w:color="auto" w:sz="8" w:space="0"/>
            </w:tcBorders>
            <w:noWrap/>
            <w:vAlign w:val="center"/>
          </w:tcPr>
          <w:p w14:paraId="34205365">
            <w:pPr>
              <w:rPr>
                <w:rFonts w:ascii="仿宋" w:hAnsi="仿宋" w:eastAsia="仿宋" w:cs="仿宋"/>
                <w:color w:val="000000"/>
                <w:sz w:val="21"/>
                <w:szCs w:val="21"/>
              </w:rPr>
            </w:pPr>
          </w:p>
        </w:tc>
      </w:tr>
      <w:tr w14:paraId="30D1E4F1">
        <w:tblPrEx>
          <w:tblCellMar>
            <w:top w:w="0" w:type="dxa"/>
            <w:left w:w="108" w:type="dxa"/>
            <w:bottom w:w="0" w:type="dxa"/>
            <w:right w:w="108" w:type="dxa"/>
          </w:tblCellMar>
        </w:tblPrEx>
        <w:trPr>
          <w:trHeight w:val="1015" w:hRule="atLeast"/>
        </w:trPr>
        <w:tc>
          <w:tcPr>
            <w:tcW w:w="596" w:type="pct"/>
            <w:tcBorders>
              <w:top w:val="nil"/>
              <w:left w:val="single" w:color="auto" w:sz="8" w:space="0"/>
              <w:bottom w:val="single" w:color="auto" w:sz="8" w:space="0"/>
              <w:right w:val="single" w:color="auto" w:sz="8" w:space="0"/>
            </w:tcBorders>
            <w:noWrap/>
            <w:vAlign w:val="center"/>
          </w:tcPr>
          <w:p w14:paraId="431E72BB">
            <w:pPr>
              <w:jc w:val="center"/>
              <w:rPr>
                <w:rFonts w:ascii="仿宋" w:hAnsi="仿宋" w:eastAsia="仿宋" w:cs="仿宋"/>
                <w:color w:val="000000"/>
                <w:sz w:val="22"/>
                <w:szCs w:val="22"/>
              </w:rPr>
            </w:pPr>
            <w:r>
              <w:rPr>
                <w:rFonts w:hint="eastAsia" w:ascii="仿宋" w:hAnsi="仿宋" w:eastAsia="仿宋" w:cs="仿宋"/>
                <w:color w:val="000000"/>
                <w:sz w:val="22"/>
                <w:szCs w:val="22"/>
              </w:rPr>
              <w:t>合计</w:t>
            </w:r>
          </w:p>
        </w:tc>
        <w:tc>
          <w:tcPr>
            <w:tcW w:w="356" w:type="pct"/>
            <w:tcBorders>
              <w:top w:val="nil"/>
              <w:left w:val="nil"/>
              <w:bottom w:val="single" w:color="auto" w:sz="8" w:space="0"/>
              <w:right w:val="single" w:color="auto" w:sz="8" w:space="0"/>
            </w:tcBorders>
            <w:noWrap/>
            <w:vAlign w:val="center"/>
          </w:tcPr>
          <w:p w14:paraId="3C1D1FAD">
            <w:pPr>
              <w:rPr>
                <w:rFonts w:ascii="仿宋" w:hAnsi="仿宋" w:eastAsia="仿宋" w:cs="仿宋"/>
                <w:color w:val="000000"/>
                <w:sz w:val="21"/>
                <w:szCs w:val="21"/>
              </w:rPr>
            </w:pPr>
          </w:p>
        </w:tc>
        <w:tc>
          <w:tcPr>
            <w:tcW w:w="255" w:type="pct"/>
            <w:tcBorders>
              <w:top w:val="nil"/>
              <w:left w:val="nil"/>
              <w:bottom w:val="single" w:color="auto" w:sz="8" w:space="0"/>
              <w:right w:val="single" w:color="auto" w:sz="8" w:space="0"/>
            </w:tcBorders>
            <w:noWrap/>
            <w:vAlign w:val="center"/>
          </w:tcPr>
          <w:p w14:paraId="74AA42E2">
            <w:pPr>
              <w:rPr>
                <w:rFonts w:ascii="仿宋" w:hAnsi="仿宋" w:eastAsia="仿宋" w:cs="仿宋"/>
                <w:color w:val="000000"/>
                <w:sz w:val="21"/>
                <w:szCs w:val="21"/>
              </w:rPr>
            </w:pPr>
          </w:p>
        </w:tc>
        <w:tc>
          <w:tcPr>
            <w:tcW w:w="355" w:type="pct"/>
            <w:tcBorders>
              <w:top w:val="nil"/>
              <w:left w:val="nil"/>
              <w:bottom w:val="single" w:color="auto" w:sz="8" w:space="0"/>
              <w:right w:val="single" w:color="auto" w:sz="8" w:space="0"/>
            </w:tcBorders>
            <w:noWrap/>
            <w:vAlign w:val="center"/>
          </w:tcPr>
          <w:p w14:paraId="3C3FAD12">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6E50CBE3">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43385ED4">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665BD2EE">
            <w:pPr>
              <w:rPr>
                <w:rFonts w:ascii="仿宋" w:hAnsi="仿宋" w:eastAsia="仿宋" w:cs="仿宋"/>
                <w:color w:val="000000"/>
                <w:sz w:val="21"/>
                <w:szCs w:val="21"/>
              </w:rPr>
            </w:pPr>
          </w:p>
        </w:tc>
        <w:tc>
          <w:tcPr>
            <w:tcW w:w="227" w:type="pct"/>
            <w:tcBorders>
              <w:top w:val="nil"/>
              <w:left w:val="nil"/>
              <w:bottom w:val="single" w:color="auto" w:sz="8" w:space="0"/>
              <w:right w:val="single" w:color="auto" w:sz="8" w:space="0"/>
            </w:tcBorders>
            <w:noWrap/>
            <w:vAlign w:val="center"/>
          </w:tcPr>
          <w:p w14:paraId="0A37EEE3">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5E20EE41">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445384DB">
            <w:pPr>
              <w:rPr>
                <w:rFonts w:ascii="仿宋" w:hAnsi="仿宋" w:eastAsia="仿宋" w:cs="仿宋"/>
                <w:color w:val="000000"/>
                <w:sz w:val="21"/>
                <w:szCs w:val="21"/>
              </w:rPr>
            </w:pPr>
          </w:p>
        </w:tc>
        <w:tc>
          <w:tcPr>
            <w:tcW w:w="421" w:type="pct"/>
            <w:tcBorders>
              <w:top w:val="nil"/>
              <w:left w:val="nil"/>
              <w:bottom w:val="single" w:color="auto" w:sz="8" w:space="0"/>
              <w:right w:val="single" w:color="auto" w:sz="8" w:space="0"/>
            </w:tcBorders>
            <w:noWrap/>
            <w:vAlign w:val="center"/>
          </w:tcPr>
          <w:p w14:paraId="506B41AC">
            <w:pPr>
              <w:rPr>
                <w:rFonts w:ascii="仿宋" w:hAnsi="仿宋" w:eastAsia="仿宋" w:cs="仿宋"/>
                <w:color w:val="000000"/>
                <w:sz w:val="21"/>
                <w:szCs w:val="21"/>
              </w:rPr>
            </w:pPr>
          </w:p>
        </w:tc>
        <w:tc>
          <w:tcPr>
            <w:tcW w:w="1266" w:type="pct"/>
            <w:tcBorders>
              <w:top w:val="nil"/>
              <w:left w:val="nil"/>
              <w:bottom w:val="single" w:color="auto" w:sz="8" w:space="0"/>
              <w:right w:val="single" w:color="auto" w:sz="8" w:space="0"/>
            </w:tcBorders>
            <w:noWrap/>
            <w:vAlign w:val="center"/>
          </w:tcPr>
          <w:p w14:paraId="415E12E0">
            <w:pPr>
              <w:rPr>
                <w:rFonts w:ascii="仿宋" w:hAnsi="仿宋" w:eastAsia="仿宋" w:cs="仿宋"/>
                <w:color w:val="000000"/>
                <w:sz w:val="21"/>
                <w:szCs w:val="21"/>
              </w:rPr>
            </w:pPr>
          </w:p>
        </w:tc>
      </w:tr>
    </w:tbl>
    <w:p w14:paraId="698DA567">
      <w:pPr>
        <w:jc w:val="both"/>
        <w:rPr>
          <w:rFonts w:ascii="仿宋" w:hAnsi="仿宋" w:eastAsia="仿宋" w:cs="仿宋"/>
          <w:vertAlign w:val="superscript"/>
        </w:rPr>
      </w:pPr>
    </w:p>
    <w:p w14:paraId="21CFF023">
      <w:pPr>
        <w:jc w:val="both"/>
        <w:rPr>
          <w:rFonts w:ascii="仿宋" w:hAnsi="仿宋" w:eastAsia="仿宋" w:cs="仿宋"/>
          <w:vertAlign w:val="superscript"/>
        </w:rPr>
        <w:sectPr>
          <w:pgSz w:w="16838" w:h="11906" w:orient="landscape"/>
          <w:pgMar w:top="1800" w:right="1440" w:bottom="1800" w:left="1440" w:header="851" w:footer="992" w:gutter="0"/>
          <w:cols w:space="425" w:num="1"/>
          <w:docGrid w:type="lines" w:linePitch="326" w:charSpace="0"/>
        </w:sectPr>
      </w:pPr>
    </w:p>
    <w:p w14:paraId="3BAC0260">
      <w:pPr>
        <w:jc w:val="both"/>
        <w:rPr>
          <w:rFonts w:ascii="仿宋" w:hAnsi="仿宋" w:eastAsia="仿宋" w:cs="仿宋"/>
          <w:b/>
          <w:bCs/>
          <w:sz w:val="30"/>
          <w:szCs w:val="30"/>
        </w:rPr>
      </w:pPr>
      <w:r>
        <w:rPr>
          <w:rFonts w:hint="eastAsia" w:ascii="仿宋" w:hAnsi="仿宋" w:eastAsia="仿宋" w:cs="仿宋"/>
          <w:b/>
          <w:bCs/>
          <w:sz w:val="30"/>
          <w:szCs w:val="30"/>
        </w:rPr>
        <w:t>四、受托机构报告</w:t>
      </w:r>
    </w:p>
    <w:tbl>
      <w:tblPr>
        <w:tblStyle w:val="10"/>
        <w:tblW w:w="5000" w:type="pct"/>
        <w:tblInd w:w="0" w:type="dxa"/>
        <w:tblLayout w:type="autofit"/>
        <w:tblCellMar>
          <w:top w:w="0" w:type="dxa"/>
          <w:left w:w="108" w:type="dxa"/>
          <w:bottom w:w="0" w:type="dxa"/>
          <w:right w:w="108" w:type="dxa"/>
        </w:tblCellMar>
      </w:tblPr>
      <w:tblGrid>
        <w:gridCol w:w="1002"/>
        <w:gridCol w:w="5485"/>
        <w:gridCol w:w="781"/>
        <w:gridCol w:w="1254"/>
      </w:tblGrid>
      <w:tr w14:paraId="600A4C3B">
        <w:tblPrEx>
          <w:tblCellMar>
            <w:top w:w="0" w:type="dxa"/>
            <w:left w:w="108" w:type="dxa"/>
            <w:bottom w:w="0" w:type="dxa"/>
            <w:right w:w="108" w:type="dxa"/>
          </w:tblCellMar>
        </w:tblPrEx>
        <w:trPr>
          <w:trHeight w:val="375" w:hRule="atLeast"/>
        </w:trPr>
        <w:tc>
          <w:tcPr>
            <w:tcW w:w="5000" w:type="pct"/>
            <w:gridSpan w:val="4"/>
            <w:tcBorders>
              <w:top w:val="single" w:color="auto" w:sz="4" w:space="0"/>
              <w:left w:val="single" w:color="auto" w:sz="4" w:space="0"/>
              <w:bottom w:val="single" w:color="auto" w:sz="4" w:space="0"/>
              <w:right w:val="single" w:color="auto" w:sz="4" w:space="0"/>
            </w:tcBorders>
          </w:tcPr>
          <w:p w14:paraId="2F91A818">
            <w:pPr>
              <w:rPr>
                <w:rFonts w:ascii="仿宋" w:hAnsi="仿宋" w:eastAsia="仿宋" w:cs="仿宋"/>
                <w:b/>
                <w:color w:val="000000"/>
                <w:sz w:val="28"/>
                <w:szCs w:val="28"/>
              </w:rPr>
            </w:pPr>
            <w:r>
              <w:rPr>
                <w:rFonts w:hint="eastAsia" w:ascii="仿宋" w:hAnsi="仿宋" w:eastAsia="仿宋" w:cs="仿宋"/>
                <w:b/>
                <w:color w:val="000000"/>
                <w:sz w:val="28"/>
                <w:szCs w:val="28"/>
              </w:rPr>
              <w:t>受托机构报告</w:t>
            </w:r>
            <w:r>
              <w:rPr>
                <w:rStyle w:val="17"/>
                <w:rFonts w:hint="eastAsia" w:ascii="仿宋" w:hAnsi="仿宋" w:eastAsia="仿宋" w:cs="仿宋"/>
                <w:b/>
                <w:color w:val="000000"/>
                <w:sz w:val="28"/>
                <w:szCs w:val="28"/>
              </w:rPr>
              <w:footnoteReference w:id="37"/>
            </w:r>
          </w:p>
        </w:tc>
      </w:tr>
      <w:tr w14:paraId="01CE6433">
        <w:tblPrEx>
          <w:tblCellMar>
            <w:top w:w="0" w:type="dxa"/>
            <w:left w:w="108" w:type="dxa"/>
            <w:bottom w:w="0" w:type="dxa"/>
            <w:right w:w="108" w:type="dxa"/>
          </w:tblCellMar>
        </w:tblPrEx>
        <w:trPr>
          <w:trHeight w:val="375"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058002C3">
            <w:pPr>
              <w:jc w:val="both"/>
              <w:rPr>
                <w:rFonts w:ascii="仿宋" w:hAnsi="仿宋" w:eastAsia="仿宋" w:cs="仿宋"/>
                <w:color w:val="000000"/>
              </w:rPr>
            </w:pPr>
            <w:r>
              <w:rPr>
                <w:rFonts w:hint="eastAsia" w:ascii="仿宋" w:hAnsi="仿宋" w:eastAsia="仿宋" w:cs="仿宋"/>
                <w:color w:val="000000"/>
              </w:rPr>
              <w:t>序号</w:t>
            </w:r>
          </w:p>
        </w:tc>
        <w:tc>
          <w:tcPr>
            <w:tcW w:w="3218" w:type="pct"/>
            <w:tcBorders>
              <w:top w:val="single" w:color="auto" w:sz="4" w:space="0"/>
              <w:left w:val="nil"/>
              <w:bottom w:val="single" w:color="auto" w:sz="4" w:space="0"/>
              <w:right w:val="single" w:color="auto" w:sz="4" w:space="0"/>
            </w:tcBorders>
            <w:noWrap/>
            <w:vAlign w:val="center"/>
          </w:tcPr>
          <w:p w14:paraId="00401681">
            <w:pPr>
              <w:jc w:val="both"/>
              <w:rPr>
                <w:rFonts w:ascii="仿宋" w:hAnsi="仿宋" w:eastAsia="仿宋" w:cs="仿宋"/>
                <w:color w:val="000000"/>
              </w:rPr>
            </w:pPr>
            <w:r>
              <w:rPr>
                <w:rFonts w:hint="eastAsia" w:ascii="仿宋" w:hAnsi="仿宋" w:eastAsia="仿宋" w:cs="仿宋"/>
                <w:color w:val="000000"/>
              </w:rPr>
              <w:t>内容</w:t>
            </w:r>
          </w:p>
        </w:tc>
        <w:tc>
          <w:tcPr>
            <w:tcW w:w="458" w:type="pct"/>
            <w:tcBorders>
              <w:top w:val="single" w:color="auto" w:sz="4" w:space="0"/>
              <w:left w:val="nil"/>
              <w:bottom w:val="single" w:color="auto" w:sz="4" w:space="0"/>
              <w:right w:val="single" w:color="auto" w:sz="4" w:space="0"/>
            </w:tcBorders>
            <w:vAlign w:val="center"/>
          </w:tcPr>
          <w:p w14:paraId="5745BBA6">
            <w:pPr>
              <w:jc w:val="both"/>
              <w:rPr>
                <w:rFonts w:ascii="仿宋" w:hAnsi="仿宋" w:eastAsia="仿宋" w:cs="仿宋"/>
                <w:color w:val="000000"/>
              </w:rPr>
            </w:pPr>
            <w:r>
              <w:rPr>
                <w:rFonts w:hint="eastAsia" w:ascii="仿宋" w:hAnsi="仿宋" w:eastAsia="仿宋" w:cs="仿宋"/>
                <w:color w:val="000000"/>
              </w:rPr>
              <w:t>页码</w:t>
            </w:r>
          </w:p>
        </w:tc>
        <w:tc>
          <w:tcPr>
            <w:tcW w:w="736" w:type="pct"/>
            <w:tcBorders>
              <w:top w:val="single" w:color="auto" w:sz="4" w:space="0"/>
              <w:left w:val="single" w:color="auto" w:sz="4" w:space="0"/>
              <w:bottom w:val="single" w:color="auto" w:sz="4" w:space="0"/>
              <w:right w:val="single" w:color="auto" w:sz="4" w:space="0"/>
            </w:tcBorders>
            <w:vAlign w:val="center"/>
          </w:tcPr>
          <w:p w14:paraId="3F1CC8FE">
            <w:pPr>
              <w:jc w:val="both"/>
              <w:rPr>
                <w:rFonts w:ascii="仿宋" w:hAnsi="仿宋" w:eastAsia="仿宋" w:cs="仿宋"/>
                <w:color w:val="000000"/>
              </w:rPr>
            </w:pPr>
            <w:r>
              <w:rPr>
                <w:rFonts w:hint="eastAsia" w:ascii="仿宋" w:hAnsi="仿宋" w:eastAsia="仿宋" w:cs="仿宋"/>
                <w:color w:val="000000"/>
              </w:rPr>
              <w:t>标注</w:t>
            </w:r>
          </w:p>
        </w:tc>
      </w:tr>
      <w:tr w14:paraId="75B80555">
        <w:tblPrEx>
          <w:tblCellMar>
            <w:top w:w="0" w:type="dxa"/>
            <w:left w:w="108" w:type="dxa"/>
            <w:bottom w:w="0" w:type="dxa"/>
            <w:right w:w="108" w:type="dxa"/>
          </w:tblCellMar>
        </w:tblPrEx>
        <w:trPr>
          <w:trHeight w:val="285" w:hRule="atLeast"/>
        </w:trPr>
        <w:tc>
          <w:tcPr>
            <w:tcW w:w="588" w:type="pct"/>
            <w:tcBorders>
              <w:top w:val="nil"/>
              <w:left w:val="single" w:color="auto" w:sz="4" w:space="0"/>
              <w:bottom w:val="single" w:color="auto" w:sz="4" w:space="0"/>
              <w:right w:val="single" w:color="auto" w:sz="4" w:space="0"/>
            </w:tcBorders>
            <w:noWrap/>
            <w:vAlign w:val="center"/>
          </w:tcPr>
          <w:p w14:paraId="7E9E3401">
            <w:pPr>
              <w:jc w:val="both"/>
              <w:rPr>
                <w:rFonts w:ascii="仿宋" w:hAnsi="仿宋" w:eastAsia="仿宋" w:cs="仿宋"/>
                <w:b/>
                <w:color w:val="000000"/>
              </w:rPr>
            </w:pPr>
            <w:r>
              <w:rPr>
                <w:rFonts w:hint="eastAsia" w:ascii="仿宋" w:hAnsi="仿宋" w:eastAsia="仿宋" w:cs="仿宋"/>
                <w:b/>
                <w:color w:val="000000"/>
              </w:rPr>
              <w:t>S-0</w:t>
            </w:r>
          </w:p>
        </w:tc>
        <w:tc>
          <w:tcPr>
            <w:tcW w:w="3218" w:type="pct"/>
            <w:tcBorders>
              <w:top w:val="nil"/>
              <w:left w:val="nil"/>
              <w:bottom w:val="single" w:color="auto" w:sz="4" w:space="0"/>
              <w:right w:val="single" w:color="auto" w:sz="4" w:space="0"/>
            </w:tcBorders>
            <w:noWrap/>
            <w:vAlign w:val="center"/>
          </w:tcPr>
          <w:p w14:paraId="6E56E12F">
            <w:pPr>
              <w:jc w:val="both"/>
              <w:rPr>
                <w:rFonts w:ascii="仿宋" w:hAnsi="仿宋" w:eastAsia="仿宋" w:cs="仿宋"/>
                <w:b/>
                <w:color w:val="000000"/>
              </w:rPr>
            </w:pPr>
            <w:r>
              <w:rPr>
                <w:rFonts w:hint="eastAsia" w:ascii="仿宋" w:hAnsi="仿宋" w:eastAsia="仿宋" w:cs="仿宋"/>
                <w:b/>
                <w:color w:val="000000"/>
              </w:rPr>
              <w:t>扉页、目录、受托机构报告基本信息</w:t>
            </w:r>
          </w:p>
        </w:tc>
        <w:tc>
          <w:tcPr>
            <w:tcW w:w="458" w:type="pct"/>
            <w:tcBorders>
              <w:top w:val="single" w:color="auto" w:sz="4" w:space="0"/>
              <w:left w:val="nil"/>
              <w:bottom w:val="single" w:color="auto" w:sz="4" w:space="0"/>
              <w:right w:val="single" w:color="auto" w:sz="4" w:space="0"/>
            </w:tcBorders>
            <w:vAlign w:val="center"/>
          </w:tcPr>
          <w:p w14:paraId="64EC7E80">
            <w:pPr>
              <w:jc w:val="both"/>
              <w:rPr>
                <w:rFonts w:ascii="仿宋" w:hAnsi="仿宋" w:eastAsia="仿宋" w:cs="仿宋"/>
                <w:b/>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32022686">
            <w:pPr>
              <w:jc w:val="both"/>
              <w:rPr>
                <w:rFonts w:ascii="仿宋" w:hAnsi="仿宋" w:eastAsia="仿宋" w:cs="仿宋"/>
                <w:b/>
                <w:color w:val="000000"/>
              </w:rPr>
            </w:pPr>
          </w:p>
        </w:tc>
      </w:tr>
      <w:tr w14:paraId="3C5D33AF">
        <w:tblPrEx>
          <w:tblCellMar>
            <w:top w:w="0" w:type="dxa"/>
            <w:left w:w="108" w:type="dxa"/>
            <w:bottom w:w="0" w:type="dxa"/>
            <w:right w:w="108" w:type="dxa"/>
          </w:tblCellMar>
        </w:tblPrEx>
        <w:trPr>
          <w:trHeight w:val="270" w:hRule="atLeast"/>
        </w:trPr>
        <w:tc>
          <w:tcPr>
            <w:tcW w:w="588" w:type="pct"/>
            <w:tcBorders>
              <w:top w:val="nil"/>
              <w:left w:val="single" w:color="auto" w:sz="4" w:space="0"/>
              <w:bottom w:val="single" w:color="auto" w:sz="4" w:space="0"/>
              <w:right w:val="single" w:color="auto" w:sz="4" w:space="0"/>
            </w:tcBorders>
            <w:noWrap/>
            <w:vAlign w:val="center"/>
          </w:tcPr>
          <w:p w14:paraId="2B89BCE7">
            <w:pPr>
              <w:jc w:val="both"/>
              <w:rPr>
                <w:rFonts w:ascii="仿宋" w:hAnsi="仿宋" w:eastAsia="仿宋" w:cs="仿宋"/>
                <w:color w:val="000000"/>
              </w:rPr>
            </w:pPr>
            <w:r>
              <w:rPr>
                <w:rFonts w:hint="eastAsia" w:ascii="仿宋" w:hAnsi="仿宋" w:eastAsia="仿宋" w:cs="仿宋"/>
                <w:color w:val="000000"/>
              </w:rPr>
              <w:t>S-0-1</w:t>
            </w:r>
          </w:p>
        </w:tc>
        <w:tc>
          <w:tcPr>
            <w:tcW w:w="3218" w:type="pct"/>
            <w:tcBorders>
              <w:top w:val="nil"/>
              <w:left w:val="nil"/>
              <w:bottom w:val="single" w:color="auto" w:sz="4" w:space="0"/>
              <w:right w:val="single" w:color="auto" w:sz="4" w:space="0"/>
            </w:tcBorders>
            <w:vAlign w:val="center"/>
          </w:tcPr>
          <w:p w14:paraId="518C3924">
            <w:pPr>
              <w:jc w:val="both"/>
              <w:rPr>
                <w:rFonts w:ascii="仿宋" w:hAnsi="仿宋" w:eastAsia="仿宋" w:cs="仿宋"/>
                <w:color w:val="000000"/>
              </w:rPr>
            </w:pPr>
            <w:r>
              <w:rPr>
                <w:rFonts w:hint="eastAsia" w:ascii="仿宋" w:hAnsi="仿宋" w:eastAsia="仿宋" w:cs="仿宋"/>
                <w:color w:val="000000"/>
              </w:rPr>
              <w:t>资产支持证券与受托机构名称。</w:t>
            </w:r>
          </w:p>
        </w:tc>
        <w:tc>
          <w:tcPr>
            <w:tcW w:w="458" w:type="pct"/>
            <w:tcBorders>
              <w:top w:val="single" w:color="auto" w:sz="4" w:space="0"/>
              <w:left w:val="nil"/>
              <w:bottom w:val="single" w:color="auto" w:sz="4" w:space="0"/>
              <w:right w:val="single" w:color="auto" w:sz="4" w:space="0"/>
            </w:tcBorders>
            <w:vAlign w:val="center"/>
          </w:tcPr>
          <w:p w14:paraId="678D2EEA">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0A1897C4">
            <w:pPr>
              <w:jc w:val="both"/>
              <w:rPr>
                <w:rFonts w:ascii="仿宋" w:hAnsi="仿宋" w:eastAsia="仿宋" w:cs="仿宋"/>
                <w:color w:val="000000"/>
              </w:rPr>
            </w:pPr>
          </w:p>
        </w:tc>
      </w:tr>
      <w:tr w14:paraId="63DDA6A9">
        <w:tblPrEx>
          <w:tblCellMar>
            <w:top w:w="0" w:type="dxa"/>
            <w:left w:w="108" w:type="dxa"/>
            <w:bottom w:w="0" w:type="dxa"/>
            <w:right w:w="108" w:type="dxa"/>
          </w:tblCellMar>
        </w:tblPrEx>
        <w:trPr>
          <w:trHeight w:val="270" w:hRule="atLeast"/>
        </w:trPr>
        <w:tc>
          <w:tcPr>
            <w:tcW w:w="588" w:type="pct"/>
            <w:tcBorders>
              <w:top w:val="nil"/>
              <w:left w:val="single" w:color="auto" w:sz="4" w:space="0"/>
              <w:bottom w:val="single" w:color="auto" w:sz="4" w:space="0"/>
              <w:right w:val="single" w:color="auto" w:sz="4" w:space="0"/>
            </w:tcBorders>
            <w:noWrap/>
            <w:vAlign w:val="center"/>
          </w:tcPr>
          <w:p w14:paraId="68C8338E">
            <w:pPr>
              <w:jc w:val="both"/>
              <w:rPr>
                <w:rFonts w:ascii="仿宋" w:hAnsi="仿宋" w:eastAsia="仿宋" w:cs="仿宋"/>
                <w:color w:val="000000"/>
              </w:rPr>
            </w:pPr>
            <w:r>
              <w:rPr>
                <w:rFonts w:hint="eastAsia" w:ascii="仿宋" w:hAnsi="仿宋" w:eastAsia="仿宋" w:cs="仿宋"/>
                <w:color w:val="000000"/>
              </w:rPr>
              <w:t>S-0-2</w:t>
            </w:r>
          </w:p>
        </w:tc>
        <w:tc>
          <w:tcPr>
            <w:tcW w:w="3218" w:type="pct"/>
            <w:tcBorders>
              <w:top w:val="nil"/>
              <w:left w:val="single" w:color="auto" w:sz="4" w:space="0"/>
              <w:bottom w:val="single" w:color="auto" w:sz="4" w:space="0"/>
              <w:right w:val="single" w:color="auto" w:sz="4" w:space="0"/>
            </w:tcBorders>
            <w:vAlign w:val="center"/>
          </w:tcPr>
          <w:p w14:paraId="5F99EF77">
            <w:pPr>
              <w:jc w:val="both"/>
              <w:rPr>
                <w:rFonts w:ascii="仿宋" w:hAnsi="仿宋" w:eastAsia="仿宋" w:cs="仿宋"/>
                <w:color w:val="000000"/>
              </w:rPr>
            </w:pPr>
            <w:r>
              <w:rPr>
                <w:rFonts w:hint="eastAsia" w:ascii="仿宋" w:hAnsi="仿宋" w:eastAsia="仿宋" w:cs="仿宋"/>
                <w:color w:val="000000"/>
              </w:rPr>
              <w:t>受托机构报告期数与报告出具日期。</w:t>
            </w:r>
          </w:p>
        </w:tc>
        <w:tc>
          <w:tcPr>
            <w:tcW w:w="458" w:type="pct"/>
            <w:tcBorders>
              <w:top w:val="single" w:color="auto" w:sz="4" w:space="0"/>
              <w:left w:val="single" w:color="auto" w:sz="4" w:space="0"/>
              <w:bottom w:val="single" w:color="auto" w:sz="4" w:space="0"/>
              <w:right w:val="single" w:color="auto" w:sz="4" w:space="0"/>
            </w:tcBorders>
            <w:vAlign w:val="center"/>
          </w:tcPr>
          <w:p w14:paraId="01BD59AC">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0242F554">
            <w:pPr>
              <w:jc w:val="both"/>
              <w:rPr>
                <w:rFonts w:ascii="仿宋" w:hAnsi="仿宋" w:eastAsia="仿宋" w:cs="仿宋"/>
                <w:color w:val="000000"/>
              </w:rPr>
            </w:pPr>
          </w:p>
        </w:tc>
      </w:tr>
      <w:tr w14:paraId="1EF5AD58">
        <w:tblPrEx>
          <w:tblCellMar>
            <w:top w:w="0" w:type="dxa"/>
            <w:left w:w="108" w:type="dxa"/>
            <w:bottom w:w="0" w:type="dxa"/>
            <w:right w:w="108" w:type="dxa"/>
          </w:tblCellMar>
        </w:tblPrEx>
        <w:trPr>
          <w:trHeight w:val="270" w:hRule="atLeast"/>
        </w:trPr>
        <w:tc>
          <w:tcPr>
            <w:tcW w:w="588" w:type="pct"/>
            <w:tcBorders>
              <w:top w:val="nil"/>
              <w:left w:val="single" w:color="auto" w:sz="4" w:space="0"/>
              <w:bottom w:val="single" w:color="auto" w:sz="4" w:space="0"/>
              <w:right w:val="single" w:color="auto" w:sz="4" w:space="0"/>
            </w:tcBorders>
            <w:noWrap/>
            <w:vAlign w:val="center"/>
          </w:tcPr>
          <w:p w14:paraId="46BAD02F">
            <w:pPr>
              <w:jc w:val="both"/>
              <w:rPr>
                <w:rFonts w:ascii="仿宋" w:hAnsi="仿宋" w:eastAsia="仿宋" w:cs="仿宋"/>
                <w:color w:val="000000"/>
              </w:rPr>
            </w:pPr>
            <w:r>
              <w:rPr>
                <w:rFonts w:hint="eastAsia" w:ascii="仿宋" w:hAnsi="仿宋" w:eastAsia="仿宋" w:cs="仿宋"/>
                <w:color w:val="000000"/>
              </w:rPr>
              <w:t>S-0-3</w:t>
            </w:r>
          </w:p>
        </w:tc>
        <w:tc>
          <w:tcPr>
            <w:tcW w:w="3218" w:type="pct"/>
            <w:tcBorders>
              <w:top w:val="nil"/>
              <w:left w:val="single" w:color="auto" w:sz="4" w:space="0"/>
              <w:bottom w:val="single" w:color="auto" w:sz="4" w:space="0"/>
              <w:right w:val="single" w:color="auto" w:sz="4" w:space="0"/>
            </w:tcBorders>
            <w:vAlign w:val="center"/>
          </w:tcPr>
          <w:p w14:paraId="3F9B41AF">
            <w:pPr>
              <w:jc w:val="both"/>
              <w:rPr>
                <w:rFonts w:ascii="仿宋" w:hAnsi="仿宋" w:eastAsia="仿宋" w:cs="仿宋"/>
                <w:color w:val="000000"/>
              </w:rPr>
            </w:pPr>
            <w:r>
              <w:rPr>
                <w:rFonts w:hint="eastAsia" w:ascii="仿宋" w:hAnsi="仿宋" w:eastAsia="仿宋" w:cs="仿宋"/>
                <w:color w:val="000000"/>
              </w:rPr>
              <w:t>受托人关于出具受托机构报告的声明。</w:t>
            </w:r>
          </w:p>
        </w:tc>
        <w:tc>
          <w:tcPr>
            <w:tcW w:w="458" w:type="pct"/>
            <w:tcBorders>
              <w:top w:val="single" w:color="auto" w:sz="4" w:space="0"/>
              <w:left w:val="single" w:color="auto" w:sz="4" w:space="0"/>
              <w:bottom w:val="single" w:color="auto" w:sz="4" w:space="0"/>
              <w:right w:val="single" w:color="auto" w:sz="4" w:space="0"/>
            </w:tcBorders>
            <w:vAlign w:val="center"/>
          </w:tcPr>
          <w:p w14:paraId="47906A24">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7DC85633">
            <w:pPr>
              <w:jc w:val="both"/>
              <w:rPr>
                <w:rFonts w:ascii="仿宋" w:hAnsi="仿宋" w:eastAsia="仿宋" w:cs="仿宋"/>
                <w:color w:val="000000"/>
              </w:rPr>
            </w:pPr>
          </w:p>
        </w:tc>
      </w:tr>
      <w:tr w14:paraId="5D71E8AC">
        <w:tblPrEx>
          <w:tblCellMar>
            <w:top w:w="0" w:type="dxa"/>
            <w:left w:w="108" w:type="dxa"/>
            <w:bottom w:w="0" w:type="dxa"/>
            <w:right w:w="108" w:type="dxa"/>
          </w:tblCellMar>
        </w:tblPrEx>
        <w:trPr>
          <w:trHeight w:val="270" w:hRule="atLeast"/>
        </w:trPr>
        <w:tc>
          <w:tcPr>
            <w:tcW w:w="588" w:type="pct"/>
            <w:tcBorders>
              <w:top w:val="nil"/>
              <w:left w:val="single" w:color="auto" w:sz="4" w:space="0"/>
              <w:bottom w:val="single" w:color="auto" w:sz="4" w:space="0"/>
              <w:right w:val="single" w:color="auto" w:sz="4" w:space="0"/>
            </w:tcBorders>
            <w:noWrap/>
            <w:vAlign w:val="center"/>
          </w:tcPr>
          <w:p w14:paraId="260F5110">
            <w:pPr>
              <w:jc w:val="both"/>
              <w:rPr>
                <w:rFonts w:ascii="仿宋" w:hAnsi="仿宋" w:eastAsia="仿宋" w:cs="仿宋"/>
                <w:color w:val="000000"/>
              </w:rPr>
            </w:pPr>
            <w:r>
              <w:rPr>
                <w:rFonts w:hint="eastAsia" w:ascii="仿宋" w:hAnsi="仿宋" w:eastAsia="仿宋" w:cs="仿宋"/>
                <w:color w:val="000000"/>
              </w:rPr>
              <w:t>S-0-4</w:t>
            </w:r>
          </w:p>
        </w:tc>
        <w:tc>
          <w:tcPr>
            <w:tcW w:w="3218" w:type="pct"/>
            <w:tcBorders>
              <w:top w:val="nil"/>
              <w:left w:val="single" w:color="auto" w:sz="4" w:space="0"/>
              <w:bottom w:val="single" w:color="auto" w:sz="4" w:space="0"/>
              <w:right w:val="single" w:color="auto" w:sz="4" w:space="0"/>
            </w:tcBorders>
            <w:vAlign w:val="center"/>
          </w:tcPr>
          <w:p w14:paraId="56881A88">
            <w:pPr>
              <w:jc w:val="both"/>
              <w:rPr>
                <w:rFonts w:ascii="仿宋" w:hAnsi="仿宋" w:eastAsia="仿宋" w:cs="仿宋"/>
                <w:color w:val="000000"/>
              </w:rPr>
            </w:pPr>
            <w:r>
              <w:rPr>
                <w:rFonts w:hint="eastAsia" w:ascii="仿宋" w:hAnsi="仿宋" w:eastAsia="仿宋" w:cs="仿宋"/>
                <w:color w:val="000000"/>
              </w:rPr>
              <w:t>目录--标明各章、节的标题及相应的页码。</w:t>
            </w:r>
          </w:p>
        </w:tc>
        <w:tc>
          <w:tcPr>
            <w:tcW w:w="458" w:type="pct"/>
            <w:tcBorders>
              <w:top w:val="single" w:color="auto" w:sz="4" w:space="0"/>
              <w:left w:val="single" w:color="auto" w:sz="4" w:space="0"/>
              <w:bottom w:val="single" w:color="auto" w:sz="4" w:space="0"/>
              <w:right w:val="single" w:color="auto" w:sz="4" w:space="0"/>
            </w:tcBorders>
            <w:vAlign w:val="center"/>
          </w:tcPr>
          <w:p w14:paraId="41307A37">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6AF72CFB">
            <w:pPr>
              <w:jc w:val="both"/>
              <w:rPr>
                <w:rFonts w:ascii="仿宋" w:hAnsi="仿宋" w:eastAsia="仿宋" w:cs="仿宋"/>
                <w:color w:val="000000"/>
              </w:rPr>
            </w:pPr>
          </w:p>
        </w:tc>
      </w:tr>
      <w:tr w14:paraId="05F8C5D6">
        <w:tblPrEx>
          <w:tblCellMar>
            <w:top w:w="0" w:type="dxa"/>
            <w:left w:w="108" w:type="dxa"/>
            <w:bottom w:w="0" w:type="dxa"/>
            <w:right w:w="108" w:type="dxa"/>
          </w:tblCellMar>
        </w:tblPrEx>
        <w:trPr>
          <w:trHeight w:val="810" w:hRule="atLeast"/>
        </w:trPr>
        <w:tc>
          <w:tcPr>
            <w:tcW w:w="588" w:type="pct"/>
            <w:tcBorders>
              <w:top w:val="nil"/>
              <w:left w:val="single" w:color="auto" w:sz="4" w:space="0"/>
              <w:bottom w:val="single" w:color="auto" w:sz="4" w:space="0"/>
              <w:right w:val="single" w:color="auto" w:sz="4" w:space="0"/>
            </w:tcBorders>
            <w:noWrap/>
            <w:vAlign w:val="center"/>
          </w:tcPr>
          <w:p w14:paraId="5A3EF583">
            <w:pPr>
              <w:jc w:val="both"/>
              <w:rPr>
                <w:rFonts w:ascii="仿宋" w:hAnsi="仿宋" w:eastAsia="仿宋" w:cs="仿宋"/>
                <w:color w:val="000000"/>
              </w:rPr>
            </w:pPr>
            <w:r>
              <w:rPr>
                <w:rFonts w:hint="eastAsia" w:ascii="仿宋" w:hAnsi="仿宋" w:eastAsia="仿宋" w:cs="仿宋"/>
                <w:color w:val="000000"/>
              </w:rPr>
              <w:t>S-0-5</w:t>
            </w:r>
          </w:p>
        </w:tc>
        <w:tc>
          <w:tcPr>
            <w:tcW w:w="3218" w:type="pct"/>
            <w:tcBorders>
              <w:top w:val="nil"/>
              <w:left w:val="single" w:color="auto" w:sz="4" w:space="0"/>
              <w:bottom w:val="single" w:color="auto" w:sz="4" w:space="0"/>
              <w:right w:val="single" w:color="auto" w:sz="4" w:space="0"/>
            </w:tcBorders>
            <w:vAlign w:val="center"/>
          </w:tcPr>
          <w:p w14:paraId="653D40B1">
            <w:pPr>
              <w:jc w:val="both"/>
              <w:rPr>
                <w:rFonts w:ascii="仿宋" w:hAnsi="仿宋" w:eastAsia="仿宋" w:cs="仿宋"/>
                <w:color w:val="000000"/>
              </w:rPr>
            </w:pPr>
            <w:r>
              <w:rPr>
                <w:rFonts w:hint="eastAsia" w:ascii="仿宋" w:hAnsi="仿宋" w:eastAsia="仿宋" w:cs="仿宋"/>
                <w:color w:val="000000"/>
              </w:rPr>
              <w:t>机构介绍--受托机构、贷款服务机构、资金保管机构、资产服务顾问（如有）的名称、地址和联系方式。</w:t>
            </w:r>
          </w:p>
        </w:tc>
        <w:tc>
          <w:tcPr>
            <w:tcW w:w="458" w:type="pct"/>
            <w:tcBorders>
              <w:top w:val="single" w:color="auto" w:sz="4" w:space="0"/>
              <w:left w:val="single" w:color="auto" w:sz="4" w:space="0"/>
              <w:bottom w:val="single" w:color="auto" w:sz="4" w:space="0"/>
              <w:right w:val="single" w:color="auto" w:sz="4" w:space="0"/>
            </w:tcBorders>
            <w:vAlign w:val="center"/>
          </w:tcPr>
          <w:p w14:paraId="6DD908A9">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537D3C28">
            <w:pPr>
              <w:jc w:val="both"/>
              <w:rPr>
                <w:rFonts w:ascii="仿宋" w:hAnsi="仿宋" w:eastAsia="仿宋" w:cs="仿宋"/>
                <w:color w:val="000000"/>
              </w:rPr>
            </w:pPr>
            <w:r>
              <w:rPr>
                <w:rFonts w:hint="eastAsia" w:ascii="仿宋" w:hAnsi="仿宋" w:eastAsia="仿宋" w:cs="仿宋"/>
                <w:color w:val="000000"/>
              </w:rPr>
              <w:t>见附件1</w:t>
            </w:r>
          </w:p>
        </w:tc>
      </w:tr>
      <w:tr w14:paraId="599C5491">
        <w:tblPrEx>
          <w:tblCellMar>
            <w:top w:w="0" w:type="dxa"/>
            <w:left w:w="108" w:type="dxa"/>
            <w:bottom w:w="0" w:type="dxa"/>
            <w:right w:w="108" w:type="dxa"/>
          </w:tblCellMar>
        </w:tblPrEx>
        <w:trPr>
          <w:trHeight w:val="301" w:hRule="atLeast"/>
        </w:trPr>
        <w:tc>
          <w:tcPr>
            <w:tcW w:w="588" w:type="pct"/>
            <w:tcBorders>
              <w:top w:val="nil"/>
              <w:left w:val="single" w:color="auto" w:sz="4" w:space="0"/>
              <w:bottom w:val="single" w:color="auto" w:sz="4" w:space="0"/>
              <w:right w:val="single" w:color="auto" w:sz="4" w:space="0"/>
            </w:tcBorders>
            <w:noWrap/>
            <w:vAlign w:val="center"/>
          </w:tcPr>
          <w:p w14:paraId="1038A257">
            <w:pPr>
              <w:jc w:val="both"/>
              <w:rPr>
                <w:rFonts w:ascii="仿宋" w:hAnsi="仿宋" w:eastAsia="仿宋" w:cs="仿宋"/>
                <w:b/>
                <w:color w:val="000000"/>
              </w:rPr>
            </w:pPr>
            <w:r>
              <w:rPr>
                <w:rFonts w:hint="eastAsia" w:ascii="仿宋" w:hAnsi="仿宋" w:eastAsia="仿宋" w:cs="仿宋"/>
                <w:b/>
                <w:color w:val="000000"/>
              </w:rPr>
              <w:t>S-1</w:t>
            </w:r>
          </w:p>
        </w:tc>
        <w:tc>
          <w:tcPr>
            <w:tcW w:w="3218" w:type="pct"/>
            <w:tcBorders>
              <w:top w:val="nil"/>
              <w:left w:val="single" w:color="auto" w:sz="4" w:space="0"/>
              <w:bottom w:val="single" w:color="auto" w:sz="4" w:space="0"/>
              <w:right w:val="single" w:color="auto" w:sz="4" w:space="0"/>
            </w:tcBorders>
            <w:vAlign w:val="center"/>
          </w:tcPr>
          <w:p w14:paraId="030EBE17">
            <w:pPr>
              <w:jc w:val="both"/>
              <w:rPr>
                <w:rFonts w:ascii="仿宋" w:hAnsi="仿宋" w:eastAsia="仿宋" w:cs="仿宋"/>
                <w:b/>
                <w:color w:val="000000"/>
              </w:rPr>
            </w:pPr>
            <w:r>
              <w:rPr>
                <w:rFonts w:hint="eastAsia" w:ascii="仿宋" w:hAnsi="仿宋" w:eastAsia="仿宋" w:cs="仿宋"/>
                <w:b/>
                <w:color w:val="000000"/>
              </w:rPr>
              <w:t>信托账户本期核算情况</w:t>
            </w:r>
          </w:p>
        </w:tc>
        <w:tc>
          <w:tcPr>
            <w:tcW w:w="458" w:type="pct"/>
            <w:tcBorders>
              <w:top w:val="single" w:color="auto" w:sz="4" w:space="0"/>
              <w:left w:val="single" w:color="auto" w:sz="4" w:space="0"/>
              <w:bottom w:val="single" w:color="auto" w:sz="4" w:space="0"/>
              <w:right w:val="single" w:color="auto" w:sz="4" w:space="0"/>
            </w:tcBorders>
            <w:vAlign w:val="center"/>
          </w:tcPr>
          <w:p w14:paraId="057538E5">
            <w:pPr>
              <w:jc w:val="both"/>
              <w:rPr>
                <w:rFonts w:ascii="仿宋" w:hAnsi="仿宋" w:eastAsia="仿宋" w:cs="仿宋"/>
                <w:b/>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6D204C4A">
            <w:pPr>
              <w:jc w:val="both"/>
              <w:rPr>
                <w:rFonts w:ascii="仿宋" w:hAnsi="仿宋" w:eastAsia="仿宋" w:cs="仿宋"/>
                <w:b/>
                <w:color w:val="000000"/>
              </w:rPr>
            </w:pPr>
          </w:p>
        </w:tc>
      </w:tr>
      <w:tr w14:paraId="7C47B475">
        <w:tblPrEx>
          <w:tblCellMar>
            <w:top w:w="0" w:type="dxa"/>
            <w:left w:w="108" w:type="dxa"/>
            <w:bottom w:w="0" w:type="dxa"/>
            <w:right w:w="108" w:type="dxa"/>
          </w:tblCellMar>
        </w:tblPrEx>
        <w:trPr>
          <w:trHeight w:val="404" w:hRule="atLeast"/>
        </w:trPr>
        <w:tc>
          <w:tcPr>
            <w:tcW w:w="588" w:type="pct"/>
            <w:tcBorders>
              <w:top w:val="nil"/>
              <w:left w:val="single" w:color="auto" w:sz="4" w:space="0"/>
              <w:bottom w:val="single" w:color="auto" w:sz="4" w:space="0"/>
              <w:right w:val="single" w:color="auto" w:sz="4" w:space="0"/>
            </w:tcBorders>
            <w:noWrap/>
            <w:vAlign w:val="center"/>
          </w:tcPr>
          <w:p w14:paraId="3C798590">
            <w:pPr>
              <w:jc w:val="both"/>
              <w:rPr>
                <w:rFonts w:ascii="仿宋" w:hAnsi="仿宋" w:eastAsia="仿宋" w:cs="仿宋"/>
                <w:color w:val="000000"/>
              </w:rPr>
            </w:pPr>
            <w:r>
              <w:rPr>
                <w:rFonts w:hint="eastAsia" w:ascii="仿宋" w:hAnsi="仿宋" w:eastAsia="仿宋" w:cs="仿宋"/>
                <w:color w:val="000000"/>
              </w:rPr>
              <w:t>S-1-1</w:t>
            </w:r>
          </w:p>
        </w:tc>
        <w:tc>
          <w:tcPr>
            <w:tcW w:w="3218" w:type="pct"/>
            <w:tcBorders>
              <w:top w:val="nil"/>
              <w:left w:val="single" w:color="auto" w:sz="4" w:space="0"/>
              <w:bottom w:val="single" w:color="auto" w:sz="4" w:space="0"/>
              <w:right w:val="single" w:color="auto" w:sz="4" w:space="0"/>
            </w:tcBorders>
            <w:vAlign w:val="center"/>
          </w:tcPr>
          <w:p w14:paraId="42844726">
            <w:pPr>
              <w:jc w:val="both"/>
              <w:rPr>
                <w:rFonts w:ascii="仿宋" w:hAnsi="仿宋" w:eastAsia="仿宋" w:cs="仿宋"/>
                <w:color w:val="000000"/>
              </w:rPr>
            </w:pPr>
            <w:r>
              <w:rPr>
                <w:rFonts w:hint="eastAsia" w:ascii="仿宋" w:hAnsi="仿宋" w:eastAsia="仿宋" w:cs="仿宋"/>
                <w:color w:val="000000"/>
              </w:rPr>
              <w:t>总信托账户本期核算情况--本核算期的期初余额、现金流出总额、现金流入总额、期末余额。</w:t>
            </w:r>
          </w:p>
        </w:tc>
        <w:tc>
          <w:tcPr>
            <w:tcW w:w="458" w:type="pct"/>
            <w:tcBorders>
              <w:top w:val="single" w:color="auto" w:sz="4" w:space="0"/>
              <w:left w:val="single" w:color="auto" w:sz="4" w:space="0"/>
              <w:bottom w:val="single" w:color="auto" w:sz="4" w:space="0"/>
              <w:right w:val="single" w:color="auto" w:sz="4" w:space="0"/>
            </w:tcBorders>
            <w:vAlign w:val="center"/>
          </w:tcPr>
          <w:p w14:paraId="14560F31">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3D5A084C">
            <w:pPr>
              <w:jc w:val="both"/>
              <w:rPr>
                <w:rFonts w:ascii="仿宋" w:hAnsi="仿宋" w:eastAsia="仿宋" w:cs="仿宋"/>
                <w:color w:val="000000"/>
              </w:rPr>
            </w:pPr>
          </w:p>
        </w:tc>
      </w:tr>
      <w:tr w14:paraId="02DCB03D">
        <w:tblPrEx>
          <w:tblCellMar>
            <w:top w:w="0" w:type="dxa"/>
            <w:left w:w="108" w:type="dxa"/>
            <w:bottom w:w="0" w:type="dxa"/>
            <w:right w:w="108" w:type="dxa"/>
          </w:tblCellMar>
        </w:tblPrEx>
        <w:trPr>
          <w:trHeight w:val="63" w:hRule="atLeast"/>
        </w:trPr>
        <w:tc>
          <w:tcPr>
            <w:tcW w:w="588" w:type="pct"/>
            <w:tcBorders>
              <w:top w:val="nil"/>
              <w:left w:val="single" w:color="auto" w:sz="4" w:space="0"/>
              <w:bottom w:val="single" w:color="auto" w:sz="4" w:space="0"/>
              <w:right w:val="single" w:color="auto" w:sz="4" w:space="0"/>
            </w:tcBorders>
            <w:noWrap/>
            <w:vAlign w:val="center"/>
          </w:tcPr>
          <w:p w14:paraId="0EDF9441">
            <w:pPr>
              <w:jc w:val="both"/>
              <w:rPr>
                <w:rFonts w:ascii="仿宋" w:hAnsi="仿宋" w:eastAsia="仿宋" w:cs="仿宋"/>
                <w:color w:val="000000"/>
              </w:rPr>
            </w:pPr>
            <w:r>
              <w:rPr>
                <w:rFonts w:hint="eastAsia" w:ascii="仿宋" w:hAnsi="仿宋" w:eastAsia="仿宋" w:cs="仿宋"/>
                <w:color w:val="000000"/>
              </w:rPr>
              <w:t>S-1-2</w:t>
            </w:r>
          </w:p>
        </w:tc>
        <w:tc>
          <w:tcPr>
            <w:tcW w:w="3218" w:type="pct"/>
            <w:tcBorders>
              <w:top w:val="nil"/>
              <w:left w:val="single" w:color="auto" w:sz="4" w:space="0"/>
              <w:bottom w:val="single" w:color="auto" w:sz="4" w:space="0"/>
              <w:right w:val="single" w:color="auto" w:sz="4" w:space="0"/>
            </w:tcBorders>
            <w:vAlign w:val="center"/>
          </w:tcPr>
          <w:p w14:paraId="7287F23C">
            <w:pPr>
              <w:jc w:val="both"/>
              <w:rPr>
                <w:rFonts w:ascii="仿宋" w:hAnsi="仿宋" w:eastAsia="仿宋" w:cs="仿宋"/>
                <w:color w:val="000000"/>
              </w:rPr>
            </w:pPr>
            <w:r>
              <w:rPr>
                <w:rFonts w:hint="eastAsia" w:ascii="仿宋" w:hAnsi="仿宋" w:eastAsia="仿宋" w:cs="仿宋"/>
                <w:color w:val="000000"/>
              </w:rPr>
              <w:t>各信托子账户的本期核算情况—本核算期内回收款账户的期初余额、本期收入、本期支出、期末余额。</w:t>
            </w:r>
          </w:p>
        </w:tc>
        <w:tc>
          <w:tcPr>
            <w:tcW w:w="458" w:type="pct"/>
            <w:tcBorders>
              <w:top w:val="single" w:color="auto" w:sz="4" w:space="0"/>
              <w:left w:val="single" w:color="auto" w:sz="4" w:space="0"/>
              <w:bottom w:val="single" w:color="auto" w:sz="4" w:space="0"/>
              <w:right w:val="single" w:color="auto" w:sz="4" w:space="0"/>
            </w:tcBorders>
            <w:vAlign w:val="center"/>
          </w:tcPr>
          <w:p w14:paraId="280223FB">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7039FE90">
            <w:pPr>
              <w:jc w:val="both"/>
              <w:rPr>
                <w:rFonts w:ascii="仿宋" w:hAnsi="仿宋" w:eastAsia="仿宋" w:cs="仿宋"/>
                <w:color w:val="000000"/>
              </w:rPr>
            </w:pPr>
          </w:p>
        </w:tc>
      </w:tr>
      <w:tr w14:paraId="357C4A7F">
        <w:tblPrEx>
          <w:tblCellMar>
            <w:top w:w="0" w:type="dxa"/>
            <w:left w:w="108" w:type="dxa"/>
            <w:bottom w:w="0" w:type="dxa"/>
            <w:right w:w="108" w:type="dxa"/>
          </w:tblCellMar>
        </w:tblPrEx>
        <w:trPr>
          <w:trHeight w:val="566" w:hRule="atLeast"/>
        </w:trPr>
        <w:tc>
          <w:tcPr>
            <w:tcW w:w="588" w:type="pct"/>
            <w:tcBorders>
              <w:top w:val="nil"/>
              <w:left w:val="single" w:color="auto" w:sz="4" w:space="0"/>
              <w:bottom w:val="single" w:color="auto" w:sz="4" w:space="0"/>
              <w:right w:val="single" w:color="auto" w:sz="4" w:space="0"/>
            </w:tcBorders>
            <w:noWrap/>
            <w:vAlign w:val="center"/>
          </w:tcPr>
          <w:p w14:paraId="05912298">
            <w:pPr>
              <w:jc w:val="both"/>
              <w:rPr>
                <w:rFonts w:ascii="仿宋" w:hAnsi="仿宋" w:eastAsia="仿宋" w:cs="仿宋"/>
                <w:b/>
                <w:color w:val="000000"/>
              </w:rPr>
            </w:pPr>
            <w:r>
              <w:rPr>
                <w:rFonts w:hint="eastAsia" w:ascii="仿宋" w:hAnsi="仿宋" w:eastAsia="仿宋" w:cs="仿宋"/>
                <w:b/>
                <w:color w:val="000000"/>
              </w:rPr>
              <w:t>S-2</w:t>
            </w:r>
          </w:p>
        </w:tc>
        <w:tc>
          <w:tcPr>
            <w:tcW w:w="3218" w:type="pct"/>
            <w:tcBorders>
              <w:top w:val="nil"/>
              <w:left w:val="single" w:color="auto" w:sz="4" w:space="0"/>
              <w:bottom w:val="single" w:color="auto" w:sz="4" w:space="0"/>
              <w:right w:val="single" w:color="auto" w:sz="4" w:space="0"/>
            </w:tcBorders>
            <w:vAlign w:val="center"/>
          </w:tcPr>
          <w:p w14:paraId="39A6555D">
            <w:pPr>
              <w:jc w:val="both"/>
              <w:rPr>
                <w:rFonts w:ascii="仿宋" w:hAnsi="仿宋" w:eastAsia="仿宋" w:cs="仿宋"/>
                <w:b/>
                <w:color w:val="000000"/>
              </w:rPr>
            </w:pPr>
            <w:r>
              <w:rPr>
                <w:rFonts w:hint="eastAsia" w:ascii="仿宋" w:hAnsi="仿宋" w:eastAsia="仿宋" w:cs="仿宋"/>
                <w:b/>
                <w:color w:val="000000"/>
              </w:rPr>
              <w:t>证券日期及各档证券本息兑付情况</w:t>
            </w:r>
          </w:p>
        </w:tc>
        <w:tc>
          <w:tcPr>
            <w:tcW w:w="458" w:type="pct"/>
            <w:tcBorders>
              <w:top w:val="single" w:color="auto" w:sz="4" w:space="0"/>
              <w:left w:val="single" w:color="auto" w:sz="4" w:space="0"/>
              <w:bottom w:val="single" w:color="auto" w:sz="4" w:space="0"/>
              <w:right w:val="single" w:color="auto" w:sz="4" w:space="0"/>
            </w:tcBorders>
            <w:vAlign w:val="center"/>
          </w:tcPr>
          <w:p w14:paraId="77D349F9">
            <w:pPr>
              <w:jc w:val="both"/>
              <w:rPr>
                <w:rFonts w:ascii="仿宋" w:hAnsi="仿宋" w:eastAsia="仿宋" w:cs="仿宋"/>
                <w:b/>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267D44C1">
            <w:pPr>
              <w:jc w:val="both"/>
              <w:rPr>
                <w:rFonts w:ascii="仿宋" w:hAnsi="仿宋" w:eastAsia="仿宋" w:cs="仿宋"/>
                <w:b/>
                <w:color w:val="000000"/>
              </w:rPr>
            </w:pPr>
          </w:p>
        </w:tc>
      </w:tr>
      <w:tr w14:paraId="01B634C5">
        <w:tblPrEx>
          <w:tblCellMar>
            <w:top w:w="0" w:type="dxa"/>
            <w:left w:w="108" w:type="dxa"/>
            <w:bottom w:w="0" w:type="dxa"/>
            <w:right w:w="108" w:type="dxa"/>
          </w:tblCellMar>
        </w:tblPrEx>
        <w:trPr>
          <w:trHeight w:val="810" w:hRule="atLeast"/>
        </w:trPr>
        <w:tc>
          <w:tcPr>
            <w:tcW w:w="588" w:type="pct"/>
            <w:tcBorders>
              <w:top w:val="nil"/>
              <w:left w:val="single" w:color="auto" w:sz="4" w:space="0"/>
              <w:bottom w:val="single" w:color="auto" w:sz="4" w:space="0"/>
              <w:right w:val="single" w:color="auto" w:sz="4" w:space="0"/>
            </w:tcBorders>
            <w:noWrap/>
            <w:vAlign w:val="center"/>
          </w:tcPr>
          <w:p w14:paraId="02BA7F94">
            <w:pPr>
              <w:jc w:val="both"/>
              <w:rPr>
                <w:rFonts w:ascii="仿宋" w:hAnsi="仿宋" w:eastAsia="仿宋" w:cs="仿宋"/>
                <w:color w:val="000000"/>
              </w:rPr>
            </w:pPr>
            <w:r>
              <w:rPr>
                <w:rFonts w:hint="eastAsia" w:ascii="仿宋" w:hAnsi="仿宋" w:eastAsia="仿宋" w:cs="仿宋"/>
                <w:color w:val="000000"/>
              </w:rPr>
              <w:t>S-2-1</w:t>
            </w:r>
            <w:r>
              <w:rPr>
                <w:rStyle w:val="17"/>
                <w:rFonts w:hint="eastAsia" w:ascii="仿宋" w:hAnsi="仿宋" w:eastAsia="仿宋" w:cs="仿宋"/>
                <w:b w:val="0"/>
                <w:bCs/>
                <w:color w:val="000000"/>
                <w:sz w:val="28"/>
                <w:szCs w:val="28"/>
              </w:rPr>
              <w:footnoteReference w:id="38"/>
            </w:r>
          </w:p>
        </w:tc>
        <w:tc>
          <w:tcPr>
            <w:tcW w:w="3218" w:type="pct"/>
            <w:tcBorders>
              <w:top w:val="nil"/>
              <w:left w:val="single" w:color="auto" w:sz="4" w:space="0"/>
              <w:bottom w:val="single" w:color="auto" w:sz="4" w:space="0"/>
              <w:right w:val="single" w:color="auto" w:sz="4" w:space="0"/>
            </w:tcBorders>
            <w:vAlign w:val="center"/>
          </w:tcPr>
          <w:p w14:paraId="50639B88">
            <w:pPr>
              <w:jc w:val="both"/>
              <w:rPr>
                <w:rFonts w:ascii="仿宋" w:hAnsi="仿宋" w:eastAsia="仿宋" w:cs="仿宋"/>
                <w:color w:val="000000"/>
              </w:rPr>
            </w:pPr>
            <w:r>
              <w:rPr>
                <w:rFonts w:hint="eastAsia" w:ascii="仿宋" w:hAnsi="仿宋" w:eastAsia="仿宋" w:cs="仿宋"/>
                <w:color w:val="000000"/>
              </w:rPr>
              <w:t>证券日期概况--证券的信托设立日、本报告期（包括报告期初日期、报告期末日期）、本次证券计息期（包括计息期初日期、计息期末日期）、本次支付日以及证券的计息方式。</w:t>
            </w:r>
          </w:p>
        </w:tc>
        <w:tc>
          <w:tcPr>
            <w:tcW w:w="458" w:type="pct"/>
            <w:tcBorders>
              <w:top w:val="single" w:color="auto" w:sz="4" w:space="0"/>
              <w:left w:val="single" w:color="auto" w:sz="4" w:space="0"/>
              <w:bottom w:val="single" w:color="auto" w:sz="4" w:space="0"/>
              <w:right w:val="single" w:color="auto" w:sz="4" w:space="0"/>
            </w:tcBorders>
            <w:vAlign w:val="center"/>
          </w:tcPr>
          <w:p w14:paraId="05AADCE9">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349A139B">
            <w:pPr>
              <w:jc w:val="both"/>
              <w:rPr>
                <w:rFonts w:ascii="仿宋" w:hAnsi="仿宋" w:eastAsia="仿宋" w:cs="仿宋"/>
                <w:color w:val="000000"/>
              </w:rPr>
            </w:pPr>
            <w:r>
              <w:rPr>
                <w:rFonts w:hint="eastAsia" w:ascii="仿宋" w:hAnsi="仿宋" w:eastAsia="仿宋" w:cs="仿宋"/>
                <w:color w:val="000000"/>
              </w:rPr>
              <w:t>见附件2</w:t>
            </w:r>
          </w:p>
        </w:tc>
      </w:tr>
      <w:tr w14:paraId="5F3D32E3">
        <w:tblPrEx>
          <w:tblCellMar>
            <w:top w:w="0" w:type="dxa"/>
            <w:left w:w="108" w:type="dxa"/>
            <w:bottom w:w="0" w:type="dxa"/>
            <w:right w:w="108" w:type="dxa"/>
          </w:tblCellMar>
        </w:tblPrEx>
        <w:trPr>
          <w:trHeight w:val="810" w:hRule="atLeast"/>
        </w:trPr>
        <w:tc>
          <w:tcPr>
            <w:tcW w:w="588" w:type="pct"/>
            <w:tcBorders>
              <w:top w:val="nil"/>
              <w:left w:val="single" w:color="auto" w:sz="4" w:space="0"/>
              <w:bottom w:val="single" w:color="auto" w:sz="4" w:space="0"/>
              <w:right w:val="single" w:color="auto" w:sz="4" w:space="0"/>
            </w:tcBorders>
            <w:noWrap/>
            <w:vAlign w:val="center"/>
          </w:tcPr>
          <w:p w14:paraId="11F47161">
            <w:pPr>
              <w:jc w:val="both"/>
              <w:rPr>
                <w:rFonts w:ascii="仿宋" w:hAnsi="仿宋" w:eastAsia="仿宋" w:cs="仿宋"/>
                <w:color w:val="000000"/>
              </w:rPr>
            </w:pPr>
            <w:r>
              <w:rPr>
                <w:rFonts w:hint="eastAsia" w:ascii="仿宋" w:hAnsi="仿宋" w:eastAsia="仿宋" w:cs="仿宋"/>
                <w:color w:val="000000"/>
              </w:rPr>
              <w:t>S-2-2</w:t>
            </w:r>
          </w:p>
        </w:tc>
        <w:tc>
          <w:tcPr>
            <w:tcW w:w="3218" w:type="pct"/>
            <w:tcBorders>
              <w:top w:val="nil"/>
              <w:left w:val="single" w:color="auto" w:sz="4" w:space="0"/>
              <w:bottom w:val="single" w:color="auto" w:sz="4" w:space="0"/>
              <w:right w:val="single" w:color="auto" w:sz="4" w:space="0"/>
            </w:tcBorders>
            <w:vAlign w:val="center"/>
          </w:tcPr>
          <w:p w14:paraId="5CE9CB05">
            <w:pPr>
              <w:jc w:val="both"/>
              <w:rPr>
                <w:rFonts w:ascii="仿宋" w:hAnsi="仿宋" w:eastAsia="仿宋" w:cs="仿宋"/>
                <w:color w:val="000000"/>
              </w:rPr>
            </w:pPr>
            <w:r>
              <w:rPr>
                <w:rFonts w:hint="eastAsia" w:ascii="仿宋" w:hAnsi="仿宋" w:eastAsia="仿宋" w:cs="仿宋"/>
                <w:color w:val="000000"/>
              </w:rPr>
              <w:t>各档证券本息兑付情况--包括但不限于各档证券的资产支持证券代码、发行总额、是否按时兑付、票面利率、本期兑付前本金值、本期兑付本金总额、本息兑付后剩余本金值、付息金额、本期利息是否延迟支付等。</w:t>
            </w:r>
          </w:p>
        </w:tc>
        <w:tc>
          <w:tcPr>
            <w:tcW w:w="458" w:type="pct"/>
            <w:tcBorders>
              <w:top w:val="single" w:color="auto" w:sz="4" w:space="0"/>
              <w:left w:val="single" w:color="auto" w:sz="4" w:space="0"/>
              <w:bottom w:val="single" w:color="auto" w:sz="4" w:space="0"/>
              <w:right w:val="single" w:color="auto" w:sz="4" w:space="0"/>
            </w:tcBorders>
            <w:vAlign w:val="center"/>
          </w:tcPr>
          <w:p w14:paraId="4875C5F2">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24A4C7B6">
            <w:pPr>
              <w:jc w:val="both"/>
              <w:rPr>
                <w:rFonts w:ascii="仿宋" w:hAnsi="仿宋" w:eastAsia="仿宋" w:cs="仿宋"/>
                <w:color w:val="000000"/>
              </w:rPr>
            </w:pPr>
            <w:r>
              <w:rPr>
                <w:rFonts w:hint="eastAsia" w:ascii="仿宋" w:hAnsi="仿宋" w:eastAsia="仿宋" w:cs="仿宋"/>
                <w:color w:val="000000"/>
              </w:rPr>
              <w:t>见附件3</w:t>
            </w:r>
          </w:p>
        </w:tc>
      </w:tr>
      <w:tr w14:paraId="195C0384">
        <w:tblPrEx>
          <w:tblCellMar>
            <w:top w:w="0" w:type="dxa"/>
            <w:left w:w="108" w:type="dxa"/>
            <w:bottom w:w="0" w:type="dxa"/>
            <w:right w:w="108" w:type="dxa"/>
          </w:tblCellMar>
        </w:tblPrEx>
        <w:trPr>
          <w:trHeight w:val="700" w:hRule="atLeast"/>
        </w:trPr>
        <w:tc>
          <w:tcPr>
            <w:tcW w:w="588" w:type="pct"/>
            <w:tcBorders>
              <w:top w:val="nil"/>
              <w:left w:val="single" w:color="auto" w:sz="4" w:space="0"/>
              <w:bottom w:val="single" w:color="auto" w:sz="4" w:space="0"/>
              <w:right w:val="single" w:color="auto" w:sz="4" w:space="0"/>
            </w:tcBorders>
            <w:noWrap/>
            <w:vAlign w:val="center"/>
          </w:tcPr>
          <w:p w14:paraId="3B555386">
            <w:pPr>
              <w:jc w:val="both"/>
              <w:rPr>
                <w:rFonts w:ascii="仿宋" w:hAnsi="仿宋" w:eastAsia="仿宋" w:cs="仿宋"/>
                <w:b/>
                <w:color w:val="000000"/>
              </w:rPr>
            </w:pPr>
            <w:r>
              <w:rPr>
                <w:rFonts w:hint="eastAsia" w:ascii="仿宋" w:hAnsi="仿宋" w:eastAsia="仿宋" w:cs="仿宋"/>
                <w:b/>
                <w:color w:val="000000"/>
              </w:rPr>
              <w:t>S-3</w:t>
            </w:r>
          </w:p>
        </w:tc>
        <w:tc>
          <w:tcPr>
            <w:tcW w:w="3218" w:type="pct"/>
            <w:tcBorders>
              <w:top w:val="nil"/>
              <w:left w:val="nil"/>
              <w:bottom w:val="single" w:color="auto" w:sz="4" w:space="0"/>
              <w:right w:val="single" w:color="auto" w:sz="4" w:space="0"/>
            </w:tcBorders>
            <w:vAlign w:val="center"/>
          </w:tcPr>
          <w:p w14:paraId="4C9FF1C7">
            <w:pPr>
              <w:jc w:val="both"/>
              <w:rPr>
                <w:rFonts w:ascii="仿宋" w:hAnsi="仿宋" w:eastAsia="仿宋" w:cs="仿宋"/>
                <w:b/>
                <w:color w:val="000000"/>
              </w:rPr>
            </w:pPr>
            <w:r>
              <w:rPr>
                <w:rFonts w:hint="eastAsia" w:ascii="仿宋" w:hAnsi="仿宋" w:eastAsia="仿宋" w:cs="仿宋"/>
                <w:b/>
                <w:color w:val="000000"/>
              </w:rPr>
              <w:t>资产池表现情况</w:t>
            </w:r>
          </w:p>
        </w:tc>
        <w:tc>
          <w:tcPr>
            <w:tcW w:w="458" w:type="pct"/>
            <w:tcBorders>
              <w:top w:val="single" w:color="auto" w:sz="4" w:space="0"/>
              <w:left w:val="nil"/>
              <w:bottom w:val="single" w:color="auto" w:sz="4" w:space="0"/>
              <w:right w:val="single" w:color="auto" w:sz="4" w:space="0"/>
            </w:tcBorders>
            <w:vAlign w:val="center"/>
          </w:tcPr>
          <w:p w14:paraId="62B10522">
            <w:pPr>
              <w:jc w:val="both"/>
              <w:rPr>
                <w:rFonts w:ascii="仿宋" w:hAnsi="仿宋" w:eastAsia="仿宋" w:cs="仿宋"/>
                <w:b/>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7AC41C28">
            <w:pPr>
              <w:jc w:val="both"/>
              <w:rPr>
                <w:rFonts w:ascii="仿宋" w:hAnsi="仿宋" w:eastAsia="仿宋" w:cs="仿宋"/>
                <w:b/>
                <w:color w:val="000000"/>
              </w:rPr>
            </w:pPr>
          </w:p>
        </w:tc>
      </w:tr>
      <w:tr w14:paraId="56BB0E75">
        <w:tblPrEx>
          <w:tblCellMar>
            <w:top w:w="0" w:type="dxa"/>
            <w:left w:w="108" w:type="dxa"/>
            <w:bottom w:w="0" w:type="dxa"/>
            <w:right w:w="108" w:type="dxa"/>
          </w:tblCellMar>
        </w:tblPrEx>
        <w:trPr>
          <w:trHeight w:val="274" w:hRule="atLeast"/>
        </w:trPr>
        <w:tc>
          <w:tcPr>
            <w:tcW w:w="588" w:type="pct"/>
            <w:tcBorders>
              <w:top w:val="nil"/>
              <w:left w:val="single" w:color="auto" w:sz="4" w:space="0"/>
              <w:bottom w:val="single" w:color="auto" w:sz="4" w:space="0"/>
              <w:right w:val="single" w:color="auto" w:sz="4" w:space="0"/>
            </w:tcBorders>
            <w:noWrap/>
            <w:vAlign w:val="center"/>
          </w:tcPr>
          <w:p w14:paraId="34A67702">
            <w:pPr>
              <w:jc w:val="both"/>
              <w:rPr>
                <w:rFonts w:ascii="仿宋" w:hAnsi="仿宋" w:eastAsia="仿宋" w:cs="仿宋"/>
                <w:color w:val="000000"/>
              </w:rPr>
            </w:pPr>
            <w:r>
              <w:rPr>
                <w:rFonts w:hint="eastAsia" w:ascii="仿宋" w:hAnsi="仿宋" w:eastAsia="仿宋" w:cs="仿宋"/>
                <w:color w:val="000000"/>
              </w:rPr>
              <w:t>S-3-1</w:t>
            </w:r>
          </w:p>
        </w:tc>
        <w:tc>
          <w:tcPr>
            <w:tcW w:w="3218" w:type="pct"/>
            <w:tcBorders>
              <w:top w:val="nil"/>
              <w:left w:val="single" w:color="auto" w:sz="4" w:space="0"/>
              <w:bottom w:val="single" w:color="auto" w:sz="4" w:space="0"/>
              <w:right w:val="single" w:color="auto" w:sz="4" w:space="0"/>
            </w:tcBorders>
            <w:vAlign w:val="center"/>
          </w:tcPr>
          <w:p w14:paraId="0B2F8091">
            <w:pPr>
              <w:jc w:val="both"/>
              <w:rPr>
                <w:rFonts w:ascii="仿宋" w:hAnsi="仿宋" w:eastAsia="仿宋" w:cs="仿宋"/>
                <w:color w:val="000000"/>
                <w:highlight w:val="none"/>
              </w:rPr>
            </w:pPr>
            <w:r>
              <w:rPr>
                <w:rFonts w:hint="eastAsia" w:ascii="仿宋" w:hAnsi="仿宋" w:eastAsia="仿宋" w:cs="仿宋"/>
                <w:color w:val="000000"/>
                <w:highlight w:val="none"/>
              </w:rPr>
              <w:t>资产池整体表现情况—基准日时，资产池内拥有借款人户数、贷款笔数以及贷款本息余额。截止本回收期末，资产池内剩余借款人户数、贷款笔数、贷款本息余额、贷款加权平均逾期期限、贷款处置状态分布。回购或替换贷款笔数金额及占比</w:t>
            </w:r>
            <w:r>
              <w:rPr>
                <w:rStyle w:val="17"/>
                <w:rFonts w:hint="eastAsia" w:ascii="仿宋" w:hAnsi="仿宋" w:eastAsia="仿宋" w:cs="仿宋"/>
                <w:color w:val="000000"/>
                <w:highlight w:val="none"/>
              </w:rPr>
              <w:footnoteReference w:id="39"/>
            </w:r>
            <w:r>
              <w:rPr>
                <w:rFonts w:hint="eastAsia" w:ascii="仿宋" w:hAnsi="仿宋" w:eastAsia="仿宋" w:cs="仿宋"/>
                <w:color w:val="000000"/>
                <w:highlight w:val="none"/>
              </w:rPr>
              <w:t>。</w:t>
            </w:r>
          </w:p>
        </w:tc>
        <w:tc>
          <w:tcPr>
            <w:tcW w:w="458" w:type="pct"/>
            <w:tcBorders>
              <w:top w:val="single" w:color="auto" w:sz="4" w:space="0"/>
              <w:left w:val="single" w:color="auto" w:sz="4" w:space="0"/>
              <w:bottom w:val="single" w:color="auto" w:sz="4" w:space="0"/>
              <w:right w:val="single" w:color="auto" w:sz="4" w:space="0"/>
            </w:tcBorders>
            <w:vAlign w:val="center"/>
          </w:tcPr>
          <w:p w14:paraId="19C21228">
            <w:pPr>
              <w:jc w:val="both"/>
              <w:rPr>
                <w:rFonts w:ascii="仿宋" w:hAnsi="仿宋" w:eastAsia="仿宋" w:cs="仿宋"/>
                <w:color w:val="000000"/>
                <w:highlight w:val="none"/>
              </w:rPr>
            </w:pPr>
          </w:p>
        </w:tc>
        <w:tc>
          <w:tcPr>
            <w:tcW w:w="736" w:type="pct"/>
            <w:tcBorders>
              <w:top w:val="single" w:color="auto" w:sz="4" w:space="0"/>
              <w:left w:val="single" w:color="auto" w:sz="4" w:space="0"/>
              <w:bottom w:val="single" w:color="auto" w:sz="4" w:space="0"/>
              <w:right w:val="single" w:color="auto" w:sz="4" w:space="0"/>
            </w:tcBorders>
            <w:vAlign w:val="center"/>
          </w:tcPr>
          <w:p w14:paraId="1AAA57F3">
            <w:pPr>
              <w:jc w:val="both"/>
              <w:rPr>
                <w:rFonts w:hint="eastAsia" w:ascii="仿宋" w:hAnsi="仿宋" w:eastAsia="仿宋" w:cs="仿宋"/>
                <w:color w:val="000000"/>
                <w:highlight w:val="none"/>
                <w:lang w:eastAsia="zh-CN"/>
              </w:rPr>
            </w:pPr>
            <w:r>
              <w:rPr>
                <w:rFonts w:hint="eastAsia" w:ascii="仿宋" w:hAnsi="仿宋" w:eastAsia="仿宋" w:cs="仿宋"/>
                <w:color w:val="000000"/>
                <w:highlight w:val="none"/>
              </w:rPr>
              <w:t>见附件</w:t>
            </w:r>
            <w:r>
              <w:rPr>
                <w:rFonts w:ascii="仿宋" w:hAnsi="仿宋" w:eastAsia="仿宋" w:cs="仿宋"/>
                <w:color w:val="000000"/>
                <w:highlight w:val="none"/>
              </w:rPr>
              <w:t>4</w:t>
            </w:r>
            <w:r>
              <w:rPr>
                <w:rFonts w:hint="eastAsia" w:ascii="仿宋" w:hAnsi="仿宋" w:eastAsia="仿宋" w:cs="仿宋"/>
                <w:color w:val="000000"/>
                <w:highlight w:val="none"/>
              </w:rPr>
              <w:t>至</w:t>
            </w:r>
            <w:r>
              <w:rPr>
                <w:rFonts w:hint="eastAsia" w:ascii="仿宋" w:hAnsi="仿宋" w:eastAsia="仿宋" w:cs="仿宋"/>
                <w:color w:val="000000"/>
                <w:highlight w:val="none"/>
                <w:lang w:val="en-US" w:eastAsia="zh-CN"/>
              </w:rPr>
              <w:t>5</w:t>
            </w:r>
          </w:p>
        </w:tc>
      </w:tr>
      <w:tr w14:paraId="79C6EF01">
        <w:tblPrEx>
          <w:tblCellMar>
            <w:top w:w="0" w:type="dxa"/>
            <w:left w:w="108" w:type="dxa"/>
            <w:bottom w:w="0" w:type="dxa"/>
            <w:right w:w="108" w:type="dxa"/>
          </w:tblCellMar>
        </w:tblPrEx>
        <w:trPr>
          <w:trHeight w:val="802" w:hRule="atLeast"/>
        </w:trPr>
        <w:tc>
          <w:tcPr>
            <w:tcW w:w="1002" w:type="dxa"/>
            <w:tcBorders>
              <w:top w:val="single" w:color="auto" w:sz="4" w:space="0"/>
              <w:left w:val="single" w:color="auto" w:sz="4" w:space="0"/>
              <w:bottom w:val="nil"/>
              <w:right w:val="single" w:color="auto" w:sz="4" w:space="0"/>
            </w:tcBorders>
            <w:noWrap/>
            <w:vAlign w:val="center"/>
          </w:tcPr>
          <w:p w14:paraId="2B90FCD0">
            <w:pPr>
              <w:jc w:val="both"/>
              <w:rPr>
                <w:rFonts w:hint="eastAsia" w:ascii="仿宋" w:hAnsi="仿宋" w:eastAsia="仿宋" w:cs="仿宋"/>
                <w:color w:val="000000"/>
                <w:lang w:val="en-US" w:eastAsia="zh-CN"/>
              </w:rPr>
            </w:pPr>
            <w:r>
              <w:rPr>
                <w:rFonts w:hint="eastAsia" w:ascii="仿宋" w:hAnsi="仿宋" w:eastAsia="仿宋" w:cs="仿宋"/>
                <w:color w:val="000000"/>
              </w:rPr>
              <w:t>S-3-</w:t>
            </w:r>
            <w:r>
              <w:rPr>
                <w:rFonts w:hint="eastAsia" w:ascii="仿宋" w:hAnsi="仿宋" w:eastAsia="仿宋" w:cs="仿宋"/>
                <w:color w:val="000000"/>
                <w:lang w:val="en-US" w:eastAsia="zh-CN"/>
              </w:rPr>
              <w:t>2</w:t>
            </w:r>
          </w:p>
        </w:tc>
        <w:tc>
          <w:tcPr>
            <w:tcW w:w="5485" w:type="dxa"/>
            <w:tcBorders>
              <w:top w:val="single" w:color="auto" w:sz="4" w:space="0"/>
              <w:left w:val="single" w:color="auto" w:sz="4" w:space="0"/>
              <w:bottom w:val="nil"/>
              <w:right w:val="single" w:color="auto" w:sz="4" w:space="0"/>
            </w:tcBorders>
            <w:vAlign w:val="center"/>
          </w:tcPr>
          <w:p w14:paraId="78C531AD">
            <w:pPr>
              <w:jc w:val="both"/>
              <w:rPr>
                <w:rFonts w:hint="eastAsia" w:ascii="仿宋" w:hAnsi="仿宋" w:eastAsia="仿宋" w:cs="仿宋"/>
                <w:color w:val="000000"/>
                <w:highlight w:val="none"/>
              </w:rPr>
            </w:pPr>
            <w:r>
              <w:rPr>
                <w:rFonts w:hint="eastAsia" w:ascii="仿宋" w:hAnsi="仿宋" w:eastAsia="仿宋" w:cs="仿宋"/>
                <w:color w:val="000000"/>
                <w:highlight w:val="none"/>
              </w:rPr>
              <w:t>资产池</w:t>
            </w:r>
            <w:r>
              <w:rPr>
                <w:rFonts w:hint="eastAsia" w:ascii="仿宋" w:hAnsi="仿宋" w:eastAsia="仿宋" w:cs="仿宋"/>
                <w:color w:val="000000"/>
                <w:highlight w:val="none"/>
                <w:lang w:val="en-US" w:eastAsia="zh-CN"/>
              </w:rPr>
              <w:t>当前</w:t>
            </w:r>
            <w:r>
              <w:rPr>
                <w:rFonts w:hint="eastAsia" w:ascii="仿宋" w:hAnsi="仿宋" w:eastAsia="仿宋" w:cs="仿宋"/>
                <w:color w:val="000000"/>
                <w:highlight w:val="none"/>
              </w:rPr>
              <w:t>表现情况—截止本回收期末，资产池内</w:t>
            </w:r>
            <w:r>
              <w:rPr>
                <w:rFonts w:hint="eastAsia" w:ascii="仿宋" w:hAnsi="仿宋" w:eastAsia="仿宋" w:cs="仿宋"/>
                <w:color w:val="000000"/>
                <w:highlight w:val="none"/>
                <w:lang w:val="en-US" w:eastAsia="zh-CN"/>
              </w:rPr>
              <w:t>处置中</w:t>
            </w:r>
            <w:r>
              <w:rPr>
                <w:rFonts w:hint="eastAsia" w:ascii="仿宋" w:hAnsi="仿宋" w:eastAsia="仿宋" w:cs="仿宋"/>
                <w:color w:val="000000"/>
                <w:highlight w:val="none"/>
              </w:rPr>
              <w:t>贷款未偿本息余额分布、</w:t>
            </w:r>
            <w:r>
              <w:rPr>
                <w:rFonts w:hint="eastAsia" w:ascii="仿宋" w:hAnsi="仿宋" w:eastAsia="仿宋" w:cs="仿宋"/>
                <w:color w:val="000000"/>
                <w:highlight w:val="none"/>
                <w:lang w:val="en-US" w:eastAsia="zh-CN"/>
              </w:rPr>
              <w:t>处置中</w:t>
            </w:r>
            <w:r>
              <w:rPr>
                <w:rFonts w:hint="eastAsia" w:ascii="仿宋" w:hAnsi="仿宋" w:eastAsia="仿宋" w:cs="仿宋"/>
                <w:color w:val="000000"/>
                <w:highlight w:val="none"/>
              </w:rPr>
              <w:t>贷款逾期期限分布、</w:t>
            </w:r>
            <w:r>
              <w:rPr>
                <w:rFonts w:hint="eastAsia" w:ascii="仿宋" w:hAnsi="仿宋" w:eastAsia="仿宋" w:cs="仿宋"/>
                <w:color w:val="000000"/>
                <w:highlight w:val="none"/>
                <w:lang w:val="en-US" w:eastAsia="zh-CN"/>
              </w:rPr>
              <w:t>处置中</w:t>
            </w:r>
            <w:r>
              <w:rPr>
                <w:rFonts w:hint="eastAsia" w:ascii="仿宋" w:hAnsi="仿宋" w:eastAsia="仿宋" w:cs="仿宋"/>
                <w:color w:val="000000"/>
                <w:highlight w:val="none"/>
              </w:rPr>
              <w:t>贷款担保方式分布、</w:t>
            </w:r>
            <w:r>
              <w:rPr>
                <w:rFonts w:hint="eastAsia" w:ascii="仿宋" w:hAnsi="仿宋" w:eastAsia="仿宋" w:cs="仿宋"/>
                <w:color w:val="000000"/>
                <w:highlight w:val="none"/>
                <w:lang w:val="en-US" w:eastAsia="zh-CN"/>
              </w:rPr>
              <w:t>处置中贷款</w:t>
            </w:r>
            <w:r>
              <w:rPr>
                <w:rFonts w:hint="eastAsia" w:ascii="仿宋" w:hAnsi="仿宋" w:eastAsia="仿宋" w:cs="仿宋"/>
                <w:color w:val="000000"/>
                <w:highlight w:val="none"/>
              </w:rPr>
              <w:t>抵（质）押物所在城市及状态分布。</w:t>
            </w:r>
          </w:p>
        </w:tc>
        <w:tc>
          <w:tcPr>
            <w:tcW w:w="781" w:type="dxa"/>
            <w:tcBorders>
              <w:top w:val="single" w:color="auto" w:sz="4" w:space="0"/>
              <w:left w:val="single" w:color="auto" w:sz="4" w:space="0"/>
              <w:bottom w:val="single" w:color="auto" w:sz="4" w:space="0"/>
              <w:right w:val="single" w:color="auto" w:sz="4" w:space="0"/>
            </w:tcBorders>
            <w:vAlign w:val="center"/>
          </w:tcPr>
          <w:p w14:paraId="38A318DF">
            <w:pPr>
              <w:jc w:val="both"/>
              <w:rPr>
                <w:rFonts w:ascii="仿宋" w:hAnsi="仿宋" w:eastAsia="仿宋" w:cs="仿宋"/>
                <w:color w:val="000000"/>
                <w:highlight w:val="none"/>
              </w:rPr>
            </w:pPr>
          </w:p>
        </w:tc>
        <w:tc>
          <w:tcPr>
            <w:tcW w:w="1254" w:type="dxa"/>
            <w:tcBorders>
              <w:top w:val="single" w:color="auto" w:sz="4" w:space="0"/>
              <w:left w:val="single" w:color="auto" w:sz="4" w:space="0"/>
              <w:bottom w:val="single" w:color="auto" w:sz="4" w:space="0"/>
              <w:right w:val="single" w:color="auto" w:sz="4" w:space="0"/>
            </w:tcBorders>
            <w:vAlign w:val="center"/>
          </w:tcPr>
          <w:p w14:paraId="4CA3DA14">
            <w:pPr>
              <w:jc w:val="both"/>
              <w:rPr>
                <w:rFonts w:hint="eastAsia" w:ascii="仿宋" w:hAnsi="仿宋" w:eastAsia="仿宋" w:cs="仿宋"/>
                <w:color w:val="000000"/>
                <w:highlight w:val="none"/>
              </w:rPr>
            </w:pPr>
            <w:r>
              <w:rPr>
                <w:rFonts w:hint="eastAsia" w:ascii="仿宋" w:hAnsi="仿宋" w:eastAsia="仿宋" w:cs="仿宋"/>
                <w:color w:val="000000"/>
                <w:highlight w:val="none"/>
              </w:rPr>
              <w:t>见附件</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至10</w:t>
            </w:r>
          </w:p>
        </w:tc>
      </w:tr>
      <w:tr w14:paraId="0A4227E8">
        <w:tblPrEx>
          <w:tblCellMar>
            <w:top w:w="0" w:type="dxa"/>
            <w:left w:w="108" w:type="dxa"/>
            <w:bottom w:w="0" w:type="dxa"/>
            <w:right w:w="108" w:type="dxa"/>
          </w:tblCellMar>
        </w:tblPrEx>
        <w:trPr>
          <w:trHeight w:val="802" w:hRule="atLeast"/>
        </w:trPr>
        <w:tc>
          <w:tcPr>
            <w:tcW w:w="588" w:type="pct"/>
            <w:tcBorders>
              <w:top w:val="single" w:color="auto" w:sz="4" w:space="0"/>
              <w:left w:val="single" w:color="auto" w:sz="4" w:space="0"/>
              <w:bottom w:val="nil"/>
              <w:right w:val="single" w:color="auto" w:sz="4" w:space="0"/>
            </w:tcBorders>
            <w:noWrap/>
            <w:vAlign w:val="center"/>
          </w:tcPr>
          <w:p w14:paraId="2EC70002">
            <w:pPr>
              <w:jc w:val="both"/>
              <w:rPr>
                <w:rFonts w:ascii="仿宋" w:hAnsi="仿宋" w:eastAsia="仿宋" w:cs="仿宋"/>
                <w:color w:val="000000"/>
              </w:rPr>
            </w:pPr>
            <w:r>
              <w:rPr>
                <w:rFonts w:hint="eastAsia" w:ascii="仿宋" w:hAnsi="仿宋" w:eastAsia="仿宋" w:cs="仿宋"/>
                <w:color w:val="000000"/>
              </w:rPr>
              <w:t>S-3-</w:t>
            </w:r>
            <w:r>
              <w:rPr>
                <w:rFonts w:hint="eastAsia" w:ascii="仿宋" w:hAnsi="仿宋" w:eastAsia="仿宋" w:cs="仿宋"/>
                <w:color w:val="000000"/>
                <w:lang w:val="en-US" w:eastAsia="zh-CN"/>
              </w:rPr>
              <w:t>3</w:t>
            </w:r>
          </w:p>
        </w:tc>
        <w:tc>
          <w:tcPr>
            <w:tcW w:w="3218" w:type="pct"/>
            <w:tcBorders>
              <w:top w:val="single" w:color="auto" w:sz="4" w:space="0"/>
              <w:left w:val="single" w:color="auto" w:sz="4" w:space="0"/>
              <w:bottom w:val="nil"/>
              <w:right w:val="single" w:color="auto" w:sz="4" w:space="0"/>
            </w:tcBorders>
            <w:vAlign w:val="center"/>
          </w:tcPr>
          <w:p w14:paraId="2EF5623C">
            <w:pPr>
              <w:jc w:val="both"/>
              <w:rPr>
                <w:rFonts w:ascii="仿宋" w:hAnsi="仿宋" w:eastAsia="仿宋" w:cs="仿宋"/>
                <w:color w:val="000000"/>
              </w:rPr>
            </w:pPr>
            <w:r>
              <w:rPr>
                <w:rFonts w:hint="eastAsia" w:ascii="仿宋" w:hAnsi="仿宋" w:eastAsia="仿宋" w:cs="仿宋"/>
                <w:color w:val="000000"/>
              </w:rPr>
              <w:t>资产池现金流入情况--本次报告期资产池的回收金额，包括处置中以及处置完毕贷款的情况（包括但不限于户数及占比、期初本息金额及占比、回收情况等内容）、其他收入、合格投资金额等，如入池资产同时包括信用类和抵押类，除总体现金流流入外，还需按信用类/抵押类别分别披露现金流流入情况。</w:t>
            </w:r>
          </w:p>
        </w:tc>
        <w:tc>
          <w:tcPr>
            <w:tcW w:w="458" w:type="pct"/>
            <w:tcBorders>
              <w:top w:val="single" w:color="auto" w:sz="4" w:space="0"/>
              <w:left w:val="single" w:color="auto" w:sz="4" w:space="0"/>
              <w:bottom w:val="single" w:color="auto" w:sz="4" w:space="0"/>
              <w:right w:val="single" w:color="auto" w:sz="4" w:space="0"/>
            </w:tcBorders>
            <w:vAlign w:val="center"/>
          </w:tcPr>
          <w:p w14:paraId="2130B2A8">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4BD76DDB">
            <w:pPr>
              <w:jc w:val="both"/>
              <w:rPr>
                <w:rFonts w:ascii="仿宋" w:hAnsi="仿宋" w:eastAsia="仿宋" w:cs="仿宋"/>
                <w:color w:val="000000"/>
              </w:rPr>
            </w:pPr>
            <w:r>
              <w:rPr>
                <w:rFonts w:hint="eastAsia" w:ascii="仿宋" w:hAnsi="仿宋" w:eastAsia="仿宋" w:cs="仿宋"/>
                <w:color w:val="000000"/>
              </w:rPr>
              <w:t>见附件11</w:t>
            </w:r>
          </w:p>
        </w:tc>
      </w:tr>
      <w:tr w14:paraId="7006371C">
        <w:tblPrEx>
          <w:tblCellMar>
            <w:top w:w="0" w:type="dxa"/>
            <w:left w:w="108" w:type="dxa"/>
            <w:bottom w:w="0" w:type="dxa"/>
            <w:right w:w="108" w:type="dxa"/>
          </w:tblCellMar>
        </w:tblPrEx>
        <w:trPr>
          <w:trHeight w:val="274"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5F679603">
            <w:pPr>
              <w:jc w:val="both"/>
              <w:rPr>
                <w:rFonts w:ascii="仿宋" w:hAnsi="仿宋" w:eastAsia="仿宋" w:cs="仿宋"/>
                <w:b/>
                <w:color w:val="000000"/>
              </w:rPr>
            </w:pPr>
            <w:r>
              <w:rPr>
                <w:rFonts w:hint="eastAsia" w:ascii="仿宋" w:hAnsi="仿宋" w:eastAsia="仿宋" w:cs="仿宋"/>
                <w:color w:val="000000"/>
              </w:rPr>
              <w:t>S-3-</w:t>
            </w:r>
            <w:r>
              <w:rPr>
                <w:rFonts w:hint="eastAsia" w:ascii="仿宋" w:hAnsi="仿宋" w:eastAsia="仿宋" w:cs="仿宋"/>
                <w:color w:val="000000"/>
                <w:lang w:val="en-US" w:eastAsia="zh-CN"/>
              </w:rPr>
              <w:t>4</w:t>
            </w:r>
          </w:p>
        </w:tc>
        <w:tc>
          <w:tcPr>
            <w:tcW w:w="3218" w:type="pct"/>
            <w:tcBorders>
              <w:top w:val="single" w:color="auto" w:sz="4" w:space="0"/>
              <w:left w:val="single" w:color="auto" w:sz="4" w:space="0"/>
              <w:bottom w:val="single" w:color="auto" w:sz="4" w:space="0"/>
              <w:right w:val="single" w:color="auto" w:sz="4" w:space="0"/>
            </w:tcBorders>
            <w:vAlign w:val="center"/>
          </w:tcPr>
          <w:p w14:paraId="64AED636">
            <w:pPr>
              <w:jc w:val="both"/>
              <w:rPr>
                <w:rFonts w:ascii="仿宋" w:hAnsi="仿宋" w:eastAsia="仿宋" w:cs="仿宋"/>
                <w:b/>
                <w:color w:val="000000"/>
              </w:rPr>
            </w:pPr>
            <w:r>
              <w:rPr>
                <w:rFonts w:hint="eastAsia" w:ascii="仿宋" w:hAnsi="仿宋" w:eastAsia="仿宋" w:cs="仿宋"/>
                <w:color w:val="000000"/>
              </w:rPr>
              <w:t>资产池现金流出情况--本次报告期资产池的税费支付以及证券兑付等情况，包括但不限于本次报告期信托财产税费支出情况，包括但不限于增值税金及附加、代理兑付费、处置费用、服务机构报酬（包括受托机构、资金保管机构、评级机构、审计机构等的报酬）、其他费用支付、证券利息支出、证券本金支出、次级超额收益支出、转存下期金额等。</w:t>
            </w:r>
          </w:p>
        </w:tc>
        <w:tc>
          <w:tcPr>
            <w:tcW w:w="458" w:type="pct"/>
            <w:tcBorders>
              <w:top w:val="single" w:color="auto" w:sz="4" w:space="0"/>
              <w:left w:val="single" w:color="auto" w:sz="4" w:space="0"/>
              <w:bottom w:val="single" w:color="auto" w:sz="4" w:space="0"/>
              <w:right w:val="single" w:color="auto" w:sz="4" w:space="0"/>
            </w:tcBorders>
            <w:vAlign w:val="center"/>
          </w:tcPr>
          <w:p w14:paraId="3A18CA2A">
            <w:pPr>
              <w:jc w:val="both"/>
              <w:rPr>
                <w:rFonts w:ascii="仿宋" w:hAnsi="仿宋" w:eastAsia="仿宋" w:cs="仿宋"/>
                <w:b/>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0CCF2757">
            <w:pPr>
              <w:jc w:val="both"/>
              <w:rPr>
                <w:rFonts w:ascii="仿宋" w:hAnsi="仿宋" w:eastAsia="仿宋" w:cs="仿宋"/>
                <w:b/>
                <w:color w:val="000000"/>
              </w:rPr>
            </w:pPr>
          </w:p>
        </w:tc>
      </w:tr>
      <w:tr w14:paraId="09121810">
        <w:tblPrEx>
          <w:tblCellMar>
            <w:top w:w="0" w:type="dxa"/>
            <w:left w:w="108" w:type="dxa"/>
            <w:bottom w:w="0" w:type="dxa"/>
            <w:right w:w="108" w:type="dxa"/>
          </w:tblCellMar>
        </w:tblPrEx>
        <w:trPr>
          <w:trHeight w:val="274"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59FDF9F0">
            <w:pPr>
              <w:jc w:val="both"/>
              <w:rPr>
                <w:rFonts w:ascii="仿宋" w:hAnsi="仿宋" w:eastAsia="仿宋" w:cs="仿宋"/>
                <w:b/>
                <w:color w:val="000000"/>
              </w:rPr>
            </w:pPr>
            <w:r>
              <w:rPr>
                <w:rFonts w:hint="eastAsia" w:ascii="仿宋" w:hAnsi="仿宋" w:eastAsia="仿宋" w:cs="仿宋"/>
                <w:color w:val="000000"/>
              </w:rPr>
              <w:t>S-3-</w:t>
            </w:r>
            <w:r>
              <w:rPr>
                <w:rFonts w:hint="eastAsia" w:ascii="仿宋" w:hAnsi="仿宋" w:eastAsia="仿宋" w:cs="仿宋"/>
                <w:color w:val="000000"/>
                <w:lang w:val="en-US" w:eastAsia="zh-CN"/>
              </w:rPr>
              <w:t>5</w:t>
            </w:r>
          </w:p>
        </w:tc>
        <w:tc>
          <w:tcPr>
            <w:tcW w:w="3218" w:type="pct"/>
            <w:tcBorders>
              <w:top w:val="single" w:color="auto" w:sz="4" w:space="0"/>
              <w:left w:val="single" w:color="auto" w:sz="4" w:space="0"/>
              <w:bottom w:val="single" w:color="auto" w:sz="4" w:space="0"/>
              <w:right w:val="single" w:color="auto" w:sz="4" w:space="0"/>
            </w:tcBorders>
            <w:vAlign w:val="center"/>
          </w:tcPr>
          <w:p w14:paraId="25F34AB7">
            <w:pPr>
              <w:jc w:val="both"/>
              <w:rPr>
                <w:rFonts w:ascii="仿宋" w:hAnsi="仿宋" w:eastAsia="仿宋" w:cs="仿宋"/>
                <w:b/>
                <w:color w:val="000000"/>
              </w:rPr>
            </w:pPr>
            <w:r>
              <w:rPr>
                <w:rFonts w:hint="eastAsia" w:ascii="仿宋" w:hAnsi="仿宋" w:eastAsia="仿宋" w:cs="仿宋"/>
                <w:color w:val="000000"/>
              </w:rPr>
              <w:t>预计资产池未来表现情况。</w:t>
            </w:r>
          </w:p>
        </w:tc>
        <w:tc>
          <w:tcPr>
            <w:tcW w:w="458" w:type="pct"/>
            <w:tcBorders>
              <w:top w:val="single" w:color="auto" w:sz="4" w:space="0"/>
              <w:left w:val="single" w:color="auto" w:sz="4" w:space="0"/>
              <w:bottom w:val="single" w:color="auto" w:sz="4" w:space="0"/>
              <w:right w:val="single" w:color="auto" w:sz="4" w:space="0"/>
            </w:tcBorders>
            <w:vAlign w:val="center"/>
          </w:tcPr>
          <w:p w14:paraId="2E7C3D99">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153D5052">
            <w:pPr>
              <w:jc w:val="both"/>
              <w:rPr>
                <w:rFonts w:ascii="仿宋" w:hAnsi="仿宋" w:eastAsia="仿宋" w:cs="仿宋"/>
                <w:color w:val="000000"/>
              </w:rPr>
            </w:pPr>
            <w:r>
              <w:rPr>
                <w:rFonts w:hint="eastAsia" w:ascii="仿宋" w:hAnsi="仿宋" w:eastAsia="仿宋" w:cs="仿宋"/>
                <w:color w:val="000000"/>
                <w:highlight w:val="none"/>
              </w:rPr>
              <w:t>见附件</w:t>
            </w:r>
            <w:r>
              <w:rPr>
                <w:rFonts w:ascii="仿宋" w:hAnsi="仿宋" w:eastAsia="仿宋" w:cs="仿宋"/>
                <w:color w:val="000000"/>
                <w:highlight w:val="none"/>
              </w:rPr>
              <w:t>12</w:t>
            </w:r>
          </w:p>
        </w:tc>
      </w:tr>
      <w:tr w14:paraId="1A78D87B">
        <w:tblPrEx>
          <w:tblCellMar>
            <w:top w:w="0" w:type="dxa"/>
            <w:left w:w="108" w:type="dxa"/>
            <w:bottom w:w="0" w:type="dxa"/>
            <w:right w:w="108" w:type="dxa"/>
          </w:tblCellMar>
        </w:tblPrEx>
        <w:trPr>
          <w:trHeight w:val="274"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4ADF309F">
            <w:pPr>
              <w:jc w:val="both"/>
              <w:rPr>
                <w:rFonts w:ascii="仿宋" w:hAnsi="仿宋" w:eastAsia="仿宋" w:cs="仿宋"/>
                <w:b/>
                <w:color w:val="000000"/>
              </w:rPr>
            </w:pPr>
            <w:r>
              <w:rPr>
                <w:rFonts w:hint="eastAsia" w:ascii="仿宋" w:hAnsi="仿宋" w:eastAsia="仿宋" w:cs="仿宋"/>
                <w:b/>
                <w:color w:val="000000"/>
              </w:rPr>
              <w:t>S-4</w:t>
            </w:r>
          </w:p>
        </w:tc>
        <w:tc>
          <w:tcPr>
            <w:tcW w:w="3218" w:type="pct"/>
            <w:tcBorders>
              <w:top w:val="single" w:color="auto" w:sz="4" w:space="0"/>
              <w:left w:val="single" w:color="auto" w:sz="4" w:space="0"/>
              <w:bottom w:val="single" w:color="auto" w:sz="4" w:space="0"/>
              <w:right w:val="single" w:color="auto" w:sz="4" w:space="0"/>
            </w:tcBorders>
            <w:vAlign w:val="center"/>
          </w:tcPr>
          <w:p w14:paraId="6DF67487">
            <w:pPr>
              <w:jc w:val="both"/>
              <w:rPr>
                <w:rFonts w:ascii="仿宋" w:hAnsi="仿宋" w:eastAsia="仿宋" w:cs="仿宋"/>
                <w:b/>
                <w:color w:val="000000"/>
              </w:rPr>
            </w:pPr>
            <w:r>
              <w:rPr>
                <w:rFonts w:hint="eastAsia" w:ascii="仿宋" w:hAnsi="仿宋" w:eastAsia="仿宋" w:cs="仿宋"/>
                <w:b/>
                <w:color w:val="000000"/>
              </w:rPr>
              <w:t>信用增进情况</w:t>
            </w:r>
          </w:p>
        </w:tc>
        <w:tc>
          <w:tcPr>
            <w:tcW w:w="458" w:type="pct"/>
            <w:tcBorders>
              <w:top w:val="single" w:color="auto" w:sz="4" w:space="0"/>
              <w:left w:val="single" w:color="auto" w:sz="4" w:space="0"/>
              <w:bottom w:val="single" w:color="auto" w:sz="4" w:space="0"/>
              <w:right w:val="single" w:color="auto" w:sz="4" w:space="0"/>
            </w:tcBorders>
            <w:vAlign w:val="center"/>
          </w:tcPr>
          <w:p w14:paraId="7BCBAB06">
            <w:pPr>
              <w:jc w:val="both"/>
              <w:rPr>
                <w:rFonts w:ascii="仿宋" w:hAnsi="仿宋" w:eastAsia="仿宋" w:cs="仿宋"/>
                <w:b/>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4B67F450">
            <w:pPr>
              <w:jc w:val="both"/>
              <w:rPr>
                <w:rFonts w:ascii="仿宋" w:hAnsi="仿宋" w:eastAsia="仿宋" w:cs="仿宋"/>
                <w:b/>
                <w:color w:val="000000"/>
              </w:rPr>
            </w:pPr>
          </w:p>
        </w:tc>
      </w:tr>
      <w:tr w14:paraId="58165951">
        <w:tblPrEx>
          <w:tblCellMar>
            <w:top w:w="0" w:type="dxa"/>
            <w:left w:w="108" w:type="dxa"/>
            <w:bottom w:w="0" w:type="dxa"/>
            <w:right w:w="108" w:type="dxa"/>
          </w:tblCellMar>
        </w:tblPrEx>
        <w:trPr>
          <w:trHeight w:val="274"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0BB371C7">
            <w:pPr>
              <w:jc w:val="both"/>
              <w:rPr>
                <w:rFonts w:ascii="仿宋" w:hAnsi="仿宋" w:eastAsia="仿宋" w:cs="仿宋"/>
                <w:color w:val="000000"/>
              </w:rPr>
            </w:pPr>
            <w:r>
              <w:rPr>
                <w:rFonts w:hint="eastAsia" w:ascii="仿宋" w:hAnsi="仿宋" w:eastAsia="仿宋" w:cs="仿宋"/>
                <w:color w:val="000000"/>
              </w:rPr>
              <w:t>S-4-1</w:t>
            </w:r>
          </w:p>
        </w:tc>
        <w:tc>
          <w:tcPr>
            <w:tcW w:w="3218" w:type="pct"/>
            <w:tcBorders>
              <w:top w:val="single" w:color="auto" w:sz="4" w:space="0"/>
              <w:left w:val="single" w:color="auto" w:sz="4" w:space="0"/>
              <w:bottom w:val="single" w:color="auto" w:sz="4" w:space="0"/>
              <w:right w:val="single" w:color="auto" w:sz="4" w:space="0"/>
            </w:tcBorders>
            <w:vAlign w:val="center"/>
          </w:tcPr>
          <w:p w14:paraId="215E2AD3">
            <w:pPr>
              <w:jc w:val="both"/>
              <w:rPr>
                <w:rFonts w:ascii="仿宋" w:hAnsi="仿宋" w:eastAsia="仿宋" w:cs="仿宋"/>
                <w:color w:val="000000"/>
              </w:rPr>
            </w:pPr>
            <w:r>
              <w:rPr>
                <w:rFonts w:hint="eastAsia" w:ascii="仿宋" w:hAnsi="仿宋" w:eastAsia="仿宋" w:cs="仿宋"/>
                <w:color w:val="000000"/>
              </w:rPr>
              <w:t>信用增进情况--本期证券采用的信用增进方式及各信用增进方式具体情况，例如：</w:t>
            </w:r>
            <w:r>
              <w:rPr>
                <w:rFonts w:hint="eastAsia" w:ascii="仿宋" w:hAnsi="仿宋" w:eastAsia="仿宋" w:cs="仿宋"/>
                <w:color w:val="000000"/>
                <w:lang w:eastAsia="zh-CN"/>
              </w:rPr>
              <w:t>采取</w:t>
            </w:r>
            <w:r>
              <w:rPr>
                <w:rFonts w:hint="eastAsia" w:ascii="仿宋" w:hAnsi="仿宋" w:eastAsia="仿宋" w:cs="仿宋"/>
                <w:color w:val="000000"/>
              </w:rPr>
              <w:t>优先/次级证券结构的增进方式，则需要披露各档证券剩余本金金额以及占比；采用设立信托准备金账户的增进方式，则需要披露各信托准备金账户的期末余额等。</w:t>
            </w:r>
          </w:p>
        </w:tc>
        <w:tc>
          <w:tcPr>
            <w:tcW w:w="458" w:type="pct"/>
            <w:tcBorders>
              <w:top w:val="single" w:color="auto" w:sz="4" w:space="0"/>
              <w:left w:val="single" w:color="auto" w:sz="4" w:space="0"/>
              <w:bottom w:val="single" w:color="auto" w:sz="4" w:space="0"/>
              <w:right w:val="single" w:color="auto" w:sz="4" w:space="0"/>
            </w:tcBorders>
            <w:vAlign w:val="center"/>
          </w:tcPr>
          <w:p w14:paraId="410B22E9">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2D5CE592">
            <w:pPr>
              <w:jc w:val="both"/>
              <w:rPr>
                <w:rFonts w:ascii="仿宋" w:hAnsi="仿宋" w:eastAsia="仿宋" w:cs="仿宋"/>
                <w:color w:val="000000"/>
              </w:rPr>
            </w:pPr>
          </w:p>
        </w:tc>
      </w:tr>
      <w:tr w14:paraId="51E6351C">
        <w:tblPrEx>
          <w:tblCellMar>
            <w:top w:w="0" w:type="dxa"/>
            <w:left w:w="108" w:type="dxa"/>
            <w:bottom w:w="0" w:type="dxa"/>
            <w:right w:w="108" w:type="dxa"/>
          </w:tblCellMar>
        </w:tblPrEx>
        <w:trPr>
          <w:trHeight w:val="274"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60F374BB">
            <w:pPr>
              <w:jc w:val="both"/>
              <w:rPr>
                <w:rFonts w:ascii="仿宋" w:hAnsi="仿宋" w:eastAsia="仿宋" w:cs="仿宋"/>
                <w:b/>
                <w:color w:val="000000"/>
              </w:rPr>
            </w:pPr>
            <w:r>
              <w:rPr>
                <w:rFonts w:hint="eastAsia" w:ascii="仿宋" w:hAnsi="仿宋" w:eastAsia="仿宋" w:cs="仿宋"/>
                <w:b/>
                <w:color w:val="000000"/>
              </w:rPr>
              <w:t>S-4</w:t>
            </w:r>
          </w:p>
        </w:tc>
        <w:tc>
          <w:tcPr>
            <w:tcW w:w="3218" w:type="pct"/>
            <w:tcBorders>
              <w:top w:val="single" w:color="auto" w:sz="4" w:space="0"/>
              <w:left w:val="single" w:color="auto" w:sz="4" w:space="0"/>
              <w:bottom w:val="single" w:color="auto" w:sz="4" w:space="0"/>
              <w:right w:val="single" w:color="auto" w:sz="4" w:space="0"/>
            </w:tcBorders>
            <w:vAlign w:val="center"/>
          </w:tcPr>
          <w:p w14:paraId="1990501E">
            <w:pPr>
              <w:jc w:val="both"/>
              <w:rPr>
                <w:rFonts w:ascii="仿宋" w:hAnsi="仿宋" w:eastAsia="仿宋" w:cs="仿宋"/>
                <w:b/>
                <w:color w:val="000000"/>
              </w:rPr>
            </w:pPr>
            <w:r>
              <w:rPr>
                <w:rFonts w:hint="eastAsia" w:ascii="仿宋" w:hAnsi="仿宋" w:eastAsia="仿宋" w:cs="仿宋"/>
                <w:b/>
                <w:color w:val="000000"/>
              </w:rPr>
              <w:t>年度报告期内重大事项披露情况</w:t>
            </w:r>
          </w:p>
        </w:tc>
        <w:tc>
          <w:tcPr>
            <w:tcW w:w="458" w:type="pct"/>
            <w:tcBorders>
              <w:top w:val="single" w:color="auto" w:sz="4" w:space="0"/>
              <w:left w:val="single" w:color="auto" w:sz="4" w:space="0"/>
              <w:bottom w:val="single" w:color="auto" w:sz="4" w:space="0"/>
              <w:right w:val="single" w:color="auto" w:sz="4" w:space="0"/>
            </w:tcBorders>
            <w:vAlign w:val="center"/>
          </w:tcPr>
          <w:p w14:paraId="558A94E5">
            <w:pPr>
              <w:jc w:val="both"/>
              <w:rPr>
                <w:rFonts w:ascii="仿宋" w:hAnsi="仿宋" w:eastAsia="仿宋" w:cs="仿宋"/>
                <w:color w:val="000000"/>
              </w:rPr>
            </w:pPr>
          </w:p>
        </w:tc>
        <w:tc>
          <w:tcPr>
            <w:tcW w:w="736" w:type="pct"/>
            <w:tcBorders>
              <w:top w:val="single" w:color="auto" w:sz="4" w:space="0"/>
              <w:left w:val="single" w:color="auto" w:sz="4" w:space="0"/>
              <w:bottom w:val="single" w:color="auto" w:sz="4" w:space="0"/>
              <w:right w:val="single" w:color="auto" w:sz="4" w:space="0"/>
            </w:tcBorders>
            <w:vAlign w:val="center"/>
          </w:tcPr>
          <w:p w14:paraId="4886A473">
            <w:pPr>
              <w:jc w:val="both"/>
              <w:rPr>
                <w:rFonts w:ascii="仿宋" w:hAnsi="仿宋" w:eastAsia="仿宋" w:cs="仿宋"/>
                <w:color w:val="000000"/>
              </w:rPr>
            </w:pPr>
            <w:r>
              <w:rPr>
                <w:rFonts w:hint="eastAsia" w:ascii="仿宋" w:hAnsi="仿宋" w:eastAsia="仿宋" w:cs="仿宋"/>
                <w:color w:val="000000"/>
              </w:rPr>
              <w:t>见附件</w:t>
            </w:r>
            <w:r>
              <w:rPr>
                <w:rFonts w:ascii="仿宋" w:hAnsi="仿宋" w:eastAsia="仿宋" w:cs="仿宋"/>
                <w:color w:val="000000"/>
              </w:rPr>
              <w:t>1</w:t>
            </w:r>
            <w:r>
              <w:rPr>
                <w:rFonts w:hint="eastAsia" w:ascii="仿宋" w:hAnsi="仿宋" w:eastAsia="仿宋" w:cs="仿宋"/>
                <w:color w:val="000000"/>
              </w:rPr>
              <w:t>3</w:t>
            </w:r>
          </w:p>
        </w:tc>
      </w:tr>
    </w:tbl>
    <w:p w14:paraId="4E752EB2">
      <w:pPr>
        <w:jc w:val="both"/>
        <w:rPr>
          <w:rFonts w:ascii="仿宋" w:hAnsi="仿宋" w:eastAsia="仿宋" w:cs="仿宋"/>
          <w:color w:val="000000"/>
        </w:rPr>
      </w:pPr>
    </w:p>
    <w:p w14:paraId="0E224A92">
      <w:pPr>
        <w:jc w:val="both"/>
        <w:rPr>
          <w:rFonts w:ascii="仿宋" w:hAnsi="仿宋" w:eastAsia="仿宋" w:cs="仿宋"/>
          <w:b/>
          <w:color w:val="000000"/>
        </w:rPr>
      </w:pPr>
    </w:p>
    <w:p w14:paraId="311065C8">
      <w:pPr>
        <w:jc w:val="both"/>
        <w:rPr>
          <w:rFonts w:ascii="仿宋" w:hAnsi="仿宋" w:eastAsia="仿宋" w:cs="仿宋"/>
          <w:b/>
          <w:color w:val="000000"/>
        </w:rPr>
      </w:pPr>
      <w:r>
        <w:rPr>
          <w:rFonts w:hint="eastAsia" w:ascii="仿宋" w:hAnsi="仿宋" w:eastAsia="仿宋" w:cs="仿宋"/>
          <w:b/>
          <w:color w:val="000000"/>
        </w:rPr>
        <w:t>附件1：机构介绍</w:t>
      </w:r>
    </w:p>
    <w:tbl>
      <w:tblPr>
        <w:tblStyle w:val="10"/>
        <w:tblW w:w="8527" w:type="dxa"/>
        <w:tblInd w:w="0" w:type="dxa"/>
        <w:tblLayout w:type="fixed"/>
        <w:tblCellMar>
          <w:top w:w="0" w:type="dxa"/>
          <w:left w:w="108" w:type="dxa"/>
          <w:bottom w:w="0" w:type="dxa"/>
          <w:right w:w="108" w:type="dxa"/>
        </w:tblCellMar>
      </w:tblPr>
      <w:tblGrid>
        <w:gridCol w:w="2131"/>
        <w:gridCol w:w="2132"/>
        <w:gridCol w:w="2132"/>
        <w:gridCol w:w="2132"/>
      </w:tblGrid>
      <w:tr w14:paraId="2B48BCF2">
        <w:tblPrEx>
          <w:tblCellMar>
            <w:top w:w="0" w:type="dxa"/>
            <w:left w:w="108" w:type="dxa"/>
            <w:bottom w:w="0" w:type="dxa"/>
            <w:right w:w="108" w:type="dxa"/>
          </w:tblCellMar>
        </w:tblPrEx>
        <w:trPr>
          <w:trHeight w:val="270" w:hRule="atLeast"/>
        </w:trPr>
        <w:tc>
          <w:tcPr>
            <w:tcW w:w="2131" w:type="dxa"/>
            <w:tcBorders>
              <w:top w:val="single" w:color="auto" w:sz="4" w:space="0"/>
              <w:left w:val="single" w:color="auto" w:sz="4" w:space="0"/>
              <w:bottom w:val="single" w:color="auto" w:sz="4" w:space="0"/>
              <w:right w:val="single" w:color="auto" w:sz="4" w:space="0"/>
            </w:tcBorders>
            <w:vAlign w:val="center"/>
          </w:tcPr>
          <w:p w14:paraId="5050FC12">
            <w:pPr>
              <w:jc w:val="both"/>
              <w:rPr>
                <w:rFonts w:ascii="仿宋" w:hAnsi="仿宋" w:eastAsia="仿宋" w:cs="仿宋"/>
                <w:color w:val="000000"/>
                <w:sz w:val="22"/>
                <w:szCs w:val="22"/>
              </w:rPr>
            </w:pPr>
            <w:r>
              <w:rPr>
                <w:rFonts w:hint="eastAsia" w:ascii="仿宋" w:hAnsi="仿宋" w:eastAsia="仿宋" w:cs="仿宋"/>
                <w:color w:val="000000"/>
                <w:sz w:val="22"/>
                <w:szCs w:val="22"/>
              </w:rPr>
              <w:t>机构类别</w:t>
            </w:r>
          </w:p>
        </w:tc>
        <w:tc>
          <w:tcPr>
            <w:tcW w:w="2132" w:type="dxa"/>
            <w:tcBorders>
              <w:top w:val="single" w:color="auto" w:sz="4" w:space="0"/>
              <w:left w:val="nil"/>
              <w:bottom w:val="single" w:color="auto" w:sz="4" w:space="0"/>
              <w:right w:val="single" w:color="auto" w:sz="4" w:space="0"/>
            </w:tcBorders>
            <w:vAlign w:val="center"/>
          </w:tcPr>
          <w:p w14:paraId="4253DFCB">
            <w:pPr>
              <w:jc w:val="both"/>
              <w:rPr>
                <w:rFonts w:ascii="仿宋" w:hAnsi="仿宋" w:eastAsia="仿宋" w:cs="仿宋"/>
                <w:color w:val="000000"/>
                <w:sz w:val="22"/>
                <w:szCs w:val="22"/>
              </w:rPr>
            </w:pPr>
            <w:r>
              <w:rPr>
                <w:rFonts w:hint="eastAsia" w:ascii="仿宋" w:hAnsi="仿宋" w:eastAsia="仿宋" w:cs="仿宋"/>
                <w:color w:val="000000"/>
                <w:sz w:val="22"/>
                <w:szCs w:val="22"/>
              </w:rPr>
              <w:t>机构名称</w:t>
            </w:r>
          </w:p>
        </w:tc>
        <w:tc>
          <w:tcPr>
            <w:tcW w:w="2132" w:type="dxa"/>
            <w:tcBorders>
              <w:top w:val="single" w:color="auto" w:sz="4" w:space="0"/>
              <w:left w:val="nil"/>
              <w:bottom w:val="single" w:color="auto" w:sz="4" w:space="0"/>
              <w:right w:val="single" w:color="auto" w:sz="4" w:space="0"/>
            </w:tcBorders>
            <w:vAlign w:val="center"/>
          </w:tcPr>
          <w:p w14:paraId="0EA5EA9E">
            <w:pPr>
              <w:jc w:val="both"/>
              <w:rPr>
                <w:rFonts w:ascii="仿宋" w:hAnsi="仿宋" w:eastAsia="仿宋" w:cs="仿宋"/>
                <w:color w:val="000000"/>
                <w:sz w:val="22"/>
                <w:szCs w:val="22"/>
              </w:rPr>
            </w:pPr>
            <w:r>
              <w:rPr>
                <w:rFonts w:hint="eastAsia" w:ascii="仿宋" w:hAnsi="仿宋" w:eastAsia="仿宋" w:cs="仿宋"/>
                <w:color w:val="000000"/>
                <w:sz w:val="22"/>
                <w:szCs w:val="22"/>
              </w:rPr>
              <w:t>机构地址</w:t>
            </w:r>
          </w:p>
        </w:tc>
        <w:tc>
          <w:tcPr>
            <w:tcW w:w="2132" w:type="dxa"/>
            <w:tcBorders>
              <w:top w:val="single" w:color="auto" w:sz="4" w:space="0"/>
              <w:left w:val="nil"/>
              <w:bottom w:val="single" w:color="auto" w:sz="4" w:space="0"/>
              <w:right w:val="single" w:color="auto" w:sz="4" w:space="0"/>
            </w:tcBorders>
            <w:vAlign w:val="center"/>
          </w:tcPr>
          <w:p w14:paraId="71434020">
            <w:pPr>
              <w:jc w:val="both"/>
              <w:rPr>
                <w:rFonts w:ascii="仿宋" w:hAnsi="仿宋" w:eastAsia="仿宋" w:cs="仿宋"/>
                <w:color w:val="000000"/>
                <w:sz w:val="22"/>
                <w:szCs w:val="22"/>
              </w:rPr>
            </w:pPr>
            <w:r>
              <w:rPr>
                <w:rFonts w:hint="eastAsia" w:ascii="仿宋" w:hAnsi="仿宋" w:eastAsia="仿宋" w:cs="仿宋"/>
                <w:color w:val="000000"/>
                <w:sz w:val="22"/>
                <w:szCs w:val="22"/>
              </w:rPr>
              <w:t>联系电话</w:t>
            </w:r>
          </w:p>
        </w:tc>
      </w:tr>
      <w:tr w14:paraId="4810EE4B">
        <w:tblPrEx>
          <w:tblCellMar>
            <w:top w:w="0" w:type="dxa"/>
            <w:left w:w="108" w:type="dxa"/>
            <w:bottom w:w="0" w:type="dxa"/>
            <w:right w:w="108" w:type="dxa"/>
          </w:tblCellMar>
        </w:tblPrEx>
        <w:trPr>
          <w:trHeight w:val="270" w:hRule="atLeast"/>
        </w:trPr>
        <w:tc>
          <w:tcPr>
            <w:tcW w:w="2131" w:type="dxa"/>
            <w:tcBorders>
              <w:top w:val="nil"/>
              <w:left w:val="single" w:color="auto" w:sz="4" w:space="0"/>
              <w:bottom w:val="single" w:color="auto" w:sz="4" w:space="0"/>
              <w:right w:val="single" w:color="auto" w:sz="4" w:space="0"/>
            </w:tcBorders>
            <w:vAlign w:val="center"/>
          </w:tcPr>
          <w:p w14:paraId="2AE3F9B4">
            <w:pPr>
              <w:jc w:val="both"/>
              <w:rPr>
                <w:rFonts w:ascii="仿宋" w:hAnsi="仿宋" w:eastAsia="仿宋" w:cs="仿宋"/>
                <w:color w:val="000000"/>
                <w:sz w:val="22"/>
                <w:szCs w:val="22"/>
              </w:rPr>
            </w:pPr>
            <w:r>
              <w:rPr>
                <w:rFonts w:hint="eastAsia" w:ascii="仿宋" w:hAnsi="仿宋" w:eastAsia="仿宋" w:cs="仿宋"/>
                <w:color w:val="000000"/>
                <w:sz w:val="22"/>
                <w:szCs w:val="22"/>
              </w:rPr>
              <w:t>受托机构</w:t>
            </w:r>
          </w:p>
        </w:tc>
        <w:tc>
          <w:tcPr>
            <w:tcW w:w="2132" w:type="dxa"/>
            <w:tcBorders>
              <w:top w:val="nil"/>
              <w:left w:val="single" w:color="auto" w:sz="4" w:space="0"/>
              <w:bottom w:val="single" w:color="auto" w:sz="4" w:space="0"/>
              <w:right w:val="single" w:color="auto" w:sz="4" w:space="0"/>
            </w:tcBorders>
            <w:vAlign w:val="center"/>
          </w:tcPr>
          <w:p w14:paraId="3C9F35F1">
            <w:pPr>
              <w:jc w:val="both"/>
              <w:rPr>
                <w:rFonts w:ascii="仿宋" w:hAnsi="仿宋" w:eastAsia="仿宋" w:cs="仿宋"/>
                <w:color w:val="000000"/>
                <w:sz w:val="22"/>
                <w:szCs w:val="22"/>
              </w:rPr>
            </w:pPr>
          </w:p>
        </w:tc>
        <w:tc>
          <w:tcPr>
            <w:tcW w:w="2132" w:type="dxa"/>
            <w:tcBorders>
              <w:top w:val="nil"/>
              <w:left w:val="nil"/>
              <w:bottom w:val="single" w:color="auto" w:sz="4" w:space="0"/>
              <w:right w:val="single" w:color="auto" w:sz="4" w:space="0"/>
            </w:tcBorders>
            <w:vAlign w:val="center"/>
          </w:tcPr>
          <w:p w14:paraId="14662874">
            <w:pPr>
              <w:jc w:val="both"/>
              <w:rPr>
                <w:rFonts w:ascii="仿宋" w:hAnsi="仿宋" w:eastAsia="仿宋" w:cs="仿宋"/>
                <w:color w:val="000000"/>
                <w:sz w:val="22"/>
                <w:szCs w:val="22"/>
              </w:rPr>
            </w:pPr>
          </w:p>
        </w:tc>
        <w:tc>
          <w:tcPr>
            <w:tcW w:w="2132" w:type="dxa"/>
            <w:tcBorders>
              <w:top w:val="nil"/>
              <w:left w:val="single" w:color="auto" w:sz="4" w:space="0"/>
              <w:bottom w:val="single" w:color="auto" w:sz="4" w:space="0"/>
              <w:right w:val="single" w:color="auto" w:sz="4" w:space="0"/>
            </w:tcBorders>
            <w:vAlign w:val="center"/>
          </w:tcPr>
          <w:p w14:paraId="62C346C7">
            <w:pPr>
              <w:jc w:val="both"/>
              <w:rPr>
                <w:rFonts w:ascii="仿宋" w:hAnsi="仿宋" w:eastAsia="仿宋" w:cs="仿宋"/>
                <w:color w:val="000000"/>
                <w:sz w:val="22"/>
                <w:szCs w:val="22"/>
              </w:rPr>
            </w:pPr>
          </w:p>
        </w:tc>
      </w:tr>
      <w:tr w14:paraId="4A12C465">
        <w:tblPrEx>
          <w:tblCellMar>
            <w:top w:w="0" w:type="dxa"/>
            <w:left w:w="108" w:type="dxa"/>
            <w:bottom w:w="0" w:type="dxa"/>
            <w:right w:w="108" w:type="dxa"/>
          </w:tblCellMar>
        </w:tblPrEx>
        <w:trPr>
          <w:trHeight w:val="270" w:hRule="atLeast"/>
        </w:trPr>
        <w:tc>
          <w:tcPr>
            <w:tcW w:w="2131" w:type="dxa"/>
            <w:tcBorders>
              <w:top w:val="nil"/>
              <w:left w:val="single" w:color="auto" w:sz="4" w:space="0"/>
              <w:bottom w:val="single" w:color="auto" w:sz="4" w:space="0"/>
              <w:right w:val="single" w:color="auto" w:sz="4" w:space="0"/>
            </w:tcBorders>
            <w:vAlign w:val="center"/>
          </w:tcPr>
          <w:p w14:paraId="3A33476E">
            <w:pPr>
              <w:jc w:val="both"/>
              <w:rPr>
                <w:rFonts w:ascii="仿宋" w:hAnsi="仿宋" w:eastAsia="仿宋" w:cs="仿宋"/>
                <w:color w:val="000000"/>
                <w:sz w:val="22"/>
                <w:szCs w:val="22"/>
              </w:rPr>
            </w:pPr>
            <w:r>
              <w:rPr>
                <w:rFonts w:hint="eastAsia" w:ascii="仿宋" w:hAnsi="仿宋" w:eastAsia="仿宋" w:cs="仿宋"/>
                <w:color w:val="000000"/>
                <w:sz w:val="22"/>
                <w:szCs w:val="22"/>
              </w:rPr>
              <w:t>贷款服务机构</w:t>
            </w:r>
          </w:p>
        </w:tc>
        <w:tc>
          <w:tcPr>
            <w:tcW w:w="2132" w:type="dxa"/>
            <w:tcBorders>
              <w:top w:val="nil"/>
              <w:left w:val="single" w:color="auto" w:sz="4" w:space="0"/>
              <w:bottom w:val="single" w:color="auto" w:sz="4" w:space="0"/>
              <w:right w:val="single" w:color="auto" w:sz="4" w:space="0"/>
            </w:tcBorders>
            <w:vAlign w:val="center"/>
          </w:tcPr>
          <w:p w14:paraId="6082FEFA">
            <w:pPr>
              <w:jc w:val="both"/>
              <w:rPr>
                <w:rFonts w:ascii="仿宋" w:hAnsi="仿宋" w:eastAsia="仿宋" w:cs="仿宋"/>
                <w:color w:val="000000"/>
                <w:sz w:val="22"/>
                <w:szCs w:val="22"/>
              </w:rPr>
            </w:pPr>
          </w:p>
        </w:tc>
        <w:tc>
          <w:tcPr>
            <w:tcW w:w="2132" w:type="dxa"/>
            <w:tcBorders>
              <w:top w:val="nil"/>
              <w:left w:val="nil"/>
              <w:bottom w:val="single" w:color="auto" w:sz="4" w:space="0"/>
              <w:right w:val="single" w:color="auto" w:sz="4" w:space="0"/>
            </w:tcBorders>
            <w:vAlign w:val="center"/>
          </w:tcPr>
          <w:p w14:paraId="11F67563">
            <w:pPr>
              <w:jc w:val="both"/>
              <w:rPr>
                <w:rFonts w:ascii="仿宋" w:hAnsi="仿宋" w:eastAsia="仿宋" w:cs="仿宋"/>
                <w:color w:val="000000"/>
                <w:sz w:val="22"/>
                <w:szCs w:val="22"/>
              </w:rPr>
            </w:pPr>
          </w:p>
        </w:tc>
        <w:tc>
          <w:tcPr>
            <w:tcW w:w="2132" w:type="dxa"/>
            <w:tcBorders>
              <w:top w:val="nil"/>
              <w:left w:val="single" w:color="auto" w:sz="4" w:space="0"/>
              <w:bottom w:val="single" w:color="auto" w:sz="4" w:space="0"/>
              <w:right w:val="single" w:color="auto" w:sz="4" w:space="0"/>
            </w:tcBorders>
            <w:vAlign w:val="center"/>
          </w:tcPr>
          <w:p w14:paraId="60BF5C72">
            <w:pPr>
              <w:jc w:val="both"/>
              <w:rPr>
                <w:rFonts w:ascii="仿宋" w:hAnsi="仿宋" w:eastAsia="仿宋" w:cs="仿宋"/>
                <w:color w:val="000000"/>
                <w:sz w:val="22"/>
                <w:szCs w:val="22"/>
              </w:rPr>
            </w:pPr>
          </w:p>
        </w:tc>
      </w:tr>
      <w:tr w14:paraId="380D5450">
        <w:tblPrEx>
          <w:tblCellMar>
            <w:top w:w="0" w:type="dxa"/>
            <w:left w:w="108" w:type="dxa"/>
            <w:bottom w:w="0" w:type="dxa"/>
            <w:right w:w="108" w:type="dxa"/>
          </w:tblCellMar>
        </w:tblPrEx>
        <w:trPr>
          <w:trHeight w:val="270" w:hRule="atLeast"/>
        </w:trPr>
        <w:tc>
          <w:tcPr>
            <w:tcW w:w="2131" w:type="dxa"/>
            <w:tcBorders>
              <w:top w:val="nil"/>
              <w:left w:val="single" w:color="auto" w:sz="4" w:space="0"/>
              <w:bottom w:val="single" w:color="auto" w:sz="4" w:space="0"/>
              <w:right w:val="single" w:color="auto" w:sz="4" w:space="0"/>
            </w:tcBorders>
            <w:vAlign w:val="center"/>
          </w:tcPr>
          <w:p w14:paraId="2F6149B9">
            <w:pPr>
              <w:jc w:val="both"/>
              <w:rPr>
                <w:rFonts w:ascii="仿宋" w:hAnsi="仿宋" w:eastAsia="仿宋" w:cs="仿宋"/>
                <w:color w:val="000000"/>
                <w:sz w:val="22"/>
                <w:szCs w:val="22"/>
              </w:rPr>
            </w:pPr>
            <w:r>
              <w:rPr>
                <w:rFonts w:hint="eastAsia" w:ascii="仿宋" w:hAnsi="仿宋" w:eastAsia="仿宋" w:cs="仿宋"/>
                <w:color w:val="000000"/>
                <w:sz w:val="22"/>
                <w:szCs w:val="22"/>
              </w:rPr>
              <w:t>资金保管机构</w:t>
            </w:r>
          </w:p>
        </w:tc>
        <w:tc>
          <w:tcPr>
            <w:tcW w:w="2132" w:type="dxa"/>
            <w:tcBorders>
              <w:top w:val="nil"/>
              <w:left w:val="single" w:color="auto" w:sz="4" w:space="0"/>
              <w:bottom w:val="single" w:color="auto" w:sz="4" w:space="0"/>
              <w:right w:val="single" w:color="auto" w:sz="4" w:space="0"/>
            </w:tcBorders>
            <w:vAlign w:val="center"/>
          </w:tcPr>
          <w:p w14:paraId="4DE59970">
            <w:pPr>
              <w:jc w:val="both"/>
              <w:rPr>
                <w:rFonts w:ascii="仿宋" w:hAnsi="仿宋" w:eastAsia="仿宋" w:cs="仿宋"/>
                <w:color w:val="000000"/>
                <w:sz w:val="22"/>
                <w:szCs w:val="22"/>
              </w:rPr>
            </w:pPr>
          </w:p>
        </w:tc>
        <w:tc>
          <w:tcPr>
            <w:tcW w:w="2132" w:type="dxa"/>
            <w:tcBorders>
              <w:top w:val="nil"/>
              <w:left w:val="nil"/>
              <w:bottom w:val="single" w:color="auto" w:sz="4" w:space="0"/>
              <w:right w:val="single" w:color="auto" w:sz="4" w:space="0"/>
            </w:tcBorders>
            <w:vAlign w:val="center"/>
          </w:tcPr>
          <w:p w14:paraId="2CBE4601">
            <w:pPr>
              <w:jc w:val="both"/>
              <w:rPr>
                <w:rFonts w:ascii="仿宋" w:hAnsi="仿宋" w:eastAsia="仿宋" w:cs="仿宋"/>
                <w:color w:val="000000"/>
                <w:sz w:val="22"/>
                <w:szCs w:val="22"/>
              </w:rPr>
            </w:pPr>
          </w:p>
        </w:tc>
        <w:tc>
          <w:tcPr>
            <w:tcW w:w="2132" w:type="dxa"/>
            <w:tcBorders>
              <w:top w:val="nil"/>
              <w:left w:val="single" w:color="auto" w:sz="4" w:space="0"/>
              <w:bottom w:val="single" w:color="auto" w:sz="4" w:space="0"/>
              <w:right w:val="single" w:color="auto" w:sz="4" w:space="0"/>
            </w:tcBorders>
            <w:vAlign w:val="center"/>
          </w:tcPr>
          <w:p w14:paraId="61134663">
            <w:pPr>
              <w:jc w:val="both"/>
              <w:rPr>
                <w:rFonts w:ascii="仿宋" w:hAnsi="仿宋" w:eastAsia="仿宋" w:cs="仿宋"/>
                <w:color w:val="000000"/>
                <w:sz w:val="22"/>
                <w:szCs w:val="22"/>
              </w:rPr>
            </w:pPr>
          </w:p>
        </w:tc>
      </w:tr>
      <w:tr w14:paraId="43912B44">
        <w:tblPrEx>
          <w:tblCellMar>
            <w:top w:w="0" w:type="dxa"/>
            <w:left w:w="108" w:type="dxa"/>
            <w:bottom w:w="0" w:type="dxa"/>
            <w:right w:w="108" w:type="dxa"/>
          </w:tblCellMar>
        </w:tblPrEx>
        <w:trPr>
          <w:trHeight w:val="270" w:hRule="atLeast"/>
        </w:trPr>
        <w:tc>
          <w:tcPr>
            <w:tcW w:w="2131" w:type="dxa"/>
            <w:tcBorders>
              <w:top w:val="nil"/>
              <w:left w:val="single" w:color="auto" w:sz="4" w:space="0"/>
              <w:bottom w:val="single" w:color="auto" w:sz="4" w:space="0"/>
              <w:right w:val="single" w:color="auto" w:sz="4" w:space="0"/>
            </w:tcBorders>
            <w:vAlign w:val="center"/>
          </w:tcPr>
          <w:p w14:paraId="00092FAE">
            <w:pPr>
              <w:jc w:val="both"/>
              <w:rPr>
                <w:rFonts w:ascii="仿宋" w:hAnsi="仿宋" w:eastAsia="仿宋" w:cs="仿宋"/>
                <w:color w:val="000000"/>
                <w:sz w:val="22"/>
                <w:szCs w:val="22"/>
              </w:rPr>
            </w:pPr>
            <w:r>
              <w:rPr>
                <w:rFonts w:hint="eastAsia" w:ascii="仿宋" w:hAnsi="仿宋" w:eastAsia="仿宋" w:cs="仿宋"/>
                <w:color w:val="000000"/>
                <w:sz w:val="22"/>
                <w:szCs w:val="22"/>
              </w:rPr>
              <w:t>资产服务顾问</w:t>
            </w:r>
          </w:p>
        </w:tc>
        <w:tc>
          <w:tcPr>
            <w:tcW w:w="2132" w:type="dxa"/>
            <w:tcBorders>
              <w:top w:val="single" w:color="auto" w:sz="4" w:space="0"/>
              <w:left w:val="nil"/>
              <w:bottom w:val="single" w:color="auto" w:sz="4" w:space="0"/>
              <w:right w:val="single" w:color="auto" w:sz="4" w:space="0"/>
            </w:tcBorders>
            <w:vAlign w:val="center"/>
          </w:tcPr>
          <w:p w14:paraId="730B6BD0">
            <w:pPr>
              <w:jc w:val="both"/>
              <w:rPr>
                <w:rFonts w:ascii="仿宋" w:hAnsi="仿宋" w:eastAsia="仿宋" w:cs="仿宋"/>
                <w:color w:val="000000"/>
                <w:sz w:val="22"/>
                <w:szCs w:val="22"/>
              </w:rPr>
            </w:pPr>
          </w:p>
        </w:tc>
        <w:tc>
          <w:tcPr>
            <w:tcW w:w="2132" w:type="dxa"/>
            <w:tcBorders>
              <w:top w:val="single" w:color="auto" w:sz="4" w:space="0"/>
              <w:left w:val="nil"/>
              <w:bottom w:val="single" w:color="auto" w:sz="4" w:space="0"/>
              <w:right w:val="single" w:color="auto" w:sz="4" w:space="0"/>
            </w:tcBorders>
            <w:vAlign w:val="center"/>
          </w:tcPr>
          <w:p w14:paraId="6006FC04">
            <w:pPr>
              <w:jc w:val="both"/>
              <w:rPr>
                <w:rFonts w:ascii="仿宋" w:hAnsi="仿宋" w:eastAsia="仿宋" w:cs="仿宋"/>
                <w:color w:val="000000"/>
                <w:sz w:val="22"/>
                <w:szCs w:val="22"/>
              </w:rPr>
            </w:pPr>
          </w:p>
        </w:tc>
        <w:tc>
          <w:tcPr>
            <w:tcW w:w="2132" w:type="dxa"/>
            <w:tcBorders>
              <w:top w:val="nil"/>
              <w:left w:val="nil"/>
              <w:bottom w:val="single" w:color="auto" w:sz="4" w:space="0"/>
              <w:right w:val="single" w:color="auto" w:sz="4" w:space="0"/>
            </w:tcBorders>
            <w:vAlign w:val="center"/>
          </w:tcPr>
          <w:p w14:paraId="4F123E8E">
            <w:pPr>
              <w:jc w:val="both"/>
              <w:rPr>
                <w:rFonts w:ascii="仿宋" w:hAnsi="仿宋" w:eastAsia="仿宋" w:cs="仿宋"/>
                <w:color w:val="000000"/>
                <w:sz w:val="22"/>
                <w:szCs w:val="22"/>
              </w:rPr>
            </w:pPr>
          </w:p>
        </w:tc>
      </w:tr>
    </w:tbl>
    <w:p w14:paraId="495CA98C">
      <w:pPr>
        <w:jc w:val="both"/>
        <w:rPr>
          <w:rFonts w:ascii="仿宋" w:hAnsi="仿宋" w:eastAsia="仿宋" w:cs="仿宋"/>
          <w:b/>
          <w:color w:val="000000"/>
        </w:rPr>
      </w:pPr>
    </w:p>
    <w:p w14:paraId="606FF39A">
      <w:pPr>
        <w:jc w:val="both"/>
        <w:rPr>
          <w:rFonts w:ascii="仿宋" w:hAnsi="仿宋" w:eastAsia="仿宋" w:cs="仿宋"/>
          <w:b/>
          <w:color w:val="000000"/>
        </w:rPr>
      </w:pPr>
      <w:r>
        <w:rPr>
          <w:rFonts w:hint="eastAsia" w:ascii="仿宋" w:hAnsi="仿宋" w:eastAsia="仿宋" w:cs="仿宋"/>
          <w:b/>
          <w:color w:val="000000"/>
        </w:rPr>
        <w:t>附件2：证券日期概况</w:t>
      </w:r>
    </w:p>
    <w:tbl>
      <w:tblPr>
        <w:tblStyle w:val="10"/>
        <w:tblW w:w="8525" w:type="dxa"/>
        <w:tblInd w:w="10" w:type="dxa"/>
        <w:tblLayout w:type="fixed"/>
        <w:tblCellMar>
          <w:top w:w="0" w:type="dxa"/>
          <w:left w:w="108" w:type="dxa"/>
          <w:bottom w:w="0" w:type="dxa"/>
          <w:right w:w="108" w:type="dxa"/>
        </w:tblCellMar>
      </w:tblPr>
      <w:tblGrid>
        <w:gridCol w:w="5543"/>
        <w:gridCol w:w="2982"/>
      </w:tblGrid>
      <w:tr w14:paraId="14E25871">
        <w:tblPrEx>
          <w:tblCellMar>
            <w:top w:w="0" w:type="dxa"/>
            <w:left w:w="108" w:type="dxa"/>
            <w:bottom w:w="0" w:type="dxa"/>
            <w:right w:w="108" w:type="dxa"/>
          </w:tblCellMar>
        </w:tblPrEx>
        <w:trPr>
          <w:trHeight w:val="270" w:hRule="atLeast"/>
        </w:trPr>
        <w:tc>
          <w:tcPr>
            <w:tcW w:w="5543" w:type="dxa"/>
            <w:tcBorders>
              <w:top w:val="single" w:color="auto" w:sz="4" w:space="0"/>
              <w:left w:val="single" w:color="auto" w:sz="4" w:space="0"/>
              <w:bottom w:val="single" w:color="auto" w:sz="4" w:space="0"/>
              <w:right w:val="single" w:color="auto" w:sz="4" w:space="0"/>
            </w:tcBorders>
            <w:vAlign w:val="center"/>
          </w:tcPr>
          <w:p w14:paraId="3C384A4B">
            <w:pPr>
              <w:jc w:val="both"/>
              <w:rPr>
                <w:rFonts w:ascii="仿宋" w:hAnsi="仿宋" w:eastAsia="仿宋" w:cs="仿宋"/>
                <w:color w:val="000000"/>
                <w:sz w:val="22"/>
                <w:szCs w:val="22"/>
              </w:rPr>
            </w:pPr>
            <w:r>
              <w:rPr>
                <w:rFonts w:hint="eastAsia" w:ascii="仿宋" w:hAnsi="仿宋" w:eastAsia="仿宋" w:cs="仿宋"/>
                <w:color w:val="000000"/>
                <w:sz w:val="22"/>
                <w:szCs w:val="22"/>
              </w:rPr>
              <w:t>信托设立日</w:t>
            </w:r>
          </w:p>
        </w:tc>
        <w:tc>
          <w:tcPr>
            <w:tcW w:w="2982" w:type="dxa"/>
            <w:tcBorders>
              <w:top w:val="single" w:color="auto" w:sz="4" w:space="0"/>
              <w:left w:val="nil"/>
              <w:bottom w:val="single" w:color="auto" w:sz="4" w:space="0"/>
              <w:right w:val="single" w:color="auto" w:sz="4" w:space="0"/>
            </w:tcBorders>
            <w:vAlign w:val="center"/>
          </w:tcPr>
          <w:p w14:paraId="670135D3">
            <w:pPr>
              <w:jc w:val="both"/>
              <w:rPr>
                <w:rFonts w:ascii="仿宋" w:hAnsi="仿宋" w:eastAsia="仿宋" w:cs="仿宋"/>
                <w:color w:val="000000"/>
                <w:sz w:val="22"/>
                <w:szCs w:val="22"/>
              </w:rPr>
            </w:pPr>
          </w:p>
        </w:tc>
      </w:tr>
      <w:tr w14:paraId="61B6E638">
        <w:tblPrEx>
          <w:tblCellMar>
            <w:top w:w="0" w:type="dxa"/>
            <w:left w:w="108" w:type="dxa"/>
            <w:bottom w:w="0" w:type="dxa"/>
            <w:right w:w="108" w:type="dxa"/>
          </w:tblCellMar>
        </w:tblPrEx>
        <w:trPr>
          <w:trHeight w:val="270" w:hRule="atLeast"/>
        </w:trPr>
        <w:tc>
          <w:tcPr>
            <w:tcW w:w="5543" w:type="dxa"/>
            <w:tcBorders>
              <w:top w:val="nil"/>
              <w:left w:val="single" w:color="auto" w:sz="4" w:space="0"/>
              <w:bottom w:val="single" w:color="auto" w:sz="4" w:space="0"/>
              <w:right w:val="single" w:color="auto" w:sz="4" w:space="0"/>
            </w:tcBorders>
            <w:vAlign w:val="center"/>
          </w:tcPr>
          <w:p w14:paraId="050A8829">
            <w:pPr>
              <w:jc w:val="both"/>
              <w:rPr>
                <w:rFonts w:ascii="仿宋" w:hAnsi="仿宋" w:eastAsia="仿宋" w:cs="仿宋"/>
                <w:color w:val="000000"/>
                <w:sz w:val="22"/>
                <w:szCs w:val="22"/>
              </w:rPr>
            </w:pPr>
            <w:r>
              <w:rPr>
                <w:rFonts w:hint="eastAsia" w:ascii="仿宋" w:hAnsi="仿宋" w:eastAsia="仿宋" w:cs="仿宋"/>
                <w:color w:val="000000"/>
                <w:sz w:val="22"/>
                <w:szCs w:val="22"/>
              </w:rPr>
              <w:t>本期期初日</w:t>
            </w:r>
          </w:p>
        </w:tc>
        <w:tc>
          <w:tcPr>
            <w:tcW w:w="2982" w:type="dxa"/>
            <w:tcBorders>
              <w:top w:val="nil"/>
              <w:left w:val="nil"/>
              <w:bottom w:val="single" w:color="auto" w:sz="4" w:space="0"/>
              <w:right w:val="single" w:color="auto" w:sz="4" w:space="0"/>
            </w:tcBorders>
            <w:vAlign w:val="center"/>
          </w:tcPr>
          <w:p w14:paraId="205576B5">
            <w:pPr>
              <w:jc w:val="both"/>
              <w:rPr>
                <w:rFonts w:ascii="仿宋" w:hAnsi="仿宋" w:eastAsia="仿宋" w:cs="仿宋"/>
                <w:color w:val="000000"/>
                <w:sz w:val="22"/>
                <w:szCs w:val="22"/>
              </w:rPr>
            </w:pPr>
          </w:p>
        </w:tc>
      </w:tr>
      <w:tr w14:paraId="0F4848F8">
        <w:tblPrEx>
          <w:tblCellMar>
            <w:top w:w="0" w:type="dxa"/>
            <w:left w:w="108" w:type="dxa"/>
            <w:bottom w:w="0" w:type="dxa"/>
            <w:right w:w="108" w:type="dxa"/>
          </w:tblCellMar>
        </w:tblPrEx>
        <w:trPr>
          <w:trHeight w:val="270" w:hRule="atLeast"/>
        </w:trPr>
        <w:tc>
          <w:tcPr>
            <w:tcW w:w="5543" w:type="dxa"/>
            <w:tcBorders>
              <w:top w:val="nil"/>
              <w:left w:val="single" w:color="auto" w:sz="4" w:space="0"/>
              <w:bottom w:val="single" w:color="auto" w:sz="4" w:space="0"/>
              <w:right w:val="single" w:color="auto" w:sz="4" w:space="0"/>
            </w:tcBorders>
            <w:vAlign w:val="center"/>
          </w:tcPr>
          <w:p w14:paraId="01889424">
            <w:pPr>
              <w:jc w:val="both"/>
              <w:rPr>
                <w:rFonts w:ascii="仿宋" w:hAnsi="仿宋" w:eastAsia="仿宋" w:cs="仿宋"/>
                <w:color w:val="000000"/>
                <w:sz w:val="22"/>
                <w:szCs w:val="22"/>
              </w:rPr>
            </w:pPr>
            <w:r>
              <w:rPr>
                <w:rFonts w:hint="eastAsia" w:ascii="仿宋" w:hAnsi="仿宋" w:eastAsia="仿宋" w:cs="仿宋"/>
                <w:color w:val="000000"/>
                <w:sz w:val="22"/>
                <w:szCs w:val="22"/>
              </w:rPr>
              <w:t>本期期末日</w:t>
            </w:r>
          </w:p>
        </w:tc>
        <w:tc>
          <w:tcPr>
            <w:tcW w:w="2982" w:type="dxa"/>
            <w:tcBorders>
              <w:top w:val="nil"/>
              <w:left w:val="nil"/>
              <w:bottom w:val="single" w:color="auto" w:sz="4" w:space="0"/>
              <w:right w:val="single" w:color="auto" w:sz="4" w:space="0"/>
            </w:tcBorders>
            <w:vAlign w:val="center"/>
          </w:tcPr>
          <w:p w14:paraId="12C65594">
            <w:pPr>
              <w:jc w:val="both"/>
              <w:rPr>
                <w:rFonts w:ascii="仿宋" w:hAnsi="仿宋" w:eastAsia="仿宋" w:cs="仿宋"/>
                <w:color w:val="000000"/>
                <w:sz w:val="22"/>
                <w:szCs w:val="22"/>
              </w:rPr>
            </w:pPr>
          </w:p>
        </w:tc>
      </w:tr>
      <w:tr w14:paraId="1DF601D3">
        <w:tblPrEx>
          <w:tblCellMar>
            <w:top w:w="0" w:type="dxa"/>
            <w:left w:w="108" w:type="dxa"/>
            <w:bottom w:w="0" w:type="dxa"/>
            <w:right w:w="108" w:type="dxa"/>
          </w:tblCellMar>
        </w:tblPrEx>
        <w:trPr>
          <w:trHeight w:val="270" w:hRule="atLeast"/>
        </w:trPr>
        <w:tc>
          <w:tcPr>
            <w:tcW w:w="5543" w:type="dxa"/>
            <w:tcBorders>
              <w:top w:val="nil"/>
              <w:left w:val="single" w:color="auto" w:sz="4" w:space="0"/>
              <w:bottom w:val="single" w:color="auto" w:sz="4" w:space="0"/>
              <w:right w:val="single" w:color="auto" w:sz="4" w:space="0"/>
            </w:tcBorders>
            <w:vAlign w:val="center"/>
          </w:tcPr>
          <w:p w14:paraId="150C9AE4">
            <w:pPr>
              <w:jc w:val="both"/>
              <w:rPr>
                <w:rFonts w:ascii="仿宋" w:hAnsi="仿宋" w:eastAsia="仿宋" w:cs="仿宋"/>
                <w:color w:val="000000"/>
                <w:sz w:val="22"/>
                <w:szCs w:val="22"/>
              </w:rPr>
            </w:pPr>
            <w:r>
              <w:rPr>
                <w:rFonts w:hint="eastAsia" w:ascii="仿宋" w:hAnsi="仿宋" w:eastAsia="仿宋" w:cs="仿宋"/>
                <w:color w:val="000000"/>
                <w:sz w:val="22"/>
                <w:szCs w:val="22"/>
              </w:rPr>
              <w:t>本期起息日</w:t>
            </w:r>
          </w:p>
        </w:tc>
        <w:tc>
          <w:tcPr>
            <w:tcW w:w="2982" w:type="dxa"/>
            <w:tcBorders>
              <w:top w:val="nil"/>
              <w:left w:val="nil"/>
              <w:bottom w:val="single" w:color="auto" w:sz="4" w:space="0"/>
              <w:right w:val="single" w:color="auto" w:sz="4" w:space="0"/>
            </w:tcBorders>
            <w:vAlign w:val="center"/>
          </w:tcPr>
          <w:p w14:paraId="52DAF02A">
            <w:pPr>
              <w:jc w:val="both"/>
              <w:rPr>
                <w:rFonts w:ascii="仿宋" w:hAnsi="仿宋" w:eastAsia="仿宋" w:cs="仿宋"/>
                <w:color w:val="000000"/>
                <w:sz w:val="22"/>
                <w:szCs w:val="22"/>
              </w:rPr>
            </w:pPr>
          </w:p>
        </w:tc>
      </w:tr>
      <w:tr w14:paraId="49E9D8D6">
        <w:tblPrEx>
          <w:tblCellMar>
            <w:top w:w="0" w:type="dxa"/>
            <w:left w:w="108" w:type="dxa"/>
            <w:bottom w:w="0" w:type="dxa"/>
            <w:right w:w="108" w:type="dxa"/>
          </w:tblCellMar>
        </w:tblPrEx>
        <w:trPr>
          <w:trHeight w:val="270" w:hRule="atLeast"/>
        </w:trPr>
        <w:tc>
          <w:tcPr>
            <w:tcW w:w="5543" w:type="dxa"/>
            <w:tcBorders>
              <w:top w:val="nil"/>
              <w:left w:val="single" w:color="auto" w:sz="4" w:space="0"/>
              <w:bottom w:val="single" w:color="auto" w:sz="4" w:space="0"/>
              <w:right w:val="single" w:color="auto" w:sz="4" w:space="0"/>
            </w:tcBorders>
            <w:vAlign w:val="center"/>
          </w:tcPr>
          <w:p w14:paraId="4C589A1B">
            <w:pPr>
              <w:jc w:val="both"/>
              <w:rPr>
                <w:rFonts w:ascii="仿宋" w:hAnsi="仿宋" w:eastAsia="仿宋" w:cs="仿宋"/>
                <w:color w:val="000000"/>
                <w:sz w:val="22"/>
                <w:szCs w:val="22"/>
              </w:rPr>
            </w:pPr>
            <w:r>
              <w:rPr>
                <w:rFonts w:hint="eastAsia" w:ascii="仿宋" w:hAnsi="仿宋" w:eastAsia="仿宋" w:cs="仿宋"/>
                <w:color w:val="000000"/>
                <w:sz w:val="22"/>
                <w:szCs w:val="22"/>
              </w:rPr>
              <w:t>本期结息日</w:t>
            </w:r>
          </w:p>
        </w:tc>
        <w:tc>
          <w:tcPr>
            <w:tcW w:w="2982" w:type="dxa"/>
            <w:tcBorders>
              <w:top w:val="nil"/>
              <w:left w:val="nil"/>
              <w:bottom w:val="single" w:color="auto" w:sz="4" w:space="0"/>
              <w:right w:val="single" w:color="auto" w:sz="4" w:space="0"/>
            </w:tcBorders>
            <w:vAlign w:val="center"/>
          </w:tcPr>
          <w:p w14:paraId="06A9E53D">
            <w:pPr>
              <w:jc w:val="both"/>
              <w:rPr>
                <w:rFonts w:ascii="仿宋" w:hAnsi="仿宋" w:eastAsia="仿宋" w:cs="仿宋"/>
                <w:color w:val="000000"/>
                <w:sz w:val="22"/>
                <w:szCs w:val="22"/>
              </w:rPr>
            </w:pPr>
          </w:p>
        </w:tc>
      </w:tr>
      <w:tr w14:paraId="31424818">
        <w:tblPrEx>
          <w:tblCellMar>
            <w:top w:w="0" w:type="dxa"/>
            <w:left w:w="108" w:type="dxa"/>
            <w:bottom w:w="0" w:type="dxa"/>
            <w:right w:w="108" w:type="dxa"/>
          </w:tblCellMar>
        </w:tblPrEx>
        <w:trPr>
          <w:trHeight w:val="270" w:hRule="atLeast"/>
        </w:trPr>
        <w:tc>
          <w:tcPr>
            <w:tcW w:w="5543" w:type="dxa"/>
            <w:tcBorders>
              <w:top w:val="nil"/>
              <w:left w:val="single" w:color="auto" w:sz="4" w:space="0"/>
              <w:bottom w:val="single" w:color="auto" w:sz="4" w:space="0"/>
              <w:right w:val="single" w:color="auto" w:sz="4" w:space="0"/>
            </w:tcBorders>
            <w:vAlign w:val="center"/>
          </w:tcPr>
          <w:p w14:paraId="7CF0AF67">
            <w:pPr>
              <w:jc w:val="both"/>
              <w:rPr>
                <w:rFonts w:ascii="仿宋" w:hAnsi="仿宋" w:eastAsia="仿宋" w:cs="仿宋"/>
                <w:color w:val="000000"/>
                <w:sz w:val="22"/>
                <w:szCs w:val="22"/>
              </w:rPr>
            </w:pPr>
            <w:r>
              <w:rPr>
                <w:rFonts w:hint="eastAsia" w:ascii="仿宋" w:hAnsi="仿宋" w:eastAsia="仿宋" w:cs="仿宋"/>
                <w:color w:val="000000"/>
                <w:sz w:val="22"/>
                <w:szCs w:val="22"/>
              </w:rPr>
              <w:t>本期支付日</w:t>
            </w:r>
          </w:p>
        </w:tc>
        <w:tc>
          <w:tcPr>
            <w:tcW w:w="2982" w:type="dxa"/>
            <w:tcBorders>
              <w:top w:val="nil"/>
              <w:left w:val="nil"/>
              <w:bottom w:val="single" w:color="auto" w:sz="4" w:space="0"/>
              <w:right w:val="single" w:color="auto" w:sz="4" w:space="0"/>
            </w:tcBorders>
            <w:vAlign w:val="center"/>
          </w:tcPr>
          <w:p w14:paraId="2A55BEEB">
            <w:pPr>
              <w:jc w:val="both"/>
              <w:rPr>
                <w:rFonts w:ascii="仿宋" w:hAnsi="仿宋" w:eastAsia="仿宋" w:cs="仿宋"/>
                <w:color w:val="000000"/>
                <w:sz w:val="22"/>
                <w:szCs w:val="22"/>
              </w:rPr>
            </w:pPr>
          </w:p>
        </w:tc>
      </w:tr>
      <w:tr w14:paraId="57BB585E">
        <w:tblPrEx>
          <w:tblCellMar>
            <w:top w:w="0" w:type="dxa"/>
            <w:left w:w="108" w:type="dxa"/>
            <w:bottom w:w="0" w:type="dxa"/>
            <w:right w:w="108" w:type="dxa"/>
          </w:tblCellMar>
        </w:tblPrEx>
        <w:trPr>
          <w:trHeight w:val="270" w:hRule="atLeast"/>
        </w:trPr>
        <w:tc>
          <w:tcPr>
            <w:tcW w:w="5543" w:type="dxa"/>
            <w:tcBorders>
              <w:top w:val="single" w:color="auto" w:sz="4" w:space="0"/>
              <w:left w:val="single" w:color="auto" w:sz="4" w:space="0"/>
              <w:bottom w:val="single" w:color="auto" w:sz="4" w:space="0"/>
              <w:right w:val="single" w:color="auto" w:sz="4" w:space="0"/>
            </w:tcBorders>
            <w:vAlign w:val="center"/>
          </w:tcPr>
          <w:p w14:paraId="48267E83">
            <w:pPr>
              <w:jc w:val="both"/>
              <w:rPr>
                <w:rFonts w:ascii="仿宋" w:hAnsi="仿宋" w:eastAsia="仿宋" w:cs="仿宋"/>
                <w:color w:val="000000"/>
                <w:sz w:val="22"/>
                <w:szCs w:val="22"/>
              </w:rPr>
            </w:pPr>
            <w:r>
              <w:rPr>
                <w:rFonts w:hint="eastAsia" w:ascii="仿宋" w:hAnsi="仿宋" w:eastAsia="仿宋" w:cs="仿宋"/>
                <w:color w:val="000000"/>
                <w:sz w:val="22"/>
                <w:szCs w:val="22"/>
              </w:rPr>
              <w:t>计息方式</w:t>
            </w:r>
            <w:r>
              <w:rPr>
                <w:rFonts w:hint="eastAsia" w:ascii="仿宋" w:hAnsi="仿宋" w:eastAsia="仿宋" w:cs="仿宋"/>
                <w:color w:val="000000"/>
                <w:sz w:val="22"/>
                <w:szCs w:val="22"/>
                <w:vertAlign w:val="superscript"/>
              </w:rPr>
              <w:footnoteReference w:id="40"/>
            </w:r>
          </w:p>
        </w:tc>
        <w:tc>
          <w:tcPr>
            <w:tcW w:w="2982" w:type="dxa"/>
            <w:tcBorders>
              <w:top w:val="single" w:color="auto" w:sz="4" w:space="0"/>
              <w:left w:val="nil"/>
              <w:bottom w:val="single" w:color="auto" w:sz="4" w:space="0"/>
              <w:right w:val="single" w:color="auto" w:sz="4" w:space="0"/>
            </w:tcBorders>
            <w:vAlign w:val="center"/>
          </w:tcPr>
          <w:p w14:paraId="5E8E3CBF">
            <w:pPr>
              <w:jc w:val="both"/>
              <w:rPr>
                <w:rFonts w:ascii="仿宋" w:hAnsi="仿宋" w:eastAsia="仿宋" w:cs="仿宋"/>
                <w:color w:val="000000"/>
                <w:sz w:val="22"/>
                <w:szCs w:val="22"/>
              </w:rPr>
            </w:pPr>
          </w:p>
        </w:tc>
      </w:tr>
    </w:tbl>
    <w:p w14:paraId="415845DC">
      <w:pPr>
        <w:jc w:val="both"/>
        <w:rPr>
          <w:rFonts w:ascii="仿宋" w:hAnsi="仿宋" w:eastAsia="仿宋" w:cs="仿宋"/>
          <w:color w:val="000000"/>
        </w:rPr>
      </w:pPr>
    </w:p>
    <w:p w14:paraId="18ABB8C4">
      <w:pPr>
        <w:jc w:val="both"/>
        <w:rPr>
          <w:rFonts w:ascii="仿宋" w:hAnsi="仿宋" w:eastAsia="仿宋" w:cs="仿宋"/>
          <w:b/>
          <w:color w:val="000000"/>
        </w:rPr>
      </w:pPr>
      <w:r>
        <w:rPr>
          <w:rFonts w:hint="eastAsia" w:ascii="仿宋" w:hAnsi="仿宋" w:eastAsia="仿宋" w:cs="仿宋"/>
          <w:b/>
          <w:color w:val="000000"/>
        </w:rPr>
        <w:t>附件3：本息兑付情况</w:t>
      </w:r>
    </w:p>
    <w:tbl>
      <w:tblPr>
        <w:tblStyle w:val="10"/>
        <w:tblW w:w="0" w:type="auto"/>
        <w:tblInd w:w="10" w:type="dxa"/>
        <w:tblLayout w:type="fixed"/>
        <w:tblCellMar>
          <w:top w:w="0" w:type="dxa"/>
          <w:left w:w="108" w:type="dxa"/>
          <w:bottom w:w="0" w:type="dxa"/>
          <w:right w:w="108" w:type="dxa"/>
        </w:tblCellMar>
      </w:tblPr>
      <w:tblGrid>
        <w:gridCol w:w="3217"/>
        <w:gridCol w:w="2017"/>
        <w:gridCol w:w="2017"/>
      </w:tblGrid>
      <w:tr w14:paraId="35538724">
        <w:tblPrEx>
          <w:tblCellMar>
            <w:top w:w="0" w:type="dxa"/>
            <w:left w:w="108" w:type="dxa"/>
            <w:bottom w:w="0" w:type="dxa"/>
            <w:right w:w="108" w:type="dxa"/>
          </w:tblCellMar>
        </w:tblPrEx>
        <w:trPr>
          <w:trHeight w:val="288" w:hRule="atLeast"/>
        </w:trPr>
        <w:tc>
          <w:tcPr>
            <w:tcW w:w="3217" w:type="dxa"/>
            <w:tcBorders>
              <w:top w:val="single" w:color="auto" w:sz="4" w:space="0"/>
              <w:left w:val="single" w:color="auto" w:sz="4" w:space="0"/>
              <w:bottom w:val="single" w:color="auto" w:sz="4" w:space="0"/>
              <w:right w:val="single" w:color="auto" w:sz="4" w:space="0"/>
            </w:tcBorders>
            <w:noWrap/>
            <w:vAlign w:val="center"/>
          </w:tcPr>
          <w:p w14:paraId="204EC19C">
            <w:pPr>
              <w:rPr>
                <w:rFonts w:ascii="仿宋" w:hAnsi="仿宋" w:eastAsia="仿宋" w:cs="仿宋"/>
                <w:color w:val="000000"/>
                <w:sz w:val="22"/>
                <w:szCs w:val="22"/>
              </w:rPr>
            </w:pPr>
            <w:r>
              <w:rPr>
                <w:rFonts w:hint="eastAsia" w:ascii="仿宋" w:hAnsi="仿宋" w:eastAsia="仿宋" w:cs="仿宋"/>
                <w:color w:val="000000"/>
                <w:sz w:val="22"/>
                <w:szCs w:val="22"/>
              </w:rPr>
              <w:t>　</w:t>
            </w:r>
          </w:p>
        </w:tc>
        <w:tc>
          <w:tcPr>
            <w:tcW w:w="2017" w:type="dxa"/>
            <w:tcBorders>
              <w:top w:val="single" w:color="auto" w:sz="4" w:space="0"/>
              <w:left w:val="nil"/>
              <w:bottom w:val="single" w:color="auto" w:sz="4" w:space="0"/>
              <w:right w:val="single" w:color="auto" w:sz="4" w:space="0"/>
            </w:tcBorders>
            <w:noWrap/>
            <w:vAlign w:val="center"/>
          </w:tcPr>
          <w:p w14:paraId="6B1948A1">
            <w:pPr>
              <w:rPr>
                <w:rFonts w:ascii="仿宋" w:hAnsi="仿宋" w:eastAsia="仿宋" w:cs="仿宋"/>
                <w:color w:val="000000"/>
                <w:sz w:val="22"/>
                <w:szCs w:val="22"/>
              </w:rPr>
            </w:pPr>
            <w:r>
              <w:rPr>
                <w:rFonts w:hint="eastAsia" w:ascii="仿宋" w:hAnsi="仿宋" w:eastAsia="仿宋" w:cs="仿宋"/>
                <w:color w:val="000000"/>
                <w:sz w:val="22"/>
                <w:szCs w:val="22"/>
              </w:rPr>
              <w:t>优先档证券</w:t>
            </w:r>
          </w:p>
        </w:tc>
        <w:tc>
          <w:tcPr>
            <w:tcW w:w="2017" w:type="dxa"/>
            <w:tcBorders>
              <w:top w:val="single" w:color="auto" w:sz="4" w:space="0"/>
              <w:left w:val="nil"/>
              <w:bottom w:val="single" w:color="auto" w:sz="4" w:space="0"/>
              <w:right w:val="single" w:color="auto" w:sz="4" w:space="0"/>
            </w:tcBorders>
            <w:noWrap/>
            <w:vAlign w:val="center"/>
          </w:tcPr>
          <w:p w14:paraId="790A35AF">
            <w:pPr>
              <w:rPr>
                <w:rFonts w:ascii="仿宋" w:hAnsi="仿宋" w:eastAsia="仿宋" w:cs="仿宋"/>
                <w:color w:val="000000"/>
                <w:sz w:val="22"/>
                <w:szCs w:val="22"/>
              </w:rPr>
            </w:pPr>
            <w:r>
              <w:rPr>
                <w:rFonts w:hint="eastAsia" w:ascii="仿宋" w:hAnsi="仿宋" w:eastAsia="仿宋" w:cs="仿宋"/>
                <w:color w:val="000000"/>
                <w:sz w:val="22"/>
                <w:szCs w:val="22"/>
              </w:rPr>
              <w:t>次级档证券</w:t>
            </w:r>
          </w:p>
        </w:tc>
      </w:tr>
      <w:tr w14:paraId="7E1E8553">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2176EA48">
            <w:pPr>
              <w:rPr>
                <w:rFonts w:ascii="仿宋" w:hAnsi="仿宋" w:eastAsia="仿宋" w:cs="仿宋"/>
                <w:color w:val="000000"/>
                <w:sz w:val="22"/>
                <w:szCs w:val="22"/>
              </w:rPr>
            </w:pPr>
            <w:r>
              <w:rPr>
                <w:rFonts w:hint="eastAsia" w:ascii="仿宋" w:hAnsi="仿宋" w:eastAsia="仿宋" w:cs="仿宋"/>
                <w:color w:val="000000"/>
                <w:sz w:val="22"/>
                <w:szCs w:val="22"/>
              </w:rPr>
              <w:t>证券代码</w:t>
            </w:r>
          </w:p>
        </w:tc>
        <w:tc>
          <w:tcPr>
            <w:tcW w:w="2017" w:type="dxa"/>
            <w:tcBorders>
              <w:top w:val="nil"/>
              <w:left w:val="nil"/>
              <w:bottom w:val="single" w:color="auto" w:sz="4" w:space="0"/>
              <w:right w:val="single" w:color="auto" w:sz="4" w:space="0"/>
            </w:tcBorders>
            <w:noWrap/>
            <w:vAlign w:val="center"/>
          </w:tcPr>
          <w:p w14:paraId="02CEB9CC">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785121E8">
            <w:pPr>
              <w:rPr>
                <w:rFonts w:ascii="仿宋" w:hAnsi="仿宋" w:eastAsia="仿宋" w:cs="仿宋"/>
                <w:color w:val="000000"/>
                <w:sz w:val="22"/>
                <w:szCs w:val="22"/>
              </w:rPr>
            </w:pPr>
          </w:p>
        </w:tc>
      </w:tr>
      <w:tr w14:paraId="1E0E1831">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2CA979EA">
            <w:pPr>
              <w:rPr>
                <w:rFonts w:ascii="仿宋" w:hAnsi="仿宋" w:eastAsia="仿宋" w:cs="仿宋"/>
                <w:color w:val="000000"/>
                <w:sz w:val="22"/>
                <w:szCs w:val="22"/>
              </w:rPr>
            </w:pPr>
            <w:r>
              <w:rPr>
                <w:rFonts w:hint="eastAsia" w:ascii="仿宋" w:hAnsi="仿宋" w:eastAsia="仿宋" w:cs="仿宋"/>
                <w:color w:val="000000"/>
                <w:sz w:val="22"/>
                <w:szCs w:val="22"/>
              </w:rPr>
              <w:t>预期到期日</w:t>
            </w:r>
            <w:r>
              <w:rPr>
                <w:rStyle w:val="17"/>
                <w:rFonts w:hint="eastAsia" w:ascii="仿宋" w:hAnsi="仿宋" w:eastAsia="仿宋" w:cs="仿宋"/>
                <w:color w:val="000000"/>
                <w:sz w:val="22"/>
                <w:szCs w:val="22"/>
              </w:rPr>
              <w:footnoteReference w:id="41"/>
            </w:r>
          </w:p>
        </w:tc>
        <w:tc>
          <w:tcPr>
            <w:tcW w:w="2017" w:type="dxa"/>
            <w:tcBorders>
              <w:top w:val="nil"/>
              <w:left w:val="nil"/>
              <w:bottom w:val="single" w:color="auto" w:sz="4" w:space="0"/>
              <w:right w:val="single" w:color="auto" w:sz="4" w:space="0"/>
            </w:tcBorders>
            <w:noWrap/>
            <w:vAlign w:val="center"/>
          </w:tcPr>
          <w:p w14:paraId="60A6581B">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5DA50155">
            <w:pPr>
              <w:rPr>
                <w:rFonts w:ascii="仿宋" w:hAnsi="仿宋" w:eastAsia="仿宋" w:cs="仿宋"/>
                <w:color w:val="000000"/>
                <w:sz w:val="22"/>
                <w:szCs w:val="22"/>
              </w:rPr>
            </w:pPr>
            <w:r>
              <w:rPr>
                <w:rFonts w:hint="eastAsia" w:ascii="仿宋" w:hAnsi="仿宋" w:eastAsia="仿宋" w:cs="仿宋"/>
                <w:color w:val="000000"/>
                <w:sz w:val="22"/>
                <w:szCs w:val="22"/>
              </w:rPr>
              <w:t>—</w:t>
            </w:r>
          </w:p>
        </w:tc>
      </w:tr>
      <w:tr w14:paraId="1661F0E6">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1B62CCFD">
            <w:pPr>
              <w:rPr>
                <w:rFonts w:ascii="仿宋" w:hAnsi="仿宋" w:eastAsia="仿宋" w:cs="仿宋"/>
                <w:color w:val="000000"/>
                <w:sz w:val="22"/>
                <w:szCs w:val="22"/>
              </w:rPr>
            </w:pPr>
            <w:r>
              <w:rPr>
                <w:rFonts w:hint="eastAsia" w:ascii="仿宋" w:hAnsi="仿宋" w:eastAsia="仿宋" w:cs="仿宋"/>
                <w:color w:val="000000"/>
                <w:sz w:val="22"/>
                <w:szCs w:val="22"/>
              </w:rPr>
              <w:t>发行总额</w:t>
            </w:r>
          </w:p>
        </w:tc>
        <w:tc>
          <w:tcPr>
            <w:tcW w:w="2017" w:type="dxa"/>
            <w:tcBorders>
              <w:top w:val="nil"/>
              <w:left w:val="nil"/>
              <w:bottom w:val="single" w:color="auto" w:sz="4" w:space="0"/>
              <w:right w:val="single" w:color="auto" w:sz="4" w:space="0"/>
            </w:tcBorders>
            <w:noWrap/>
            <w:vAlign w:val="center"/>
          </w:tcPr>
          <w:p w14:paraId="0A853E3D">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57A6A820">
            <w:pPr>
              <w:rPr>
                <w:rFonts w:ascii="仿宋" w:hAnsi="仿宋" w:eastAsia="仿宋" w:cs="仿宋"/>
                <w:color w:val="000000"/>
                <w:sz w:val="22"/>
                <w:szCs w:val="22"/>
              </w:rPr>
            </w:pPr>
          </w:p>
        </w:tc>
      </w:tr>
      <w:tr w14:paraId="2769E6EA">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71C27D93">
            <w:pPr>
              <w:rPr>
                <w:rFonts w:ascii="仿宋" w:hAnsi="仿宋" w:eastAsia="仿宋" w:cs="仿宋"/>
                <w:color w:val="000000"/>
                <w:sz w:val="22"/>
                <w:szCs w:val="22"/>
              </w:rPr>
            </w:pPr>
            <w:r>
              <w:rPr>
                <w:rFonts w:hint="eastAsia" w:ascii="仿宋" w:hAnsi="仿宋" w:eastAsia="仿宋" w:cs="仿宋"/>
                <w:color w:val="000000"/>
                <w:sz w:val="22"/>
                <w:szCs w:val="22"/>
              </w:rPr>
              <w:t>是否按时兑付</w:t>
            </w:r>
          </w:p>
        </w:tc>
        <w:tc>
          <w:tcPr>
            <w:tcW w:w="2017" w:type="dxa"/>
            <w:tcBorders>
              <w:top w:val="nil"/>
              <w:left w:val="nil"/>
              <w:bottom w:val="single" w:color="auto" w:sz="4" w:space="0"/>
              <w:right w:val="single" w:color="auto" w:sz="4" w:space="0"/>
            </w:tcBorders>
            <w:noWrap/>
            <w:vAlign w:val="center"/>
          </w:tcPr>
          <w:p w14:paraId="6A709BEB">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412B63DE">
            <w:pPr>
              <w:rPr>
                <w:rFonts w:ascii="仿宋" w:hAnsi="仿宋" w:eastAsia="仿宋" w:cs="仿宋"/>
                <w:color w:val="000000"/>
                <w:sz w:val="22"/>
                <w:szCs w:val="22"/>
              </w:rPr>
            </w:pPr>
          </w:p>
        </w:tc>
      </w:tr>
      <w:tr w14:paraId="3F2FA625">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7F527B37">
            <w:pPr>
              <w:rPr>
                <w:rFonts w:ascii="仿宋" w:hAnsi="仿宋" w:eastAsia="仿宋" w:cs="仿宋"/>
                <w:color w:val="000000"/>
                <w:sz w:val="22"/>
                <w:szCs w:val="22"/>
              </w:rPr>
            </w:pPr>
            <w:r>
              <w:rPr>
                <w:rFonts w:hint="eastAsia" w:ascii="仿宋" w:hAnsi="仿宋" w:eastAsia="仿宋" w:cs="仿宋"/>
                <w:color w:val="000000"/>
                <w:sz w:val="22"/>
                <w:szCs w:val="22"/>
              </w:rPr>
              <w:t>票面利率</w:t>
            </w:r>
          </w:p>
        </w:tc>
        <w:tc>
          <w:tcPr>
            <w:tcW w:w="2017" w:type="dxa"/>
            <w:tcBorders>
              <w:top w:val="nil"/>
              <w:left w:val="nil"/>
              <w:bottom w:val="single" w:color="auto" w:sz="4" w:space="0"/>
              <w:right w:val="single" w:color="auto" w:sz="4" w:space="0"/>
            </w:tcBorders>
            <w:noWrap/>
            <w:vAlign w:val="center"/>
          </w:tcPr>
          <w:p w14:paraId="2E80F3EF">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535C06F9">
            <w:pPr>
              <w:rPr>
                <w:rFonts w:ascii="仿宋" w:hAnsi="仿宋" w:eastAsia="仿宋" w:cs="仿宋"/>
                <w:color w:val="000000"/>
                <w:sz w:val="22"/>
                <w:szCs w:val="22"/>
              </w:rPr>
            </w:pPr>
          </w:p>
        </w:tc>
      </w:tr>
      <w:tr w14:paraId="5EC0943B">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2A335657">
            <w:pPr>
              <w:rPr>
                <w:rFonts w:ascii="仿宋" w:hAnsi="仿宋" w:eastAsia="仿宋" w:cs="仿宋"/>
                <w:color w:val="000000"/>
                <w:sz w:val="22"/>
                <w:szCs w:val="22"/>
              </w:rPr>
            </w:pPr>
            <w:r>
              <w:rPr>
                <w:rFonts w:hint="eastAsia" w:ascii="仿宋" w:hAnsi="仿宋" w:eastAsia="仿宋" w:cs="仿宋"/>
                <w:color w:val="000000"/>
                <w:sz w:val="22"/>
                <w:szCs w:val="22"/>
              </w:rPr>
              <w:t>本期兑付前本金值</w:t>
            </w:r>
          </w:p>
        </w:tc>
        <w:tc>
          <w:tcPr>
            <w:tcW w:w="2017" w:type="dxa"/>
            <w:tcBorders>
              <w:top w:val="nil"/>
              <w:left w:val="nil"/>
              <w:bottom w:val="single" w:color="auto" w:sz="4" w:space="0"/>
              <w:right w:val="single" w:color="auto" w:sz="4" w:space="0"/>
            </w:tcBorders>
            <w:noWrap/>
            <w:vAlign w:val="center"/>
          </w:tcPr>
          <w:p w14:paraId="5B3EAD3C">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2AFAF18F">
            <w:pPr>
              <w:rPr>
                <w:rFonts w:ascii="仿宋" w:hAnsi="仿宋" w:eastAsia="仿宋" w:cs="仿宋"/>
                <w:color w:val="000000"/>
                <w:sz w:val="22"/>
                <w:szCs w:val="22"/>
              </w:rPr>
            </w:pPr>
          </w:p>
        </w:tc>
      </w:tr>
      <w:tr w14:paraId="35E68538">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2F65F4C3">
            <w:pPr>
              <w:rPr>
                <w:rFonts w:ascii="仿宋" w:hAnsi="仿宋" w:eastAsia="仿宋" w:cs="仿宋"/>
                <w:color w:val="000000"/>
                <w:sz w:val="22"/>
                <w:szCs w:val="22"/>
              </w:rPr>
            </w:pPr>
            <w:r>
              <w:rPr>
                <w:rFonts w:hint="eastAsia" w:ascii="仿宋" w:hAnsi="仿宋" w:eastAsia="仿宋" w:cs="仿宋"/>
                <w:color w:val="000000"/>
                <w:sz w:val="22"/>
                <w:szCs w:val="22"/>
              </w:rPr>
              <w:t>本期兑付本金额</w:t>
            </w:r>
          </w:p>
        </w:tc>
        <w:tc>
          <w:tcPr>
            <w:tcW w:w="2017" w:type="dxa"/>
            <w:tcBorders>
              <w:top w:val="nil"/>
              <w:left w:val="nil"/>
              <w:bottom w:val="single" w:color="auto" w:sz="4" w:space="0"/>
              <w:right w:val="single" w:color="auto" w:sz="4" w:space="0"/>
            </w:tcBorders>
            <w:noWrap/>
            <w:vAlign w:val="center"/>
          </w:tcPr>
          <w:p w14:paraId="6459525F">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6ADBBC8E">
            <w:pPr>
              <w:rPr>
                <w:rFonts w:ascii="仿宋" w:hAnsi="仿宋" w:eastAsia="仿宋" w:cs="仿宋"/>
                <w:color w:val="000000"/>
                <w:sz w:val="22"/>
                <w:szCs w:val="22"/>
              </w:rPr>
            </w:pPr>
          </w:p>
        </w:tc>
      </w:tr>
      <w:tr w14:paraId="29698424">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1FCDF0FA">
            <w:pPr>
              <w:rPr>
                <w:rFonts w:ascii="仿宋" w:hAnsi="仿宋" w:eastAsia="仿宋" w:cs="仿宋"/>
                <w:color w:val="000000"/>
                <w:sz w:val="22"/>
                <w:szCs w:val="22"/>
              </w:rPr>
            </w:pPr>
            <w:r>
              <w:rPr>
                <w:rFonts w:hint="eastAsia" w:ascii="仿宋" w:hAnsi="仿宋" w:eastAsia="仿宋" w:cs="仿宋"/>
                <w:color w:val="000000"/>
                <w:sz w:val="22"/>
                <w:szCs w:val="22"/>
              </w:rPr>
              <w:t>本期兑付本金总额</w:t>
            </w:r>
          </w:p>
        </w:tc>
        <w:tc>
          <w:tcPr>
            <w:tcW w:w="2017" w:type="dxa"/>
            <w:tcBorders>
              <w:top w:val="nil"/>
              <w:left w:val="nil"/>
              <w:bottom w:val="single" w:color="auto" w:sz="4" w:space="0"/>
              <w:right w:val="single" w:color="auto" w:sz="4" w:space="0"/>
            </w:tcBorders>
            <w:noWrap/>
            <w:vAlign w:val="center"/>
          </w:tcPr>
          <w:p w14:paraId="7E390FEF">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1341EEC5">
            <w:pPr>
              <w:rPr>
                <w:rFonts w:ascii="仿宋" w:hAnsi="仿宋" w:eastAsia="仿宋" w:cs="仿宋"/>
                <w:color w:val="000000"/>
                <w:sz w:val="22"/>
                <w:szCs w:val="22"/>
              </w:rPr>
            </w:pPr>
          </w:p>
        </w:tc>
      </w:tr>
      <w:tr w14:paraId="5C6673C6">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79E2AEB2">
            <w:pPr>
              <w:rPr>
                <w:rFonts w:ascii="仿宋" w:hAnsi="仿宋" w:eastAsia="仿宋" w:cs="仿宋"/>
                <w:color w:val="000000"/>
                <w:sz w:val="22"/>
                <w:szCs w:val="22"/>
              </w:rPr>
            </w:pPr>
            <w:r>
              <w:rPr>
                <w:rFonts w:hint="eastAsia" w:ascii="仿宋" w:hAnsi="仿宋" w:eastAsia="仿宋" w:cs="仿宋"/>
                <w:color w:val="000000"/>
                <w:sz w:val="22"/>
                <w:szCs w:val="22"/>
              </w:rPr>
              <w:t>本息兑付后剩余本金值</w:t>
            </w:r>
          </w:p>
        </w:tc>
        <w:tc>
          <w:tcPr>
            <w:tcW w:w="2017" w:type="dxa"/>
            <w:tcBorders>
              <w:top w:val="nil"/>
              <w:left w:val="nil"/>
              <w:bottom w:val="single" w:color="auto" w:sz="4" w:space="0"/>
              <w:right w:val="single" w:color="auto" w:sz="4" w:space="0"/>
            </w:tcBorders>
            <w:noWrap/>
            <w:vAlign w:val="center"/>
          </w:tcPr>
          <w:p w14:paraId="28C56747">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094AFFF5">
            <w:pPr>
              <w:rPr>
                <w:rFonts w:ascii="仿宋" w:hAnsi="仿宋" w:eastAsia="仿宋" w:cs="仿宋"/>
                <w:color w:val="000000"/>
                <w:sz w:val="22"/>
                <w:szCs w:val="22"/>
              </w:rPr>
            </w:pPr>
          </w:p>
        </w:tc>
      </w:tr>
      <w:tr w14:paraId="41A759D0">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54249914">
            <w:pPr>
              <w:rPr>
                <w:rFonts w:ascii="仿宋" w:hAnsi="仿宋" w:eastAsia="仿宋" w:cs="仿宋"/>
                <w:color w:val="000000"/>
                <w:sz w:val="22"/>
                <w:szCs w:val="22"/>
              </w:rPr>
            </w:pPr>
            <w:r>
              <w:rPr>
                <w:rFonts w:hint="eastAsia" w:ascii="仿宋" w:hAnsi="仿宋" w:eastAsia="仿宋" w:cs="仿宋"/>
                <w:color w:val="000000"/>
                <w:sz w:val="22"/>
                <w:szCs w:val="22"/>
              </w:rPr>
              <w:t>付息金额</w:t>
            </w:r>
          </w:p>
        </w:tc>
        <w:tc>
          <w:tcPr>
            <w:tcW w:w="2017" w:type="dxa"/>
            <w:tcBorders>
              <w:top w:val="nil"/>
              <w:left w:val="nil"/>
              <w:bottom w:val="single" w:color="auto" w:sz="4" w:space="0"/>
              <w:right w:val="single" w:color="auto" w:sz="4" w:space="0"/>
            </w:tcBorders>
            <w:noWrap/>
            <w:vAlign w:val="center"/>
          </w:tcPr>
          <w:p w14:paraId="14A36F96">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69226622">
            <w:pPr>
              <w:rPr>
                <w:rFonts w:ascii="仿宋" w:hAnsi="仿宋" w:eastAsia="仿宋" w:cs="仿宋"/>
                <w:color w:val="000000"/>
                <w:sz w:val="22"/>
                <w:szCs w:val="22"/>
              </w:rPr>
            </w:pPr>
          </w:p>
        </w:tc>
      </w:tr>
      <w:tr w14:paraId="388B67E7">
        <w:tblPrEx>
          <w:tblCellMar>
            <w:top w:w="0" w:type="dxa"/>
            <w:left w:w="108" w:type="dxa"/>
            <w:bottom w:w="0" w:type="dxa"/>
            <w:right w:w="108" w:type="dxa"/>
          </w:tblCellMar>
        </w:tblPrEx>
        <w:trPr>
          <w:trHeight w:val="288" w:hRule="atLeast"/>
        </w:trPr>
        <w:tc>
          <w:tcPr>
            <w:tcW w:w="3217" w:type="dxa"/>
            <w:tcBorders>
              <w:top w:val="nil"/>
              <w:left w:val="single" w:color="auto" w:sz="4" w:space="0"/>
              <w:bottom w:val="single" w:color="auto" w:sz="4" w:space="0"/>
              <w:right w:val="single" w:color="auto" w:sz="4" w:space="0"/>
            </w:tcBorders>
            <w:noWrap/>
            <w:vAlign w:val="center"/>
          </w:tcPr>
          <w:p w14:paraId="354FA477">
            <w:pPr>
              <w:rPr>
                <w:rFonts w:ascii="仿宋" w:hAnsi="仿宋" w:eastAsia="仿宋" w:cs="仿宋"/>
                <w:color w:val="000000"/>
                <w:sz w:val="22"/>
                <w:szCs w:val="22"/>
              </w:rPr>
            </w:pPr>
            <w:r>
              <w:rPr>
                <w:rFonts w:hint="eastAsia" w:ascii="仿宋" w:hAnsi="仿宋" w:eastAsia="仿宋" w:cs="仿宋"/>
                <w:color w:val="000000"/>
                <w:sz w:val="22"/>
                <w:szCs w:val="22"/>
              </w:rPr>
              <w:t>本期利息是否延迟支付</w:t>
            </w:r>
          </w:p>
        </w:tc>
        <w:tc>
          <w:tcPr>
            <w:tcW w:w="2017" w:type="dxa"/>
            <w:tcBorders>
              <w:top w:val="nil"/>
              <w:left w:val="nil"/>
              <w:bottom w:val="single" w:color="auto" w:sz="4" w:space="0"/>
              <w:right w:val="single" w:color="auto" w:sz="4" w:space="0"/>
            </w:tcBorders>
            <w:noWrap/>
            <w:vAlign w:val="center"/>
          </w:tcPr>
          <w:p w14:paraId="672CAD53">
            <w:pPr>
              <w:rPr>
                <w:rFonts w:ascii="仿宋" w:hAnsi="仿宋" w:eastAsia="仿宋" w:cs="仿宋"/>
                <w:color w:val="000000"/>
                <w:sz w:val="22"/>
                <w:szCs w:val="22"/>
              </w:rPr>
            </w:pPr>
          </w:p>
        </w:tc>
        <w:tc>
          <w:tcPr>
            <w:tcW w:w="2017" w:type="dxa"/>
            <w:tcBorders>
              <w:top w:val="nil"/>
              <w:left w:val="nil"/>
              <w:bottom w:val="single" w:color="auto" w:sz="4" w:space="0"/>
              <w:right w:val="single" w:color="auto" w:sz="4" w:space="0"/>
            </w:tcBorders>
            <w:noWrap/>
            <w:vAlign w:val="center"/>
          </w:tcPr>
          <w:p w14:paraId="3F3BEADE">
            <w:pPr>
              <w:rPr>
                <w:rFonts w:ascii="仿宋" w:hAnsi="仿宋" w:eastAsia="仿宋" w:cs="仿宋"/>
                <w:color w:val="000000"/>
                <w:sz w:val="22"/>
                <w:szCs w:val="22"/>
              </w:rPr>
            </w:pPr>
          </w:p>
        </w:tc>
      </w:tr>
    </w:tbl>
    <w:p w14:paraId="2BE61432">
      <w:pPr>
        <w:jc w:val="both"/>
        <w:rPr>
          <w:rFonts w:ascii="仿宋" w:hAnsi="仿宋" w:eastAsia="仿宋" w:cs="仿宋"/>
          <w:color w:val="000000"/>
        </w:rPr>
      </w:pPr>
    </w:p>
    <w:p w14:paraId="1E8A5F9C">
      <w:pPr>
        <w:jc w:val="both"/>
        <w:rPr>
          <w:rFonts w:ascii="仿宋" w:hAnsi="仿宋" w:eastAsia="仿宋" w:cs="仿宋"/>
          <w:b/>
          <w:color w:val="000000"/>
        </w:rPr>
      </w:pPr>
      <w:r>
        <w:rPr>
          <w:rFonts w:hint="eastAsia" w:ascii="仿宋" w:hAnsi="仿宋" w:eastAsia="仿宋" w:cs="仿宋"/>
          <w:b/>
          <w:color w:val="000000"/>
        </w:rPr>
        <w:t>附件4：资产池整体表现情况表</w:t>
      </w:r>
    </w:p>
    <w:tbl>
      <w:tblPr>
        <w:tblStyle w:val="10"/>
        <w:tblW w:w="8522" w:type="dxa"/>
        <w:jc w:val="center"/>
        <w:tblLayout w:type="autofit"/>
        <w:tblCellMar>
          <w:top w:w="0" w:type="dxa"/>
          <w:left w:w="108" w:type="dxa"/>
          <w:bottom w:w="0" w:type="dxa"/>
          <w:right w:w="108" w:type="dxa"/>
        </w:tblCellMar>
      </w:tblPr>
      <w:tblGrid>
        <w:gridCol w:w="1124"/>
        <w:gridCol w:w="1124"/>
        <w:gridCol w:w="942"/>
        <w:gridCol w:w="1020"/>
        <w:gridCol w:w="1689"/>
        <w:gridCol w:w="942"/>
        <w:gridCol w:w="942"/>
        <w:gridCol w:w="739"/>
      </w:tblGrid>
      <w:tr w14:paraId="4B42F918">
        <w:tblPrEx>
          <w:tblCellMar>
            <w:top w:w="0" w:type="dxa"/>
            <w:left w:w="108" w:type="dxa"/>
            <w:bottom w:w="0" w:type="dxa"/>
            <w:right w:w="108" w:type="dxa"/>
          </w:tblCellMar>
        </w:tblPrEx>
        <w:trPr>
          <w:tblHeader/>
          <w:jc w:val="center"/>
        </w:trPr>
        <w:tc>
          <w:tcPr>
            <w:tcW w:w="0" w:type="auto"/>
            <w:vMerge w:val="restart"/>
            <w:tcBorders>
              <w:top w:val="single" w:color="auto" w:sz="4" w:space="0"/>
              <w:left w:val="single" w:color="auto" w:sz="4" w:space="0"/>
              <w:bottom w:val="single" w:color="000000" w:sz="4" w:space="0"/>
              <w:right w:val="single" w:color="auto" w:sz="4" w:space="0"/>
            </w:tcBorders>
            <w:noWrap/>
            <w:vAlign w:val="center"/>
          </w:tcPr>
          <w:p w14:paraId="14511C84">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资产池情况</w:t>
            </w:r>
          </w:p>
        </w:tc>
        <w:tc>
          <w:tcPr>
            <w:tcW w:w="0" w:type="auto"/>
            <w:vMerge w:val="restart"/>
            <w:tcBorders>
              <w:top w:val="single" w:color="auto" w:sz="4" w:space="0"/>
              <w:left w:val="single" w:color="auto" w:sz="4" w:space="0"/>
              <w:bottom w:val="single" w:color="000000" w:sz="4" w:space="0"/>
              <w:right w:val="single" w:color="auto" w:sz="4" w:space="0"/>
            </w:tcBorders>
            <w:noWrap/>
            <w:vAlign w:val="center"/>
          </w:tcPr>
          <w:p w14:paraId="21C541E7">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借款人户数</w:t>
            </w:r>
          </w:p>
        </w:tc>
        <w:tc>
          <w:tcPr>
            <w:tcW w:w="0" w:type="auto"/>
            <w:vMerge w:val="restart"/>
            <w:tcBorders>
              <w:top w:val="single" w:color="auto" w:sz="4" w:space="0"/>
              <w:left w:val="single" w:color="auto" w:sz="4" w:space="0"/>
              <w:bottom w:val="single" w:color="000000" w:sz="4" w:space="0"/>
              <w:right w:val="single" w:color="auto" w:sz="4" w:space="0"/>
            </w:tcBorders>
            <w:noWrap/>
            <w:vAlign w:val="center"/>
          </w:tcPr>
          <w:p w14:paraId="08A56F2D">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贷款笔数</w:t>
            </w:r>
          </w:p>
        </w:tc>
        <w:tc>
          <w:tcPr>
            <w:tcW w:w="1190" w:type="dxa"/>
            <w:vMerge w:val="restart"/>
            <w:tcBorders>
              <w:top w:val="single" w:color="auto" w:sz="4" w:space="0"/>
              <w:left w:val="single" w:color="auto" w:sz="4" w:space="0"/>
              <w:bottom w:val="single" w:color="000000" w:sz="4" w:space="0"/>
              <w:right w:val="single" w:color="auto" w:sz="4" w:space="0"/>
            </w:tcBorders>
            <w:noWrap/>
            <w:vAlign w:val="center"/>
          </w:tcPr>
          <w:p w14:paraId="7017809B">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贷款本息余额</w:t>
            </w:r>
          </w:p>
        </w:tc>
        <w:tc>
          <w:tcPr>
            <w:tcW w:w="2001" w:type="dxa"/>
            <w:vMerge w:val="restart"/>
            <w:tcBorders>
              <w:top w:val="single" w:color="auto" w:sz="4" w:space="0"/>
              <w:left w:val="nil"/>
              <w:right w:val="single" w:color="000000" w:sz="4" w:space="0"/>
            </w:tcBorders>
            <w:noWrap/>
            <w:vAlign w:val="center"/>
          </w:tcPr>
          <w:p w14:paraId="6F6BE9B7">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加权平均逾期期限（月）</w:t>
            </w:r>
          </w:p>
        </w:tc>
        <w:tc>
          <w:tcPr>
            <w:tcW w:w="2544" w:type="dxa"/>
            <w:gridSpan w:val="3"/>
            <w:tcBorders>
              <w:top w:val="single" w:color="auto" w:sz="4" w:space="0"/>
              <w:left w:val="nil"/>
              <w:bottom w:val="single" w:color="auto" w:sz="4" w:space="0"/>
              <w:right w:val="single" w:color="000000" w:sz="4" w:space="0"/>
            </w:tcBorders>
            <w:noWrap/>
            <w:vAlign w:val="center"/>
          </w:tcPr>
          <w:p w14:paraId="19A5ABE4">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回购或替换</w:t>
            </w:r>
          </w:p>
        </w:tc>
      </w:tr>
      <w:tr w14:paraId="3699C0B2">
        <w:tblPrEx>
          <w:tblCellMar>
            <w:top w:w="0" w:type="dxa"/>
            <w:left w:w="108" w:type="dxa"/>
            <w:bottom w:w="0" w:type="dxa"/>
            <w:right w:w="108" w:type="dxa"/>
          </w:tblCellMar>
        </w:tblPrEx>
        <w:trPr>
          <w:tblHeader/>
          <w:jc w:val="center"/>
        </w:trPr>
        <w:tc>
          <w:tcPr>
            <w:tcW w:w="0" w:type="auto"/>
            <w:vMerge w:val="continue"/>
            <w:tcBorders>
              <w:top w:val="single" w:color="auto" w:sz="4" w:space="0"/>
              <w:left w:val="single" w:color="auto" w:sz="4" w:space="0"/>
              <w:bottom w:val="single" w:color="000000" w:sz="4" w:space="0"/>
              <w:right w:val="single" w:color="auto" w:sz="4" w:space="0"/>
            </w:tcBorders>
            <w:vAlign w:val="center"/>
          </w:tcPr>
          <w:p w14:paraId="06E8E9EB">
            <w:pPr>
              <w:snapToGrid w:val="0"/>
              <w:rPr>
                <w:rFonts w:ascii="仿宋" w:hAnsi="仿宋" w:eastAsia="仿宋" w:cs="仿宋"/>
                <w:color w:val="000000"/>
                <w:sz w:val="22"/>
                <w:szCs w:val="22"/>
                <w:highlight w:val="none"/>
              </w:rPr>
            </w:pP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2E4EBD3B">
            <w:pPr>
              <w:snapToGrid w:val="0"/>
              <w:rPr>
                <w:rFonts w:ascii="仿宋" w:hAnsi="仿宋" w:eastAsia="仿宋" w:cs="仿宋"/>
                <w:color w:val="000000"/>
                <w:sz w:val="22"/>
                <w:szCs w:val="22"/>
                <w:highlight w:val="none"/>
              </w:rPr>
            </w:pP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6B0B2950">
            <w:pPr>
              <w:snapToGrid w:val="0"/>
              <w:rPr>
                <w:rFonts w:ascii="仿宋" w:hAnsi="仿宋" w:eastAsia="仿宋" w:cs="仿宋"/>
                <w:color w:val="000000"/>
                <w:sz w:val="22"/>
                <w:szCs w:val="22"/>
                <w:highlight w:val="none"/>
              </w:rPr>
            </w:pPr>
          </w:p>
        </w:tc>
        <w:tc>
          <w:tcPr>
            <w:tcW w:w="1190" w:type="dxa"/>
            <w:vMerge w:val="continue"/>
            <w:tcBorders>
              <w:top w:val="single" w:color="auto" w:sz="4" w:space="0"/>
              <w:left w:val="single" w:color="auto" w:sz="4" w:space="0"/>
              <w:bottom w:val="single" w:color="000000" w:sz="4" w:space="0"/>
              <w:right w:val="single" w:color="auto" w:sz="4" w:space="0"/>
            </w:tcBorders>
            <w:vAlign w:val="center"/>
          </w:tcPr>
          <w:p w14:paraId="4C21F956">
            <w:pPr>
              <w:snapToGrid w:val="0"/>
              <w:rPr>
                <w:rFonts w:ascii="仿宋" w:hAnsi="仿宋" w:eastAsia="仿宋" w:cs="仿宋"/>
                <w:color w:val="000000"/>
                <w:sz w:val="22"/>
                <w:szCs w:val="22"/>
                <w:highlight w:val="none"/>
              </w:rPr>
            </w:pPr>
          </w:p>
        </w:tc>
        <w:tc>
          <w:tcPr>
            <w:tcW w:w="2001" w:type="dxa"/>
            <w:vMerge w:val="continue"/>
            <w:tcBorders>
              <w:left w:val="nil"/>
              <w:bottom w:val="single" w:color="auto" w:sz="4" w:space="0"/>
              <w:right w:val="single" w:color="000000" w:sz="4" w:space="0"/>
            </w:tcBorders>
            <w:noWrap/>
            <w:vAlign w:val="center"/>
          </w:tcPr>
          <w:p w14:paraId="2E0C4746">
            <w:pPr>
              <w:snapToGrid w:val="0"/>
              <w:rPr>
                <w:rFonts w:ascii="仿宋" w:hAnsi="仿宋" w:eastAsia="仿宋" w:cs="仿宋"/>
                <w:color w:val="000000"/>
                <w:sz w:val="22"/>
                <w:szCs w:val="22"/>
                <w:highlight w:val="none"/>
              </w:rPr>
            </w:pPr>
          </w:p>
        </w:tc>
        <w:tc>
          <w:tcPr>
            <w:tcW w:w="0" w:type="auto"/>
            <w:tcBorders>
              <w:top w:val="nil"/>
              <w:left w:val="nil"/>
              <w:bottom w:val="single" w:color="auto" w:sz="4" w:space="0"/>
              <w:right w:val="single" w:color="auto" w:sz="4" w:space="0"/>
            </w:tcBorders>
            <w:noWrap/>
            <w:vAlign w:val="center"/>
          </w:tcPr>
          <w:p w14:paraId="02991310">
            <w:pPr>
              <w:snapToGrid w:val="0"/>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贷款笔数</w:t>
            </w:r>
          </w:p>
        </w:tc>
        <w:tc>
          <w:tcPr>
            <w:tcW w:w="0" w:type="auto"/>
            <w:tcBorders>
              <w:top w:val="nil"/>
              <w:left w:val="nil"/>
              <w:bottom w:val="single" w:color="auto" w:sz="4" w:space="0"/>
              <w:right w:val="single" w:color="auto" w:sz="4" w:space="0"/>
            </w:tcBorders>
            <w:noWrap/>
            <w:vAlign w:val="center"/>
          </w:tcPr>
          <w:p w14:paraId="083F275E">
            <w:pPr>
              <w:snapToGrid w:val="0"/>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贷款金额</w:t>
            </w:r>
          </w:p>
        </w:tc>
        <w:tc>
          <w:tcPr>
            <w:tcW w:w="848" w:type="dxa"/>
            <w:tcBorders>
              <w:top w:val="nil"/>
              <w:left w:val="nil"/>
              <w:bottom w:val="single" w:color="auto" w:sz="4" w:space="0"/>
              <w:right w:val="single" w:color="auto" w:sz="4" w:space="0"/>
            </w:tcBorders>
            <w:noWrap/>
            <w:vAlign w:val="center"/>
          </w:tcPr>
          <w:p w14:paraId="033FB212">
            <w:pPr>
              <w:snapToGrid w:val="0"/>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贷款占比</w:t>
            </w:r>
          </w:p>
        </w:tc>
      </w:tr>
      <w:tr w14:paraId="59C341F5">
        <w:tblPrEx>
          <w:tblCellMar>
            <w:top w:w="0" w:type="dxa"/>
            <w:left w:w="108" w:type="dxa"/>
            <w:bottom w:w="0" w:type="dxa"/>
            <w:right w:w="108" w:type="dxa"/>
          </w:tblCellMar>
        </w:tblPrEx>
        <w:trPr>
          <w:tblHeader/>
          <w:jc w:val="center"/>
        </w:trPr>
        <w:tc>
          <w:tcPr>
            <w:tcW w:w="0" w:type="auto"/>
            <w:tcBorders>
              <w:top w:val="nil"/>
              <w:left w:val="single" w:color="auto" w:sz="4" w:space="0"/>
              <w:bottom w:val="single" w:color="auto" w:sz="4" w:space="0"/>
              <w:right w:val="single" w:color="auto" w:sz="4" w:space="0"/>
            </w:tcBorders>
            <w:noWrap/>
            <w:vAlign w:val="center"/>
          </w:tcPr>
          <w:p w14:paraId="3FDF0530">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基准日</w:t>
            </w:r>
          </w:p>
        </w:tc>
        <w:tc>
          <w:tcPr>
            <w:tcW w:w="0" w:type="auto"/>
            <w:tcBorders>
              <w:top w:val="nil"/>
              <w:left w:val="nil"/>
              <w:bottom w:val="single" w:color="auto" w:sz="4" w:space="0"/>
              <w:right w:val="single" w:color="auto" w:sz="4" w:space="0"/>
            </w:tcBorders>
            <w:noWrap/>
            <w:vAlign w:val="center"/>
          </w:tcPr>
          <w:p w14:paraId="33CE4243">
            <w:pPr>
              <w:snapToGrid w:val="0"/>
              <w:rPr>
                <w:rFonts w:ascii="仿宋" w:hAnsi="仿宋" w:eastAsia="仿宋" w:cs="仿宋"/>
                <w:color w:val="000000"/>
                <w:sz w:val="22"/>
                <w:szCs w:val="22"/>
                <w:highlight w:val="none"/>
              </w:rPr>
            </w:pPr>
          </w:p>
        </w:tc>
        <w:tc>
          <w:tcPr>
            <w:tcW w:w="0" w:type="auto"/>
            <w:tcBorders>
              <w:top w:val="nil"/>
              <w:left w:val="nil"/>
              <w:bottom w:val="single" w:color="auto" w:sz="4" w:space="0"/>
              <w:right w:val="single" w:color="auto" w:sz="4" w:space="0"/>
            </w:tcBorders>
            <w:noWrap/>
            <w:vAlign w:val="center"/>
          </w:tcPr>
          <w:p w14:paraId="3F8844CF">
            <w:pPr>
              <w:snapToGrid w:val="0"/>
              <w:rPr>
                <w:rFonts w:ascii="仿宋" w:hAnsi="仿宋" w:eastAsia="仿宋" w:cs="仿宋"/>
                <w:color w:val="000000"/>
                <w:sz w:val="22"/>
                <w:szCs w:val="22"/>
                <w:highlight w:val="none"/>
              </w:rPr>
            </w:pPr>
          </w:p>
        </w:tc>
        <w:tc>
          <w:tcPr>
            <w:tcW w:w="1190" w:type="dxa"/>
            <w:tcBorders>
              <w:top w:val="nil"/>
              <w:left w:val="nil"/>
              <w:bottom w:val="single" w:color="auto" w:sz="4" w:space="0"/>
              <w:right w:val="single" w:color="auto" w:sz="4" w:space="0"/>
            </w:tcBorders>
            <w:noWrap/>
            <w:vAlign w:val="center"/>
          </w:tcPr>
          <w:p w14:paraId="119B665A">
            <w:pPr>
              <w:snapToGrid w:val="0"/>
              <w:rPr>
                <w:rFonts w:ascii="仿宋" w:hAnsi="仿宋" w:eastAsia="仿宋" w:cs="仿宋"/>
                <w:color w:val="000000"/>
                <w:sz w:val="22"/>
                <w:szCs w:val="22"/>
                <w:highlight w:val="none"/>
              </w:rPr>
            </w:pPr>
          </w:p>
        </w:tc>
        <w:tc>
          <w:tcPr>
            <w:tcW w:w="2001" w:type="dxa"/>
            <w:tcBorders>
              <w:top w:val="nil"/>
              <w:left w:val="nil"/>
              <w:bottom w:val="single" w:color="auto" w:sz="4" w:space="0"/>
              <w:right w:val="single" w:color="auto" w:sz="4" w:space="0"/>
            </w:tcBorders>
            <w:noWrap/>
            <w:vAlign w:val="center"/>
          </w:tcPr>
          <w:p w14:paraId="69F33FDA">
            <w:pPr>
              <w:snapToGrid w:val="0"/>
              <w:rPr>
                <w:rFonts w:ascii="仿宋" w:hAnsi="仿宋" w:eastAsia="仿宋" w:cs="仿宋"/>
                <w:color w:val="000000"/>
                <w:sz w:val="22"/>
                <w:szCs w:val="22"/>
                <w:highlight w:val="none"/>
              </w:rPr>
            </w:pPr>
          </w:p>
        </w:tc>
        <w:tc>
          <w:tcPr>
            <w:tcW w:w="0" w:type="auto"/>
            <w:tcBorders>
              <w:top w:val="nil"/>
              <w:left w:val="nil"/>
              <w:bottom w:val="single" w:color="auto" w:sz="4" w:space="0"/>
              <w:right w:val="single" w:color="auto" w:sz="4" w:space="0"/>
            </w:tcBorders>
            <w:noWrap/>
            <w:vAlign w:val="center"/>
          </w:tcPr>
          <w:p w14:paraId="28776A5C">
            <w:pPr>
              <w:snapToGrid w:val="0"/>
              <w:rPr>
                <w:rFonts w:ascii="仿宋" w:hAnsi="仿宋" w:eastAsia="仿宋" w:cs="仿宋"/>
                <w:color w:val="000000"/>
                <w:sz w:val="22"/>
                <w:szCs w:val="22"/>
                <w:highlight w:val="none"/>
              </w:rPr>
            </w:pPr>
          </w:p>
        </w:tc>
        <w:tc>
          <w:tcPr>
            <w:tcW w:w="0" w:type="auto"/>
            <w:tcBorders>
              <w:top w:val="nil"/>
              <w:left w:val="nil"/>
              <w:bottom w:val="single" w:color="auto" w:sz="4" w:space="0"/>
              <w:right w:val="single" w:color="auto" w:sz="4" w:space="0"/>
            </w:tcBorders>
            <w:noWrap/>
            <w:vAlign w:val="center"/>
          </w:tcPr>
          <w:p w14:paraId="64D2365D">
            <w:pPr>
              <w:snapToGrid w:val="0"/>
              <w:rPr>
                <w:rFonts w:ascii="仿宋" w:hAnsi="仿宋" w:eastAsia="仿宋" w:cs="仿宋"/>
                <w:color w:val="000000"/>
                <w:sz w:val="22"/>
                <w:szCs w:val="22"/>
                <w:highlight w:val="none"/>
              </w:rPr>
            </w:pPr>
          </w:p>
        </w:tc>
        <w:tc>
          <w:tcPr>
            <w:tcW w:w="848" w:type="dxa"/>
            <w:tcBorders>
              <w:top w:val="nil"/>
              <w:left w:val="nil"/>
              <w:bottom w:val="single" w:color="auto" w:sz="4" w:space="0"/>
              <w:right w:val="single" w:color="auto" w:sz="4" w:space="0"/>
            </w:tcBorders>
            <w:noWrap/>
            <w:vAlign w:val="center"/>
          </w:tcPr>
          <w:p w14:paraId="2ADB7C11">
            <w:pPr>
              <w:snapToGrid w:val="0"/>
              <w:rPr>
                <w:rFonts w:ascii="仿宋" w:hAnsi="仿宋" w:eastAsia="仿宋" w:cs="仿宋"/>
                <w:color w:val="000000"/>
                <w:sz w:val="22"/>
                <w:szCs w:val="22"/>
                <w:highlight w:val="none"/>
              </w:rPr>
            </w:pPr>
          </w:p>
        </w:tc>
      </w:tr>
      <w:tr w14:paraId="6F4607BC">
        <w:tblPrEx>
          <w:tblCellMar>
            <w:top w:w="0" w:type="dxa"/>
            <w:left w:w="108" w:type="dxa"/>
            <w:bottom w:w="0" w:type="dxa"/>
            <w:right w:w="108" w:type="dxa"/>
          </w:tblCellMar>
        </w:tblPrEx>
        <w:trPr>
          <w:tblHeader/>
          <w:jc w:val="center"/>
        </w:trPr>
        <w:tc>
          <w:tcPr>
            <w:tcW w:w="1006" w:type="dxa"/>
            <w:tcBorders>
              <w:top w:val="nil"/>
              <w:left w:val="single" w:color="auto" w:sz="4" w:space="0"/>
              <w:bottom w:val="single" w:color="auto" w:sz="4" w:space="0"/>
              <w:right w:val="single" w:color="auto" w:sz="4" w:space="0"/>
            </w:tcBorders>
            <w:noWrap/>
            <w:vAlign w:val="center"/>
          </w:tcPr>
          <w:p w14:paraId="05727D72">
            <w:pPr>
              <w:snapToGrid w:val="0"/>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本期报告期</w:t>
            </w:r>
          </w:p>
        </w:tc>
        <w:tc>
          <w:tcPr>
            <w:tcW w:w="1006" w:type="dxa"/>
            <w:tcBorders>
              <w:top w:val="nil"/>
              <w:left w:val="nil"/>
              <w:bottom w:val="single" w:color="auto" w:sz="4" w:space="0"/>
              <w:right w:val="single" w:color="auto" w:sz="4" w:space="0"/>
            </w:tcBorders>
            <w:noWrap/>
            <w:vAlign w:val="center"/>
          </w:tcPr>
          <w:p w14:paraId="38843456">
            <w:pPr>
              <w:snapToGrid w:val="0"/>
              <w:rPr>
                <w:rFonts w:ascii="仿宋" w:hAnsi="仿宋" w:eastAsia="仿宋" w:cs="仿宋"/>
                <w:color w:val="000000"/>
                <w:sz w:val="22"/>
                <w:szCs w:val="22"/>
                <w:highlight w:val="none"/>
              </w:rPr>
            </w:pPr>
          </w:p>
        </w:tc>
        <w:tc>
          <w:tcPr>
            <w:tcW w:w="848" w:type="dxa"/>
            <w:tcBorders>
              <w:top w:val="nil"/>
              <w:left w:val="nil"/>
              <w:bottom w:val="single" w:color="auto" w:sz="4" w:space="0"/>
              <w:right w:val="single" w:color="auto" w:sz="4" w:space="0"/>
            </w:tcBorders>
            <w:noWrap/>
            <w:vAlign w:val="center"/>
          </w:tcPr>
          <w:p w14:paraId="24E530BF">
            <w:pPr>
              <w:snapToGrid w:val="0"/>
              <w:rPr>
                <w:rFonts w:ascii="仿宋" w:hAnsi="仿宋" w:eastAsia="仿宋" w:cs="仿宋"/>
                <w:color w:val="000000"/>
                <w:sz w:val="22"/>
                <w:szCs w:val="22"/>
                <w:highlight w:val="none"/>
              </w:rPr>
            </w:pPr>
          </w:p>
        </w:tc>
        <w:tc>
          <w:tcPr>
            <w:tcW w:w="1190" w:type="dxa"/>
            <w:tcBorders>
              <w:top w:val="nil"/>
              <w:left w:val="nil"/>
              <w:bottom w:val="single" w:color="auto" w:sz="4" w:space="0"/>
              <w:right w:val="single" w:color="auto" w:sz="4" w:space="0"/>
            </w:tcBorders>
            <w:noWrap/>
            <w:vAlign w:val="center"/>
          </w:tcPr>
          <w:p w14:paraId="48868526">
            <w:pPr>
              <w:snapToGrid w:val="0"/>
              <w:rPr>
                <w:rFonts w:ascii="仿宋" w:hAnsi="仿宋" w:eastAsia="仿宋" w:cs="仿宋"/>
                <w:color w:val="000000"/>
                <w:sz w:val="22"/>
                <w:szCs w:val="22"/>
                <w:highlight w:val="none"/>
              </w:rPr>
            </w:pPr>
          </w:p>
        </w:tc>
        <w:tc>
          <w:tcPr>
            <w:tcW w:w="2001" w:type="dxa"/>
            <w:tcBorders>
              <w:top w:val="nil"/>
              <w:left w:val="nil"/>
              <w:bottom w:val="single" w:color="auto" w:sz="4" w:space="0"/>
              <w:right w:val="single" w:color="auto" w:sz="4" w:space="0"/>
            </w:tcBorders>
            <w:noWrap/>
            <w:vAlign w:val="center"/>
          </w:tcPr>
          <w:p w14:paraId="6603A83C">
            <w:pPr>
              <w:snapToGrid w:val="0"/>
              <w:rPr>
                <w:rFonts w:ascii="仿宋" w:hAnsi="仿宋" w:eastAsia="仿宋" w:cs="仿宋"/>
                <w:color w:val="000000"/>
                <w:sz w:val="22"/>
                <w:szCs w:val="22"/>
                <w:highlight w:val="none"/>
              </w:rPr>
            </w:pPr>
          </w:p>
        </w:tc>
        <w:tc>
          <w:tcPr>
            <w:tcW w:w="848" w:type="dxa"/>
            <w:tcBorders>
              <w:top w:val="nil"/>
              <w:left w:val="nil"/>
              <w:bottom w:val="single" w:color="auto" w:sz="4" w:space="0"/>
              <w:right w:val="single" w:color="auto" w:sz="4" w:space="0"/>
            </w:tcBorders>
            <w:noWrap/>
            <w:vAlign w:val="center"/>
          </w:tcPr>
          <w:p w14:paraId="2BE779FF">
            <w:pPr>
              <w:snapToGrid w:val="0"/>
              <w:rPr>
                <w:rFonts w:ascii="仿宋" w:hAnsi="仿宋" w:eastAsia="仿宋" w:cs="仿宋"/>
                <w:color w:val="000000"/>
                <w:sz w:val="22"/>
                <w:szCs w:val="22"/>
                <w:highlight w:val="none"/>
              </w:rPr>
            </w:pPr>
          </w:p>
        </w:tc>
        <w:tc>
          <w:tcPr>
            <w:tcW w:w="848" w:type="dxa"/>
            <w:tcBorders>
              <w:top w:val="nil"/>
              <w:left w:val="nil"/>
              <w:bottom w:val="single" w:color="auto" w:sz="4" w:space="0"/>
              <w:right w:val="single" w:color="auto" w:sz="4" w:space="0"/>
            </w:tcBorders>
            <w:noWrap/>
            <w:vAlign w:val="center"/>
          </w:tcPr>
          <w:p w14:paraId="22A57EFD">
            <w:pPr>
              <w:snapToGrid w:val="0"/>
              <w:rPr>
                <w:rFonts w:ascii="仿宋" w:hAnsi="仿宋" w:eastAsia="仿宋" w:cs="仿宋"/>
                <w:color w:val="000000"/>
                <w:sz w:val="22"/>
                <w:szCs w:val="22"/>
                <w:highlight w:val="none"/>
              </w:rPr>
            </w:pPr>
          </w:p>
        </w:tc>
        <w:tc>
          <w:tcPr>
            <w:tcW w:w="848" w:type="dxa"/>
            <w:tcBorders>
              <w:top w:val="nil"/>
              <w:left w:val="nil"/>
              <w:bottom w:val="single" w:color="auto" w:sz="4" w:space="0"/>
              <w:right w:val="single" w:color="auto" w:sz="4" w:space="0"/>
            </w:tcBorders>
            <w:noWrap/>
            <w:vAlign w:val="center"/>
          </w:tcPr>
          <w:p w14:paraId="68C4EBAF">
            <w:pPr>
              <w:snapToGrid w:val="0"/>
              <w:rPr>
                <w:rFonts w:ascii="仿宋" w:hAnsi="仿宋" w:eastAsia="仿宋" w:cs="仿宋"/>
                <w:color w:val="000000"/>
                <w:sz w:val="22"/>
                <w:szCs w:val="22"/>
                <w:highlight w:val="none"/>
              </w:rPr>
            </w:pPr>
          </w:p>
        </w:tc>
      </w:tr>
    </w:tbl>
    <w:p w14:paraId="64090E39">
      <w:pPr>
        <w:jc w:val="both"/>
        <w:rPr>
          <w:rFonts w:ascii="仿宋" w:hAnsi="仿宋" w:eastAsia="仿宋" w:cs="仿宋"/>
          <w:color w:val="000000"/>
          <w:highlight w:val="none"/>
        </w:rPr>
      </w:pPr>
    </w:p>
    <w:p w14:paraId="18126ECA">
      <w:pPr>
        <w:jc w:val="both"/>
        <w:rPr>
          <w:rFonts w:ascii="仿宋" w:hAnsi="仿宋" w:eastAsia="仿宋" w:cs="仿宋"/>
          <w:b/>
          <w:color w:val="000000"/>
          <w:highlight w:val="none"/>
        </w:rPr>
      </w:pPr>
      <w:r>
        <w:rPr>
          <w:rFonts w:hint="eastAsia" w:ascii="仿宋" w:hAnsi="仿宋" w:eastAsia="仿宋" w:cs="仿宋"/>
          <w:b/>
          <w:color w:val="000000"/>
          <w:highlight w:val="none"/>
        </w:rPr>
        <w:t>附件5：资产池整体表现情况——贷款处置状态分布</w:t>
      </w:r>
    </w:p>
    <w:tbl>
      <w:tblPr>
        <w:tblStyle w:val="10"/>
        <w:tblW w:w="8717" w:type="dxa"/>
        <w:tblInd w:w="0" w:type="dxa"/>
        <w:tblLayout w:type="fixed"/>
        <w:tblCellMar>
          <w:top w:w="0" w:type="dxa"/>
          <w:left w:w="108" w:type="dxa"/>
          <w:bottom w:w="0" w:type="dxa"/>
          <w:right w:w="108" w:type="dxa"/>
        </w:tblCellMar>
      </w:tblPr>
      <w:tblGrid>
        <w:gridCol w:w="1767"/>
        <w:gridCol w:w="1418"/>
        <w:gridCol w:w="992"/>
        <w:gridCol w:w="2027"/>
        <w:gridCol w:w="1062"/>
        <w:gridCol w:w="1451"/>
      </w:tblGrid>
      <w:tr w14:paraId="1AB31448">
        <w:tblPrEx>
          <w:tblCellMar>
            <w:top w:w="0" w:type="dxa"/>
            <w:left w:w="108" w:type="dxa"/>
            <w:bottom w:w="0" w:type="dxa"/>
            <w:right w:w="108" w:type="dxa"/>
          </w:tblCellMar>
        </w:tblPrEx>
        <w:trPr>
          <w:trHeight w:val="288" w:hRule="atLeast"/>
        </w:trPr>
        <w:tc>
          <w:tcPr>
            <w:tcW w:w="1767" w:type="dxa"/>
            <w:tcBorders>
              <w:top w:val="single" w:color="auto" w:sz="4" w:space="0"/>
              <w:left w:val="single" w:color="auto" w:sz="4" w:space="0"/>
              <w:bottom w:val="single" w:color="auto" w:sz="4" w:space="0"/>
              <w:right w:val="single" w:color="auto" w:sz="4" w:space="0"/>
            </w:tcBorders>
            <w:noWrap/>
            <w:vAlign w:val="center"/>
          </w:tcPr>
          <w:p w14:paraId="36D872A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贷款情况</w:t>
            </w:r>
          </w:p>
        </w:tc>
        <w:tc>
          <w:tcPr>
            <w:tcW w:w="1418" w:type="dxa"/>
            <w:tcBorders>
              <w:top w:val="single" w:color="auto" w:sz="4" w:space="0"/>
              <w:left w:val="nil"/>
              <w:bottom w:val="single" w:color="auto" w:sz="4" w:space="0"/>
              <w:right w:val="single" w:color="auto" w:sz="4" w:space="0"/>
            </w:tcBorders>
            <w:noWrap/>
            <w:vAlign w:val="center"/>
          </w:tcPr>
          <w:p w14:paraId="2F98D4E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借款人户数</w:t>
            </w:r>
          </w:p>
        </w:tc>
        <w:tc>
          <w:tcPr>
            <w:tcW w:w="992" w:type="dxa"/>
            <w:tcBorders>
              <w:top w:val="single" w:color="auto" w:sz="4" w:space="0"/>
              <w:left w:val="single" w:color="auto" w:sz="4" w:space="0"/>
              <w:bottom w:val="single" w:color="auto" w:sz="4" w:space="0"/>
              <w:right w:val="single" w:color="auto" w:sz="4" w:space="0"/>
            </w:tcBorders>
            <w:vAlign w:val="center"/>
          </w:tcPr>
          <w:p w14:paraId="369ED234">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2027" w:type="dxa"/>
            <w:tcBorders>
              <w:top w:val="single" w:color="auto" w:sz="4" w:space="0"/>
              <w:left w:val="single" w:color="auto" w:sz="4" w:space="0"/>
              <w:bottom w:val="single" w:color="auto" w:sz="4" w:space="0"/>
              <w:right w:val="single" w:color="auto" w:sz="4" w:space="0"/>
            </w:tcBorders>
            <w:vAlign w:val="center"/>
          </w:tcPr>
          <w:p w14:paraId="09589A23">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期初未偿本息余额</w:t>
            </w:r>
          </w:p>
        </w:tc>
        <w:tc>
          <w:tcPr>
            <w:tcW w:w="1062" w:type="dxa"/>
            <w:tcBorders>
              <w:top w:val="single" w:color="auto" w:sz="4" w:space="0"/>
              <w:left w:val="single" w:color="auto" w:sz="4" w:space="0"/>
              <w:bottom w:val="single" w:color="auto" w:sz="4" w:space="0"/>
              <w:right w:val="single" w:color="auto" w:sz="4" w:space="0"/>
            </w:tcBorders>
            <w:vAlign w:val="center"/>
          </w:tcPr>
          <w:p w14:paraId="527CFFF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1451" w:type="dxa"/>
            <w:tcBorders>
              <w:top w:val="single" w:color="auto" w:sz="4" w:space="0"/>
              <w:left w:val="single" w:color="auto" w:sz="4" w:space="0"/>
              <w:bottom w:val="single" w:color="auto" w:sz="4" w:space="0"/>
              <w:right w:val="single" w:color="auto" w:sz="4" w:space="0"/>
            </w:tcBorders>
            <w:vAlign w:val="center"/>
          </w:tcPr>
          <w:p w14:paraId="7FB877D9">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抵（质）押物评估价值</w:t>
            </w:r>
            <w:r>
              <w:rPr>
                <w:rStyle w:val="17"/>
                <w:rFonts w:hint="eastAsia" w:ascii="仿宋" w:hAnsi="仿宋" w:eastAsia="仿宋" w:cs="仿宋"/>
                <w:color w:val="000000"/>
                <w:sz w:val="22"/>
                <w:szCs w:val="22"/>
                <w:highlight w:val="none"/>
              </w:rPr>
              <w:footnoteReference w:id="42"/>
            </w:r>
          </w:p>
        </w:tc>
      </w:tr>
      <w:tr w14:paraId="41D0F372">
        <w:tblPrEx>
          <w:tblCellMar>
            <w:top w:w="0" w:type="dxa"/>
            <w:left w:w="108" w:type="dxa"/>
            <w:bottom w:w="0" w:type="dxa"/>
            <w:right w:w="108" w:type="dxa"/>
          </w:tblCellMar>
        </w:tblPrEx>
        <w:trPr>
          <w:trHeight w:val="288" w:hRule="atLeast"/>
        </w:trPr>
        <w:tc>
          <w:tcPr>
            <w:tcW w:w="1767" w:type="dxa"/>
            <w:tcBorders>
              <w:top w:val="single" w:color="auto" w:sz="4" w:space="0"/>
              <w:left w:val="single" w:color="auto" w:sz="4" w:space="0"/>
              <w:bottom w:val="single" w:color="auto" w:sz="4" w:space="0"/>
              <w:right w:val="single" w:color="auto" w:sz="4" w:space="0"/>
            </w:tcBorders>
            <w:noWrap/>
            <w:vAlign w:val="center"/>
          </w:tcPr>
          <w:p w14:paraId="3A036CA5">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处置中</w:t>
            </w:r>
          </w:p>
        </w:tc>
        <w:tc>
          <w:tcPr>
            <w:tcW w:w="1418" w:type="dxa"/>
            <w:tcBorders>
              <w:top w:val="single" w:color="auto" w:sz="4" w:space="0"/>
              <w:left w:val="nil"/>
              <w:bottom w:val="single" w:color="auto" w:sz="4" w:space="0"/>
              <w:right w:val="single" w:color="auto" w:sz="4" w:space="0"/>
            </w:tcBorders>
            <w:noWrap/>
            <w:vAlign w:val="center"/>
          </w:tcPr>
          <w:p w14:paraId="6824695E">
            <w:pPr>
              <w:jc w:val="center"/>
              <w:rPr>
                <w:rFonts w:ascii="仿宋" w:hAnsi="仿宋" w:eastAsia="仿宋" w:cs="仿宋"/>
                <w:color w:val="000000"/>
                <w:sz w:val="22"/>
                <w:szCs w:val="22"/>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8C102EE">
            <w:pPr>
              <w:jc w:val="center"/>
              <w:rPr>
                <w:rFonts w:ascii="仿宋" w:hAnsi="仿宋" w:eastAsia="仿宋" w:cs="仿宋"/>
                <w:color w:val="000000"/>
                <w:sz w:val="22"/>
                <w:szCs w:val="22"/>
                <w:highlight w:val="none"/>
              </w:rPr>
            </w:pPr>
          </w:p>
        </w:tc>
        <w:tc>
          <w:tcPr>
            <w:tcW w:w="2027" w:type="dxa"/>
            <w:tcBorders>
              <w:top w:val="single" w:color="auto" w:sz="4" w:space="0"/>
              <w:left w:val="single" w:color="auto" w:sz="4" w:space="0"/>
              <w:bottom w:val="single" w:color="auto" w:sz="4" w:space="0"/>
              <w:right w:val="single" w:color="auto" w:sz="4" w:space="0"/>
            </w:tcBorders>
            <w:vAlign w:val="center"/>
          </w:tcPr>
          <w:p w14:paraId="0FD0DEA5">
            <w:pPr>
              <w:jc w:val="center"/>
              <w:rPr>
                <w:rFonts w:ascii="仿宋" w:hAnsi="仿宋" w:eastAsia="仿宋" w:cs="仿宋"/>
                <w:color w:val="000000"/>
                <w:sz w:val="22"/>
                <w:szCs w:val="22"/>
                <w:highlight w:val="none"/>
              </w:rPr>
            </w:pPr>
          </w:p>
        </w:tc>
        <w:tc>
          <w:tcPr>
            <w:tcW w:w="1062" w:type="dxa"/>
            <w:tcBorders>
              <w:top w:val="single" w:color="auto" w:sz="4" w:space="0"/>
              <w:left w:val="single" w:color="auto" w:sz="4" w:space="0"/>
              <w:bottom w:val="single" w:color="auto" w:sz="4" w:space="0"/>
              <w:right w:val="single" w:color="auto" w:sz="4" w:space="0"/>
            </w:tcBorders>
            <w:vAlign w:val="center"/>
          </w:tcPr>
          <w:p w14:paraId="3B3991B8">
            <w:pPr>
              <w:jc w:val="center"/>
              <w:rPr>
                <w:rFonts w:ascii="仿宋" w:hAnsi="仿宋" w:eastAsia="仿宋" w:cs="仿宋"/>
                <w:color w:val="000000"/>
                <w:sz w:val="22"/>
                <w:szCs w:val="22"/>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34FEA2C6">
            <w:pPr>
              <w:jc w:val="center"/>
              <w:rPr>
                <w:rFonts w:ascii="仿宋" w:hAnsi="仿宋" w:eastAsia="仿宋" w:cs="仿宋"/>
                <w:color w:val="000000"/>
                <w:sz w:val="22"/>
                <w:szCs w:val="22"/>
                <w:highlight w:val="none"/>
              </w:rPr>
            </w:pPr>
          </w:p>
        </w:tc>
      </w:tr>
      <w:tr w14:paraId="0E7F382B">
        <w:tblPrEx>
          <w:tblCellMar>
            <w:top w:w="0" w:type="dxa"/>
            <w:left w:w="108" w:type="dxa"/>
            <w:bottom w:w="0" w:type="dxa"/>
            <w:right w:w="108" w:type="dxa"/>
          </w:tblCellMar>
        </w:tblPrEx>
        <w:trPr>
          <w:trHeight w:val="288" w:hRule="atLeast"/>
        </w:trPr>
        <w:tc>
          <w:tcPr>
            <w:tcW w:w="1767" w:type="dxa"/>
            <w:tcBorders>
              <w:top w:val="nil"/>
              <w:left w:val="single" w:color="auto" w:sz="4" w:space="0"/>
              <w:bottom w:val="single" w:color="auto" w:sz="4" w:space="0"/>
              <w:right w:val="single" w:color="auto" w:sz="4" w:space="0"/>
            </w:tcBorders>
            <w:noWrap/>
            <w:vAlign w:val="center"/>
          </w:tcPr>
          <w:p w14:paraId="6B88141F">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累计处置完毕</w:t>
            </w:r>
          </w:p>
        </w:tc>
        <w:tc>
          <w:tcPr>
            <w:tcW w:w="1418" w:type="dxa"/>
            <w:tcBorders>
              <w:top w:val="single" w:color="auto" w:sz="4" w:space="0"/>
              <w:left w:val="nil"/>
              <w:bottom w:val="single" w:color="auto" w:sz="4" w:space="0"/>
              <w:right w:val="single" w:color="auto" w:sz="4" w:space="0"/>
            </w:tcBorders>
            <w:noWrap/>
            <w:vAlign w:val="center"/>
          </w:tcPr>
          <w:p w14:paraId="116F4470">
            <w:pPr>
              <w:jc w:val="center"/>
              <w:rPr>
                <w:rFonts w:ascii="仿宋" w:hAnsi="仿宋" w:eastAsia="仿宋" w:cs="仿宋"/>
                <w:color w:val="000000"/>
                <w:sz w:val="22"/>
                <w:szCs w:val="22"/>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43835E7">
            <w:pPr>
              <w:jc w:val="center"/>
              <w:rPr>
                <w:rFonts w:ascii="仿宋" w:hAnsi="仿宋" w:eastAsia="仿宋" w:cs="仿宋"/>
                <w:color w:val="000000"/>
                <w:sz w:val="22"/>
                <w:szCs w:val="22"/>
                <w:highlight w:val="none"/>
              </w:rPr>
            </w:pPr>
          </w:p>
        </w:tc>
        <w:tc>
          <w:tcPr>
            <w:tcW w:w="2027" w:type="dxa"/>
            <w:tcBorders>
              <w:top w:val="single" w:color="auto" w:sz="4" w:space="0"/>
              <w:left w:val="single" w:color="auto" w:sz="4" w:space="0"/>
              <w:bottom w:val="single" w:color="auto" w:sz="4" w:space="0"/>
              <w:right w:val="single" w:color="auto" w:sz="4" w:space="0"/>
            </w:tcBorders>
            <w:vAlign w:val="center"/>
          </w:tcPr>
          <w:p w14:paraId="294B55AA">
            <w:pPr>
              <w:jc w:val="center"/>
              <w:rPr>
                <w:rFonts w:ascii="仿宋" w:hAnsi="仿宋" w:eastAsia="仿宋" w:cs="仿宋"/>
                <w:color w:val="000000"/>
                <w:sz w:val="22"/>
                <w:szCs w:val="22"/>
                <w:highlight w:val="none"/>
              </w:rPr>
            </w:pPr>
          </w:p>
        </w:tc>
        <w:tc>
          <w:tcPr>
            <w:tcW w:w="1062" w:type="dxa"/>
            <w:tcBorders>
              <w:top w:val="single" w:color="auto" w:sz="4" w:space="0"/>
              <w:left w:val="single" w:color="auto" w:sz="4" w:space="0"/>
              <w:bottom w:val="single" w:color="auto" w:sz="4" w:space="0"/>
              <w:right w:val="single" w:color="auto" w:sz="4" w:space="0"/>
            </w:tcBorders>
            <w:vAlign w:val="center"/>
          </w:tcPr>
          <w:p w14:paraId="17D0DFCE">
            <w:pPr>
              <w:jc w:val="center"/>
              <w:rPr>
                <w:rFonts w:ascii="仿宋" w:hAnsi="仿宋" w:eastAsia="仿宋" w:cs="仿宋"/>
                <w:color w:val="000000"/>
                <w:sz w:val="22"/>
                <w:szCs w:val="22"/>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0CDFC90E">
            <w:pPr>
              <w:jc w:val="center"/>
              <w:rPr>
                <w:rFonts w:ascii="仿宋" w:hAnsi="仿宋" w:eastAsia="仿宋" w:cs="仿宋"/>
                <w:color w:val="000000"/>
                <w:sz w:val="22"/>
                <w:szCs w:val="22"/>
                <w:highlight w:val="none"/>
              </w:rPr>
            </w:pPr>
          </w:p>
        </w:tc>
      </w:tr>
    </w:tbl>
    <w:p w14:paraId="5B22EFA4">
      <w:pPr>
        <w:jc w:val="both"/>
        <w:rPr>
          <w:rFonts w:ascii="仿宋" w:hAnsi="仿宋" w:eastAsia="仿宋" w:cs="仿宋"/>
          <w:color w:val="000000"/>
          <w:highlight w:val="none"/>
        </w:rPr>
      </w:pPr>
    </w:p>
    <w:p w14:paraId="7BE12C94">
      <w:pPr>
        <w:jc w:val="both"/>
        <w:rPr>
          <w:rFonts w:ascii="仿宋" w:hAnsi="仿宋" w:eastAsia="仿宋" w:cs="仿宋"/>
          <w:color w:val="000000"/>
          <w:highlight w:val="none"/>
        </w:rPr>
      </w:pPr>
    </w:p>
    <w:p w14:paraId="3CD60FF4">
      <w:pPr>
        <w:jc w:val="both"/>
        <w:rPr>
          <w:rFonts w:ascii="仿宋" w:hAnsi="仿宋" w:eastAsia="仿宋" w:cs="仿宋"/>
          <w:b/>
          <w:color w:val="000000"/>
          <w:highlight w:val="none"/>
        </w:rPr>
      </w:pPr>
      <w:r>
        <w:rPr>
          <w:rFonts w:hint="eastAsia" w:ascii="仿宋" w:hAnsi="仿宋" w:eastAsia="仿宋" w:cs="仿宋"/>
          <w:b/>
          <w:color w:val="000000"/>
          <w:highlight w:val="none"/>
        </w:rPr>
        <w:t>附件6：资产池</w:t>
      </w:r>
      <w:r>
        <w:rPr>
          <w:rFonts w:hint="eastAsia" w:ascii="仿宋" w:hAnsi="仿宋" w:eastAsia="仿宋" w:cs="仿宋"/>
          <w:b/>
          <w:color w:val="000000"/>
          <w:highlight w:val="none"/>
          <w:lang w:val="en-US" w:eastAsia="zh-CN"/>
        </w:rPr>
        <w:t>当前</w:t>
      </w:r>
      <w:r>
        <w:rPr>
          <w:rFonts w:hint="eastAsia" w:ascii="仿宋" w:hAnsi="仿宋" w:eastAsia="仿宋" w:cs="仿宋"/>
          <w:b/>
          <w:color w:val="000000"/>
          <w:highlight w:val="none"/>
        </w:rPr>
        <w:t>表现情况——处置中贷款未偿本息余额分布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530"/>
        <w:gridCol w:w="880"/>
        <w:gridCol w:w="2027"/>
        <w:gridCol w:w="1062"/>
      </w:tblGrid>
      <w:tr w14:paraId="5005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0B815FE2">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贷款余额</w:t>
            </w:r>
          </w:p>
        </w:tc>
        <w:tc>
          <w:tcPr>
            <w:tcW w:w="1530" w:type="dxa"/>
            <w:noWrap/>
            <w:vAlign w:val="center"/>
          </w:tcPr>
          <w:p w14:paraId="4FFB31BB">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贷款笔数</w:t>
            </w:r>
          </w:p>
        </w:tc>
        <w:tc>
          <w:tcPr>
            <w:tcW w:w="880" w:type="dxa"/>
            <w:vAlign w:val="center"/>
          </w:tcPr>
          <w:p w14:paraId="6FDDF317">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2027" w:type="dxa"/>
            <w:vAlign w:val="center"/>
          </w:tcPr>
          <w:p w14:paraId="61C33FB9">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期末未偿本息余额</w:t>
            </w:r>
          </w:p>
        </w:tc>
        <w:tc>
          <w:tcPr>
            <w:tcW w:w="1062" w:type="dxa"/>
            <w:vAlign w:val="center"/>
          </w:tcPr>
          <w:p w14:paraId="4C6C93C2">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r>
      <w:tr w14:paraId="5708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74A6AB92">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(0,5000]</w:t>
            </w:r>
            <w:r>
              <w:rPr>
                <w:rStyle w:val="17"/>
                <w:rFonts w:ascii="仿宋" w:hAnsi="仿宋" w:eastAsia="仿宋"/>
                <w:color w:val="000000"/>
                <w:sz w:val="22"/>
                <w:szCs w:val="22"/>
                <w:highlight w:val="none"/>
              </w:rPr>
              <w:t xml:space="preserve"> </w:t>
            </w:r>
            <w:r>
              <w:rPr>
                <w:rStyle w:val="17"/>
                <w:rFonts w:ascii="仿宋" w:hAnsi="仿宋" w:eastAsia="仿宋"/>
                <w:color w:val="000000"/>
                <w:sz w:val="22"/>
                <w:szCs w:val="22"/>
                <w:highlight w:val="none"/>
              </w:rPr>
              <w:footnoteReference w:id="43"/>
            </w:r>
          </w:p>
        </w:tc>
        <w:tc>
          <w:tcPr>
            <w:tcW w:w="1530" w:type="dxa"/>
            <w:noWrap/>
            <w:vAlign w:val="center"/>
          </w:tcPr>
          <w:p w14:paraId="000AD357">
            <w:pPr>
              <w:jc w:val="center"/>
              <w:rPr>
                <w:rFonts w:ascii="仿宋" w:hAnsi="仿宋" w:eastAsia="仿宋" w:cs="仿宋"/>
                <w:color w:val="000000"/>
                <w:sz w:val="22"/>
                <w:szCs w:val="22"/>
                <w:highlight w:val="none"/>
              </w:rPr>
            </w:pPr>
          </w:p>
        </w:tc>
        <w:tc>
          <w:tcPr>
            <w:tcW w:w="880" w:type="dxa"/>
            <w:vAlign w:val="center"/>
          </w:tcPr>
          <w:p w14:paraId="387FB238">
            <w:pPr>
              <w:jc w:val="center"/>
              <w:rPr>
                <w:rFonts w:ascii="仿宋" w:hAnsi="仿宋" w:eastAsia="仿宋" w:cs="仿宋"/>
                <w:color w:val="000000"/>
                <w:sz w:val="22"/>
                <w:szCs w:val="22"/>
                <w:highlight w:val="none"/>
              </w:rPr>
            </w:pPr>
          </w:p>
        </w:tc>
        <w:tc>
          <w:tcPr>
            <w:tcW w:w="2027" w:type="dxa"/>
            <w:vAlign w:val="center"/>
          </w:tcPr>
          <w:p w14:paraId="59F218F3">
            <w:pPr>
              <w:jc w:val="center"/>
              <w:rPr>
                <w:rFonts w:ascii="仿宋" w:hAnsi="仿宋" w:eastAsia="仿宋" w:cs="仿宋"/>
                <w:color w:val="000000"/>
                <w:sz w:val="22"/>
                <w:szCs w:val="22"/>
                <w:highlight w:val="none"/>
              </w:rPr>
            </w:pPr>
          </w:p>
        </w:tc>
        <w:tc>
          <w:tcPr>
            <w:tcW w:w="1062" w:type="dxa"/>
            <w:vAlign w:val="center"/>
          </w:tcPr>
          <w:p w14:paraId="2A34F7E9">
            <w:pPr>
              <w:jc w:val="center"/>
              <w:rPr>
                <w:rFonts w:ascii="仿宋" w:hAnsi="仿宋" w:eastAsia="仿宋" w:cs="仿宋"/>
                <w:color w:val="000000"/>
                <w:sz w:val="22"/>
                <w:szCs w:val="22"/>
                <w:highlight w:val="none"/>
              </w:rPr>
            </w:pPr>
          </w:p>
        </w:tc>
      </w:tr>
      <w:tr w14:paraId="3B79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3314D05C">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(5000,10000]</w:t>
            </w:r>
          </w:p>
        </w:tc>
        <w:tc>
          <w:tcPr>
            <w:tcW w:w="1530" w:type="dxa"/>
            <w:noWrap/>
            <w:vAlign w:val="center"/>
          </w:tcPr>
          <w:p w14:paraId="291D26EA">
            <w:pPr>
              <w:jc w:val="center"/>
              <w:rPr>
                <w:rFonts w:ascii="仿宋" w:hAnsi="仿宋" w:eastAsia="仿宋" w:cs="仿宋"/>
                <w:color w:val="000000"/>
                <w:sz w:val="22"/>
                <w:szCs w:val="22"/>
                <w:highlight w:val="none"/>
              </w:rPr>
            </w:pPr>
          </w:p>
        </w:tc>
        <w:tc>
          <w:tcPr>
            <w:tcW w:w="880" w:type="dxa"/>
            <w:vAlign w:val="center"/>
          </w:tcPr>
          <w:p w14:paraId="064500A4">
            <w:pPr>
              <w:jc w:val="center"/>
              <w:rPr>
                <w:rFonts w:ascii="仿宋" w:hAnsi="仿宋" w:eastAsia="仿宋" w:cs="仿宋"/>
                <w:color w:val="000000"/>
                <w:sz w:val="22"/>
                <w:szCs w:val="22"/>
                <w:highlight w:val="none"/>
              </w:rPr>
            </w:pPr>
          </w:p>
        </w:tc>
        <w:tc>
          <w:tcPr>
            <w:tcW w:w="2027" w:type="dxa"/>
            <w:vAlign w:val="center"/>
          </w:tcPr>
          <w:p w14:paraId="4379C6F5">
            <w:pPr>
              <w:jc w:val="center"/>
              <w:rPr>
                <w:rFonts w:ascii="仿宋" w:hAnsi="仿宋" w:eastAsia="仿宋" w:cs="仿宋"/>
                <w:color w:val="000000"/>
                <w:sz w:val="22"/>
                <w:szCs w:val="22"/>
                <w:highlight w:val="none"/>
              </w:rPr>
            </w:pPr>
          </w:p>
        </w:tc>
        <w:tc>
          <w:tcPr>
            <w:tcW w:w="1062" w:type="dxa"/>
            <w:vAlign w:val="center"/>
          </w:tcPr>
          <w:p w14:paraId="47E2FEB5">
            <w:pPr>
              <w:jc w:val="center"/>
              <w:rPr>
                <w:rFonts w:ascii="仿宋" w:hAnsi="仿宋" w:eastAsia="仿宋" w:cs="仿宋"/>
                <w:color w:val="000000"/>
                <w:sz w:val="22"/>
                <w:szCs w:val="22"/>
                <w:highlight w:val="none"/>
              </w:rPr>
            </w:pPr>
          </w:p>
        </w:tc>
      </w:tr>
      <w:tr w14:paraId="66CA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22C9A70D">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w:t>
            </w:r>
          </w:p>
        </w:tc>
        <w:tc>
          <w:tcPr>
            <w:tcW w:w="1530" w:type="dxa"/>
            <w:noWrap/>
            <w:vAlign w:val="center"/>
          </w:tcPr>
          <w:p w14:paraId="62D5BE32">
            <w:pPr>
              <w:jc w:val="center"/>
              <w:rPr>
                <w:rFonts w:ascii="仿宋" w:hAnsi="仿宋" w:eastAsia="仿宋" w:cs="仿宋"/>
                <w:color w:val="000000"/>
                <w:sz w:val="22"/>
                <w:szCs w:val="22"/>
                <w:highlight w:val="none"/>
              </w:rPr>
            </w:pPr>
          </w:p>
        </w:tc>
        <w:tc>
          <w:tcPr>
            <w:tcW w:w="880" w:type="dxa"/>
            <w:vAlign w:val="center"/>
          </w:tcPr>
          <w:p w14:paraId="7A533822">
            <w:pPr>
              <w:jc w:val="center"/>
              <w:rPr>
                <w:rFonts w:ascii="仿宋" w:hAnsi="仿宋" w:eastAsia="仿宋" w:cs="仿宋"/>
                <w:color w:val="000000"/>
                <w:sz w:val="22"/>
                <w:szCs w:val="22"/>
                <w:highlight w:val="none"/>
              </w:rPr>
            </w:pPr>
          </w:p>
        </w:tc>
        <w:tc>
          <w:tcPr>
            <w:tcW w:w="2027" w:type="dxa"/>
            <w:vAlign w:val="center"/>
          </w:tcPr>
          <w:p w14:paraId="43309B58">
            <w:pPr>
              <w:jc w:val="center"/>
              <w:rPr>
                <w:rFonts w:ascii="仿宋" w:hAnsi="仿宋" w:eastAsia="仿宋" w:cs="仿宋"/>
                <w:color w:val="000000"/>
                <w:sz w:val="22"/>
                <w:szCs w:val="22"/>
                <w:highlight w:val="none"/>
              </w:rPr>
            </w:pPr>
          </w:p>
        </w:tc>
        <w:tc>
          <w:tcPr>
            <w:tcW w:w="1062" w:type="dxa"/>
            <w:vAlign w:val="center"/>
          </w:tcPr>
          <w:p w14:paraId="2CC4492A">
            <w:pPr>
              <w:jc w:val="center"/>
              <w:rPr>
                <w:rFonts w:ascii="仿宋" w:hAnsi="仿宋" w:eastAsia="仿宋" w:cs="仿宋"/>
                <w:color w:val="000000"/>
                <w:sz w:val="22"/>
                <w:szCs w:val="22"/>
                <w:highlight w:val="none"/>
              </w:rPr>
            </w:pPr>
          </w:p>
        </w:tc>
      </w:tr>
      <w:tr w14:paraId="760E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4F0BE7D3">
            <w:pPr>
              <w:jc w:val="center"/>
              <w:rPr>
                <w:rFonts w:ascii="仿宋" w:hAnsi="仿宋" w:eastAsia="仿宋" w:cs="仿宋"/>
                <w:color w:val="000000"/>
                <w:sz w:val="22"/>
                <w:szCs w:val="22"/>
                <w:highlight w:val="none"/>
              </w:rPr>
            </w:pPr>
          </w:p>
        </w:tc>
        <w:tc>
          <w:tcPr>
            <w:tcW w:w="1530" w:type="dxa"/>
            <w:noWrap/>
            <w:vAlign w:val="center"/>
          </w:tcPr>
          <w:p w14:paraId="1AF45C0D">
            <w:pPr>
              <w:jc w:val="center"/>
              <w:rPr>
                <w:rFonts w:ascii="仿宋" w:hAnsi="仿宋" w:eastAsia="仿宋" w:cs="仿宋"/>
                <w:color w:val="000000"/>
                <w:sz w:val="22"/>
                <w:szCs w:val="22"/>
                <w:highlight w:val="none"/>
              </w:rPr>
            </w:pPr>
          </w:p>
        </w:tc>
        <w:tc>
          <w:tcPr>
            <w:tcW w:w="880" w:type="dxa"/>
            <w:vAlign w:val="center"/>
          </w:tcPr>
          <w:p w14:paraId="50F616D1">
            <w:pPr>
              <w:jc w:val="center"/>
              <w:rPr>
                <w:rFonts w:ascii="仿宋" w:hAnsi="仿宋" w:eastAsia="仿宋" w:cs="仿宋"/>
                <w:color w:val="000000"/>
                <w:sz w:val="22"/>
                <w:szCs w:val="22"/>
                <w:highlight w:val="none"/>
              </w:rPr>
            </w:pPr>
          </w:p>
        </w:tc>
        <w:tc>
          <w:tcPr>
            <w:tcW w:w="2027" w:type="dxa"/>
            <w:vAlign w:val="center"/>
          </w:tcPr>
          <w:p w14:paraId="3B811E6A">
            <w:pPr>
              <w:jc w:val="center"/>
              <w:rPr>
                <w:rFonts w:ascii="仿宋" w:hAnsi="仿宋" w:eastAsia="仿宋" w:cs="仿宋"/>
                <w:color w:val="000000"/>
                <w:sz w:val="22"/>
                <w:szCs w:val="22"/>
                <w:highlight w:val="none"/>
              </w:rPr>
            </w:pPr>
          </w:p>
        </w:tc>
        <w:tc>
          <w:tcPr>
            <w:tcW w:w="1062" w:type="dxa"/>
            <w:vAlign w:val="center"/>
          </w:tcPr>
          <w:p w14:paraId="27A4337B">
            <w:pPr>
              <w:jc w:val="center"/>
              <w:rPr>
                <w:rFonts w:ascii="仿宋" w:hAnsi="仿宋" w:eastAsia="仿宋" w:cs="仿宋"/>
                <w:color w:val="000000"/>
                <w:sz w:val="22"/>
                <w:szCs w:val="22"/>
                <w:highlight w:val="none"/>
              </w:rPr>
            </w:pPr>
          </w:p>
        </w:tc>
      </w:tr>
    </w:tbl>
    <w:p w14:paraId="70BD5DE0">
      <w:pPr>
        <w:jc w:val="both"/>
        <w:rPr>
          <w:rFonts w:ascii="仿宋" w:hAnsi="仿宋" w:eastAsia="仿宋" w:cs="仿宋"/>
          <w:color w:val="000000"/>
          <w:highlight w:val="none"/>
        </w:rPr>
      </w:pPr>
    </w:p>
    <w:p w14:paraId="0CD353DF">
      <w:pPr>
        <w:jc w:val="both"/>
        <w:rPr>
          <w:rFonts w:ascii="仿宋" w:hAnsi="仿宋" w:eastAsia="仿宋" w:cs="仿宋"/>
          <w:b/>
          <w:color w:val="000000"/>
        </w:rPr>
      </w:pPr>
      <w:r>
        <w:rPr>
          <w:rFonts w:hint="eastAsia" w:ascii="仿宋" w:hAnsi="仿宋" w:eastAsia="仿宋" w:cs="仿宋"/>
          <w:b/>
          <w:color w:val="000000"/>
          <w:highlight w:val="none"/>
        </w:rPr>
        <w:t>附件7：资产池</w:t>
      </w:r>
      <w:r>
        <w:rPr>
          <w:rFonts w:hint="eastAsia" w:ascii="仿宋" w:hAnsi="仿宋" w:eastAsia="仿宋" w:cs="仿宋"/>
          <w:b/>
          <w:color w:val="000000"/>
          <w:highlight w:val="none"/>
          <w:lang w:val="en-US" w:eastAsia="zh-CN"/>
        </w:rPr>
        <w:t>当前</w:t>
      </w:r>
      <w:r>
        <w:rPr>
          <w:rFonts w:hint="eastAsia" w:ascii="仿宋" w:hAnsi="仿宋" w:eastAsia="仿宋" w:cs="仿宋"/>
          <w:b/>
          <w:color w:val="000000"/>
          <w:highlight w:val="none"/>
        </w:rPr>
        <w:t>表现情况——处置中贷款逾期期限分布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530"/>
        <w:gridCol w:w="880"/>
        <w:gridCol w:w="2027"/>
        <w:gridCol w:w="1062"/>
      </w:tblGrid>
      <w:tr w14:paraId="16F1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500E8E3E">
            <w:pPr>
              <w:jc w:val="center"/>
              <w:rPr>
                <w:rFonts w:ascii="仿宋" w:hAnsi="仿宋" w:eastAsia="仿宋" w:cs="仿宋"/>
                <w:color w:val="000000"/>
                <w:sz w:val="22"/>
                <w:szCs w:val="22"/>
              </w:rPr>
            </w:pPr>
            <w:r>
              <w:rPr>
                <w:rFonts w:hint="eastAsia" w:ascii="仿宋" w:hAnsi="仿宋" w:eastAsia="仿宋" w:cs="仿宋"/>
                <w:color w:val="000000"/>
                <w:sz w:val="22"/>
                <w:szCs w:val="22"/>
              </w:rPr>
              <w:t>贷款逾期期限（月）</w:t>
            </w:r>
          </w:p>
        </w:tc>
        <w:tc>
          <w:tcPr>
            <w:tcW w:w="1530" w:type="dxa"/>
            <w:noWrap/>
            <w:vAlign w:val="center"/>
          </w:tcPr>
          <w:p w14:paraId="17788865">
            <w:pPr>
              <w:jc w:val="center"/>
              <w:rPr>
                <w:rFonts w:ascii="仿宋" w:hAnsi="仿宋" w:eastAsia="仿宋" w:cs="仿宋"/>
                <w:color w:val="000000"/>
                <w:sz w:val="22"/>
                <w:szCs w:val="22"/>
              </w:rPr>
            </w:pPr>
            <w:r>
              <w:rPr>
                <w:rFonts w:hint="eastAsia" w:ascii="仿宋" w:hAnsi="仿宋" w:eastAsia="仿宋" w:cs="仿宋"/>
                <w:color w:val="000000"/>
                <w:sz w:val="22"/>
                <w:szCs w:val="22"/>
              </w:rPr>
              <w:t>贷款笔数</w:t>
            </w:r>
          </w:p>
        </w:tc>
        <w:tc>
          <w:tcPr>
            <w:tcW w:w="880" w:type="dxa"/>
            <w:vAlign w:val="center"/>
          </w:tcPr>
          <w:p w14:paraId="348FD4DF">
            <w:pPr>
              <w:jc w:val="center"/>
              <w:rPr>
                <w:rFonts w:ascii="仿宋" w:hAnsi="仿宋" w:eastAsia="仿宋" w:cs="仿宋"/>
                <w:color w:val="000000"/>
                <w:sz w:val="22"/>
                <w:szCs w:val="22"/>
              </w:rPr>
            </w:pPr>
            <w:r>
              <w:rPr>
                <w:rFonts w:hint="eastAsia" w:ascii="仿宋" w:hAnsi="仿宋" w:eastAsia="仿宋" w:cs="仿宋"/>
                <w:color w:val="000000"/>
                <w:sz w:val="22"/>
                <w:szCs w:val="22"/>
              </w:rPr>
              <w:t>占比</w:t>
            </w:r>
          </w:p>
        </w:tc>
        <w:tc>
          <w:tcPr>
            <w:tcW w:w="2027" w:type="dxa"/>
            <w:vAlign w:val="center"/>
          </w:tcPr>
          <w:p w14:paraId="563DF418">
            <w:pPr>
              <w:jc w:val="center"/>
              <w:rPr>
                <w:rFonts w:ascii="仿宋" w:hAnsi="仿宋" w:eastAsia="仿宋" w:cs="仿宋"/>
                <w:color w:val="000000"/>
                <w:sz w:val="22"/>
                <w:szCs w:val="22"/>
              </w:rPr>
            </w:pPr>
            <w:r>
              <w:rPr>
                <w:rFonts w:hint="eastAsia" w:ascii="仿宋" w:hAnsi="仿宋" w:eastAsia="仿宋" w:cs="仿宋"/>
                <w:color w:val="000000"/>
                <w:sz w:val="22"/>
                <w:szCs w:val="22"/>
              </w:rPr>
              <w:t>期末未偿本息余额</w:t>
            </w:r>
          </w:p>
        </w:tc>
        <w:tc>
          <w:tcPr>
            <w:tcW w:w="1062" w:type="dxa"/>
            <w:vAlign w:val="center"/>
          </w:tcPr>
          <w:p w14:paraId="365E8CFA">
            <w:pPr>
              <w:jc w:val="center"/>
              <w:rPr>
                <w:rFonts w:ascii="仿宋" w:hAnsi="仿宋" w:eastAsia="仿宋" w:cs="仿宋"/>
                <w:color w:val="000000"/>
                <w:sz w:val="22"/>
                <w:szCs w:val="22"/>
              </w:rPr>
            </w:pPr>
            <w:r>
              <w:rPr>
                <w:rFonts w:hint="eastAsia" w:ascii="仿宋" w:hAnsi="仿宋" w:eastAsia="仿宋" w:cs="仿宋"/>
                <w:color w:val="000000"/>
                <w:sz w:val="22"/>
                <w:szCs w:val="22"/>
              </w:rPr>
              <w:t>占比</w:t>
            </w:r>
          </w:p>
        </w:tc>
      </w:tr>
      <w:tr w14:paraId="212E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2923C532">
            <w:pPr>
              <w:jc w:val="center"/>
              <w:rPr>
                <w:rFonts w:ascii="仿宋" w:hAnsi="仿宋" w:eastAsia="仿宋" w:cs="仿宋"/>
                <w:color w:val="000000"/>
                <w:sz w:val="22"/>
                <w:szCs w:val="22"/>
              </w:rPr>
            </w:pPr>
            <w:r>
              <w:rPr>
                <w:rFonts w:hint="eastAsia" w:ascii="仿宋" w:hAnsi="仿宋" w:eastAsia="仿宋" w:cs="仿宋"/>
                <w:color w:val="000000"/>
                <w:sz w:val="22"/>
                <w:szCs w:val="22"/>
              </w:rPr>
              <w:t>(3,6]</w:t>
            </w:r>
          </w:p>
        </w:tc>
        <w:tc>
          <w:tcPr>
            <w:tcW w:w="1530" w:type="dxa"/>
            <w:noWrap/>
            <w:vAlign w:val="center"/>
          </w:tcPr>
          <w:p w14:paraId="1BCE39AA">
            <w:pPr>
              <w:jc w:val="center"/>
              <w:rPr>
                <w:rFonts w:ascii="仿宋" w:hAnsi="仿宋" w:eastAsia="仿宋" w:cs="仿宋"/>
                <w:color w:val="000000"/>
                <w:sz w:val="22"/>
                <w:szCs w:val="22"/>
              </w:rPr>
            </w:pPr>
          </w:p>
        </w:tc>
        <w:tc>
          <w:tcPr>
            <w:tcW w:w="880" w:type="dxa"/>
            <w:vAlign w:val="center"/>
          </w:tcPr>
          <w:p w14:paraId="6DED22EF">
            <w:pPr>
              <w:jc w:val="center"/>
              <w:rPr>
                <w:rFonts w:ascii="仿宋" w:hAnsi="仿宋" w:eastAsia="仿宋" w:cs="仿宋"/>
                <w:color w:val="000000"/>
                <w:sz w:val="22"/>
                <w:szCs w:val="22"/>
              </w:rPr>
            </w:pPr>
          </w:p>
        </w:tc>
        <w:tc>
          <w:tcPr>
            <w:tcW w:w="2027" w:type="dxa"/>
            <w:vAlign w:val="center"/>
          </w:tcPr>
          <w:p w14:paraId="7885B51C">
            <w:pPr>
              <w:jc w:val="center"/>
              <w:rPr>
                <w:rFonts w:ascii="仿宋" w:hAnsi="仿宋" w:eastAsia="仿宋" w:cs="仿宋"/>
                <w:color w:val="000000"/>
                <w:sz w:val="22"/>
                <w:szCs w:val="22"/>
              </w:rPr>
            </w:pPr>
          </w:p>
        </w:tc>
        <w:tc>
          <w:tcPr>
            <w:tcW w:w="1062" w:type="dxa"/>
            <w:vAlign w:val="center"/>
          </w:tcPr>
          <w:p w14:paraId="1A429C94">
            <w:pPr>
              <w:jc w:val="center"/>
              <w:rPr>
                <w:rFonts w:ascii="仿宋" w:hAnsi="仿宋" w:eastAsia="仿宋" w:cs="仿宋"/>
                <w:color w:val="000000"/>
                <w:sz w:val="22"/>
                <w:szCs w:val="22"/>
              </w:rPr>
            </w:pPr>
          </w:p>
        </w:tc>
      </w:tr>
      <w:tr w14:paraId="675F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658AB183">
            <w:pPr>
              <w:jc w:val="center"/>
              <w:rPr>
                <w:rFonts w:ascii="仿宋" w:hAnsi="仿宋" w:eastAsia="仿宋" w:cs="仿宋"/>
                <w:color w:val="000000"/>
                <w:sz w:val="22"/>
                <w:szCs w:val="22"/>
              </w:rPr>
            </w:pPr>
            <w:r>
              <w:rPr>
                <w:rFonts w:hint="eastAsia" w:ascii="仿宋" w:hAnsi="仿宋" w:eastAsia="仿宋" w:cs="仿宋"/>
                <w:color w:val="000000"/>
                <w:sz w:val="22"/>
                <w:szCs w:val="22"/>
              </w:rPr>
              <w:t>(6,9]</w:t>
            </w:r>
          </w:p>
        </w:tc>
        <w:tc>
          <w:tcPr>
            <w:tcW w:w="1530" w:type="dxa"/>
            <w:noWrap/>
            <w:vAlign w:val="center"/>
          </w:tcPr>
          <w:p w14:paraId="7C3E14C6">
            <w:pPr>
              <w:jc w:val="center"/>
              <w:rPr>
                <w:rFonts w:ascii="仿宋" w:hAnsi="仿宋" w:eastAsia="仿宋" w:cs="仿宋"/>
                <w:color w:val="000000"/>
                <w:sz w:val="22"/>
                <w:szCs w:val="22"/>
              </w:rPr>
            </w:pPr>
          </w:p>
        </w:tc>
        <w:tc>
          <w:tcPr>
            <w:tcW w:w="880" w:type="dxa"/>
            <w:vAlign w:val="center"/>
          </w:tcPr>
          <w:p w14:paraId="1693E96D">
            <w:pPr>
              <w:jc w:val="center"/>
              <w:rPr>
                <w:rFonts w:ascii="仿宋" w:hAnsi="仿宋" w:eastAsia="仿宋" w:cs="仿宋"/>
                <w:color w:val="000000"/>
                <w:sz w:val="22"/>
                <w:szCs w:val="22"/>
              </w:rPr>
            </w:pPr>
          </w:p>
        </w:tc>
        <w:tc>
          <w:tcPr>
            <w:tcW w:w="2027" w:type="dxa"/>
            <w:vAlign w:val="center"/>
          </w:tcPr>
          <w:p w14:paraId="1ED5E679">
            <w:pPr>
              <w:jc w:val="center"/>
              <w:rPr>
                <w:rFonts w:ascii="仿宋" w:hAnsi="仿宋" w:eastAsia="仿宋" w:cs="仿宋"/>
                <w:color w:val="000000"/>
                <w:sz w:val="22"/>
                <w:szCs w:val="22"/>
              </w:rPr>
            </w:pPr>
          </w:p>
        </w:tc>
        <w:tc>
          <w:tcPr>
            <w:tcW w:w="1062" w:type="dxa"/>
            <w:vAlign w:val="center"/>
          </w:tcPr>
          <w:p w14:paraId="6DD32916">
            <w:pPr>
              <w:jc w:val="center"/>
              <w:rPr>
                <w:rFonts w:ascii="仿宋" w:hAnsi="仿宋" w:eastAsia="仿宋" w:cs="仿宋"/>
                <w:color w:val="000000"/>
                <w:sz w:val="22"/>
                <w:szCs w:val="22"/>
              </w:rPr>
            </w:pPr>
          </w:p>
        </w:tc>
      </w:tr>
      <w:tr w14:paraId="6ED5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5C0BD875">
            <w:pPr>
              <w:jc w:val="center"/>
              <w:rPr>
                <w:rFonts w:ascii="仿宋" w:hAnsi="仿宋" w:eastAsia="仿宋" w:cs="仿宋"/>
                <w:color w:val="000000"/>
                <w:sz w:val="22"/>
                <w:szCs w:val="22"/>
              </w:rPr>
            </w:pPr>
            <w:r>
              <w:rPr>
                <w:rFonts w:hint="eastAsia" w:ascii="仿宋" w:hAnsi="仿宋" w:eastAsia="仿宋" w:cs="仿宋"/>
                <w:color w:val="000000"/>
                <w:sz w:val="22"/>
                <w:szCs w:val="22"/>
              </w:rPr>
              <w:t>......</w:t>
            </w:r>
          </w:p>
        </w:tc>
        <w:tc>
          <w:tcPr>
            <w:tcW w:w="1530" w:type="dxa"/>
            <w:noWrap/>
            <w:vAlign w:val="center"/>
          </w:tcPr>
          <w:p w14:paraId="516D894A">
            <w:pPr>
              <w:jc w:val="center"/>
              <w:rPr>
                <w:rFonts w:ascii="仿宋" w:hAnsi="仿宋" w:eastAsia="仿宋" w:cs="仿宋"/>
                <w:color w:val="000000"/>
                <w:sz w:val="22"/>
                <w:szCs w:val="22"/>
              </w:rPr>
            </w:pPr>
          </w:p>
        </w:tc>
        <w:tc>
          <w:tcPr>
            <w:tcW w:w="880" w:type="dxa"/>
            <w:vAlign w:val="center"/>
          </w:tcPr>
          <w:p w14:paraId="1F6B9A83">
            <w:pPr>
              <w:jc w:val="center"/>
              <w:rPr>
                <w:rFonts w:ascii="仿宋" w:hAnsi="仿宋" w:eastAsia="仿宋" w:cs="仿宋"/>
                <w:color w:val="000000"/>
                <w:sz w:val="22"/>
                <w:szCs w:val="22"/>
              </w:rPr>
            </w:pPr>
          </w:p>
        </w:tc>
        <w:tc>
          <w:tcPr>
            <w:tcW w:w="2027" w:type="dxa"/>
            <w:vAlign w:val="center"/>
          </w:tcPr>
          <w:p w14:paraId="1CAE3E79">
            <w:pPr>
              <w:jc w:val="center"/>
              <w:rPr>
                <w:rFonts w:ascii="仿宋" w:hAnsi="仿宋" w:eastAsia="仿宋" w:cs="仿宋"/>
                <w:color w:val="000000"/>
                <w:sz w:val="22"/>
                <w:szCs w:val="22"/>
              </w:rPr>
            </w:pPr>
          </w:p>
        </w:tc>
        <w:tc>
          <w:tcPr>
            <w:tcW w:w="1062" w:type="dxa"/>
            <w:vAlign w:val="center"/>
          </w:tcPr>
          <w:p w14:paraId="45A91A30">
            <w:pPr>
              <w:jc w:val="center"/>
              <w:rPr>
                <w:rFonts w:ascii="仿宋" w:hAnsi="仿宋" w:eastAsia="仿宋" w:cs="仿宋"/>
                <w:color w:val="000000"/>
                <w:sz w:val="22"/>
                <w:szCs w:val="22"/>
              </w:rPr>
            </w:pPr>
          </w:p>
        </w:tc>
      </w:tr>
      <w:tr w14:paraId="4B00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44A6543B">
            <w:pPr>
              <w:jc w:val="center"/>
              <w:rPr>
                <w:rFonts w:ascii="仿宋" w:hAnsi="仿宋" w:eastAsia="仿宋" w:cs="仿宋"/>
                <w:color w:val="000000"/>
                <w:sz w:val="22"/>
                <w:szCs w:val="22"/>
              </w:rPr>
            </w:pPr>
          </w:p>
        </w:tc>
        <w:tc>
          <w:tcPr>
            <w:tcW w:w="1530" w:type="dxa"/>
            <w:noWrap/>
            <w:vAlign w:val="center"/>
          </w:tcPr>
          <w:p w14:paraId="0B3BC7F7">
            <w:pPr>
              <w:jc w:val="center"/>
              <w:rPr>
                <w:rFonts w:ascii="仿宋" w:hAnsi="仿宋" w:eastAsia="仿宋" w:cs="仿宋"/>
                <w:color w:val="000000"/>
                <w:sz w:val="22"/>
                <w:szCs w:val="22"/>
              </w:rPr>
            </w:pPr>
          </w:p>
        </w:tc>
        <w:tc>
          <w:tcPr>
            <w:tcW w:w="880" w:type="dxa"/>
            <w:vAlign w:val="center"/>
          </w:tcPr>
          <w:p w14:paraId="7FD7F605">
            <w:pPr>
              <w:jc w:val="center"/>
              <w:rPr>
                <w:rFonts w:ascii="仿宋" w:hAnsi="仿宋" w:eastAsia="仿宋" w:cs="仿宋"/>
                <w:color w:val="000000"/>
                <w:sz w:val="22"/>
                <w:szCs w:val="22"/>
              </w:rPr>
            </w:pPr>
          </w:p>
        </w:tc>
        <w:tc>
          <w:tcPr>
            <w:tcW w:w="2027" w:type="dxa"/>
            <w:vAlign w:val="center"/>
          </w:tcPr>
          <w:p w14:paraId="3237EECC">
            <w:pPr>
              <w:jc w:val="center"/>
              <w:rPr>
                <w:rFonts w:ascii="仿宋" w:hAnsi="仿宋" w:eastAsia="仿宋" w:cs="仿宋"/>
                <w:color w:val="000000"/>
                <w:sz w:val="22"/>
                <w:szCs w:val="22"/>
              </w:rPr>
            </w:pPr>
          </w:p>
        </w:tc>
        <w:tc>
          <w:tcPr>
            <w:tcW w:w="1062" w:type="dxa"/>
            <w:vAlign w:val="center"/>
          </w:tcPr>
          <w:p w14:paraId="73874529">
            <w:pPr>
              <w:jc w:val="center"/>
              <w:rPr>
                <w:rFonts w:ascii="仿宋" w:hAnsi="仿宋" w:eastAsia="仿宋" w:cs="仿宋"/>
                <w:color w:val="000000"/>
                <w:sz w:val="22"/>
                <w:szCs w:val="22"/>
              </w:rPr>
            </w:pPr>
          </w:p>
        </w:tc>
      </w:tr>
    </w:tbl>
    <w:p w14:paraId="79660BC8">
      <w:pPr>
        <w:jc w:val="both"/>
        <w:rPr>
          <w:rFonts w:ascii="仿宋" w:hAnsi="仿宋" w:eastAsia="仿宋" w:cs="仿宋"/>
          <w:b/>
          <w:color w:val="000000"/>
        </w:rPr>
      </w:pPr>
    </w:p>
    <w:p w14:paraId="1A9B17B6">
      <w:pPr>
        <w:jc w:val="both"/>
        <w:rPr>
          <w:rFonts w:ascii="仿宋" w:hAnsi="仿宋" w:eastAsia="仿宋" w:cs="仿宋"/>
          <w:b/>
          <w:color w:val="000000"/>
          <w:highlight w:val="none"/>
        </w:rPr>
      </w:pPr>
      <w:r>
        <w:rPr>
          <w:rFonts w:hint="eastAsia" w:ascii="仿宋" w:hAnsi="仿宋" w:eastAsia="仿宋" w:cs="仿宋"/>
          <w:b/>
          <w:color w:val="000000"/>
          <w:highlight w:val="none"/>
        </w:rPr>
        <w:t>附件8：资产池</w:t>
      </w:r>
      <w:r>
        <w:rPr>
          <w:rFonts w:hint="eastAsia" w:ascii="仿宋" w:hAnsi="仿宋" w:eastAsia="仿宋" w:cs="仿宋"/>
          <w:b/>
          <w:color w:val="000000"/>
          <w:highlight w:val="none"/>
          <w:lang w:val="en-US" w:eastAsia="zh-CN"/>
        </w:rPr>
        <w:t>当前</w:t>
      </w:r>
      <w:r>
        <w:rPr>
          <w:rFonts w:hint="eastAsia" w:ascii="仿宋" w:hAnsi="仿宋" w:eastAsia="仿宋" w:cs="仿宋"/>
          <w:b/>
          <w:color w:val="000000"/>
          <w:highlight w:val="none"/>
        </w:rPr>
        <w:t>表现情况——处置中贷款担保方式分布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530"/>
        <w:gridCol w:w="880"/>
        <w:gridCol w:w="2027"/>
        <w:gridCol w:w="1062"/>
      </w:tblGrid>
      <w:tr w14:paraId="01D2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4C887856">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贷款担保方式</w:t>
            </w:r>
          </w:p>
        </w:tc>
        <w:tc>
          <w:tcPr>
            <w:tcW w:w="1530" w:type="dxa"/>
            <w:noWrap/>
            <w:vAlign w:val="center"/>
          </w:tcPr>
          <w:p w14:paraId="2EA2AD43">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贷款笔数</w:t>
            </w:r>
          </w:p>
        </w:tc>
        <w:tc>
          <w:tcPr>
            <w:tcW w:w="880" w:type="dxa"/>
            <w:vAlign w:val="center"/>
          </w:tcPr>
          <w:p w14:paraId="5069EC20">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2027" w:type="dxa"/>
            <w:vAlign w:val="center"/>
          </w:tcPr>
          <w:p w14:paraId="0134B70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期末未偿本息余额</w:t>
            </w:r>
          </w:p>
        </w:tc>
        <w:tc>
          <w:tcPr>
            <w:tcW w:w="1062" w:type="dxa"/>
            <w:vAlign w:val="center"/>
          </w:tcPr>
          <w:p w14:paraId="75EE00CB">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r>
      <w:tr w14:paraId="57AA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58D95DF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抵（质）押</w:t>
            </w:r>
          </w:p>
        </w:tc>
        <w:tc>
          <w:tcPr>
            <w:tcW w:w="1530" w:type="dxa"/>
            <w:noWrap/>
            <w:vAlign w:val="center"/>
          </w:tcPr>
          <w:p w14:paraId="69141B80">
            <w:pPr>
              <w:jc w:val="center"/>
              <w:rPr>
                <w:rFonts w:ascii="仿宋" w:hAnsi="仿宋" w:eastAsia="仿宋" w:cs="仿宋"/>
                <w:color w:val="000000"/>
                <w:sz w:val="22"/>
                <w:szCs w:val="22"/>
                <w:highlight w:val="none"/>
              </w:rPr>
            </w:pPr>
          </w:p>
        </w:tc>
        <w:tc>
          <w:tcPr>
            <w:tcW w:w="880" w:type="dxa"/>
            <w:vAlign w:val="center"/>
          </w:tcPr>
          <w:p w14:paraId="519483B3">
            <w:pPr>
              <w:jc w:val="center"/>
              <w:rPr>
                <w:rFonts w:ascii="仿宋" w:hAnsi="仿宋" w:eastAsia="仿宋" w:cs="仿宋"/>
                <w:color w:val="000000"/>
                <w:sz w:val="22"/>
                <w:szCs w:val="22"/>
                <w:highlight w:val="none"/>
              </w:rPr>
            </w:pPr>
          </w:p>
        </w:tc>
        <w:tc>
          <w:tcPr>
            <w:tcW w:w="2027" w:type="dxa"/>
            <w:vAlign w:val="center"/>
          </w:tcPr>
          <w:p w14:paraId="37FBCDDA">
            <w:pPr>
              <w:jc w:val="center"/>
              <w:rPr>
                <w:rFonts w:ascii="仿宋" w:hAnsi="仿宋" w:eastAsia="仿宋" w:cs="仿宋"/>
                <w:color w:val="000000"/>
                <w:sz w:val="22"/>
                <w:szCs w:val="22"/>
                <w:highlight w:val="none"/>
              </w:rPr>
            </w:pPr>
          </w:p>
        </w:tc>
        <w:tc>
          <w:tcPr>
            <w:tcW w:w="1062" w:type="dxa"/>
            <w:vAlign w:val="center"/>
          </w:tcPr>
          <w:p w14:paraId="0FB3178C">
            <w:pPr>
              <w:jc w:val="center"/>
              <w:rPr>
                <w:rFonts w:ascii="仿宋" w:hAnsi="仿宋" w:eastAsia="仿宋" w:cs="仿宋"/>
                <w:color w:val="000000"/>
                <w:sz w:val="22"/>
                <w:szCs w:val="22"/>
                <w:highlight w:val="none"/>
              </w:rPr>
            </w:pPr>
          </w:p>
        </w:tc>
      </w:tr>
      <w:tr w14:paraId="4065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7C1F8321">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信用</w:t>
            </w:r>
          </w:p>
        </w:tc>
        <w:tc>
          <w:tcPr>
            <w:tcW w:w="1530" w:type="dxa"/>
            <w:noWrap/>
            <w:vAlign w:val="center"/>
          </w:tcPr>
          <w:p w14:paraId="4573FED7">
            <w:pPr>
              <w:jc w:val="center"/>
              <w:rPr>
                <w:rFonts w:ascii="仿宋" w:hAnsi="仿宋" w:eastAsia="仿宋" w:cs="仿宋"/>
                <w:color w:val="000000"/>
                <w:sz w:val="22"/>
                <w:szCs w:val="22"/>
                <w:highlight w:val="none"/>
              </w:rPr>
            </w:pPr>
          </w:p>
        </w:tc>
        <w:tc>
          <w:tcPr>
            <w:tcW w:w="880" w:type="dxa"/>
            <w:vAlign w:val="center"/>
          </w:tcPr>
          <w:p w14:paraId="1C80110E">
            <w:pPr>
              <w:jc w:val="center"/>
              <w:rPr>
                <w:rFonts w:ascii="仿宋" w:hAnsi="仿宋" w:eastAsia="仿宋" w:cs="仿宋"/>
                <w:color w:val="000000"/>
                <w:sz w:val="22"/>
                <w:szCs w:val="22"/>
                <w:highlight w:val="none"/>
              </w:rPr>
            </w:pPr>
          </w:p>
        </w:tc>
        <w:tc>
          <w:tcPr>
            <w:tcW w:w="2027" w:type="dxa"/>
            <w:vAlign w:val="center"/>
          </w:tcPr>
          <w:p w14:paraId="1BFE60EE">
            <w:pPr>
              <w:jc w:val="center"/>
              <w:rPr>
                <w:rFonts w:ascii="仿宋" w:hAnsi="仿宋" w:eastAsia="仿宋" w:cs="仿宋"/>
                <w:color w:val="000000"/>
                <w:sz w:val="22"/>
                <w:szCs w:val="22"/>
                <w:highlight w:val="none"/>
              </w:rPr>
            </w:pPr>
          </w:p>
        </w:tc>
        <w:tc>
          <w:tcPr>
            <w:tcW w:w="1062" w:type="dxa"/>
            <w:vAlign w:val="center"/>
          </w:tcPr>
          <w:p w14:paraId="5B9DEB06">
            <w:pPr>
              <w:jc w:val="center"/>
              <w:rPr>
                <w:rFonts w:ascii="仿宋" w:hAnsi="仿宋" w:eastAsia="仿宋" w:cs="仿宋"/>
                <w:color w:val="000000"/>
                <w:sz w:val="22"/>
                <w:szCs w:val="22"/>
                <w:highlight w:val="none"/>
              </w:rPr>
            </w:pPr>
          </w:p>
        </w:tc>
      </w:tr>
      <w:tr w14:paraId="7566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6B85A766">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w:t>
            </w:r>
          </w:p>
        </w:tc>
        <w:tc>
          <w:tcPr>
            <w:tcW w:w="1530" w:type="dxa"/>
            <w:noWrap/>
            <w:vAlign w:val="center"/>
          </w:tcPr>
          <w:p w14:paraId="5EA507A7">
            <w:pPr>
              <w:jc w:val="center"/>
              <w:rPr>
                <w:rFonts w:ascii="仿宋" w:hAnsi="仿宋" w:eastAsia="仿宋" w:cs="仿宋"/>
                <w:color w:val="000000"/>
                <w:sz w:val="22"/>
                <w:szCs w:val="22"/>
                <w:highlight w:val="none"/>
              </w:rPr>
            </w:pPr>
          </w:p>
        </w:tc>
        <w:tc>
          <w:tcPr>
            <w:tcW w:w="880" w:type="dxa"/>
            <w:vAlign w:val="center"/>
          </w:tcPr>
          <w:p w14:paraId="42B467F7">
            <w:pPr>
              <w:jc w:val="center"/>
              <w:rPr>
                <w:rFonts w:ascii="仿宋" w:hAnsi="仿宋" w:eastAsia="仿宋" w:cs="仿宋"/>
                <w:color w:val="000000"/>
                <w:sz w:val="22"/>
                <w:szCs w:val="22"/>
                <w:highlight w:val="none"/>
              </w:rPr>
            </w:pPr>
          </w:p>
        </w:tc>
        <w:tc>
          <w:tcPr>
            <w:tcW w:w="2027" w:type="dxa"/>
            <w:vAlign w:val="center"/>
          </w:tcPr>
          <w:p w14:paraId="2EC8EDB1">
            <w:pPr>
              <w:jc w:val="center"/>
              <w:rPr>
                <w:rFonts w:ascii="仿宋" w:hAnsi="仿宋" w:eastAsia="仿宋" w:cs="仿宋"/>
                <w:color w:val="000000"/>
                <w:sz w:val="22"/>
                <w:szCs w:val="22"/>
                <w:highlight w:val="none"/>
              </w:rPr>
            </w:pPr>
          </w:p>
        </w:tc>
        <w:tc>
          <w:tcPr>
            <w:tcW w:w="1062" w:type="dxa"/>
            <w:vAlign w:val="center"/>
          </w:tcPr>
          <w:p w14:paraId="0D23658E">
            <w:pPr>
              <w:jc w:val="center"/>
              <w:rPr>
                <w:rFonts w:ascii="仿宋" w:hAnsi="仿宋" w:eastAsia="仿宋" w:cs="仿宋"/>
                <w:color w:val="000000"/>
                <w:sz w:val="22"/>
                <w:szCs w:val="22"/>
                <w:highlight w:val="none"/>
              </w:rPr>
            </w:pPr>
          </w:p>
        </w:tc>
      </w:tr>
      <w:tr w14:paraId="4FA2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469160E1">
            <w:pPr>
              <w:jc w:val="center"/>
              <w:rPr>
                <w:rFonts w:ascii="仿宋" w:hAnsi="仿宋" w:eastAsia="仿宋" w:cs="仿宋"/>
                <w:color w:val="000000"/>
                <w:sz w:val="22"/>
                <w:szCs w:val="22"/>
                <w:highlight w:val="none"/>
              </w:rPr>
            </w:pPr>
          </w:p>
        </w:tc>
        <w:tc>
          <w:tcPr>
            <w:tcW w:w="1530" w:type="dxa"/>
            <w:noWrap/>
            <w:vAlign w:val="center"/>
          </w:tcPr>
          <w:p w14:paraId="48D9E1C5">
            <w:pPr>
              <w:jc w:val="center"/>
              <w:rPr>
                <w:rFonts w:ascii="仿宋" w:hAnsi="仿宋" w:eastAsia="仿宋" w:cs="仿宋"/>
                <w:color w:val="000000"/>
                <w:sz w:val="22"/>
                <w:szCs w:val="22"/>
                <w:highlight w:val="none"/>
              </w:rPr>
            </w:pPr>
          </w:p>
        </w:tc>
        <w:tc>
          <w:tcPr>
            <w:tcW w:w="880" w:type="dxa"/>
            <w:vAlign w:val="center"/>
          </w:tcPr>
          <w:p w14:paraId="429A712E">
            <w:pPr>
              <w:jc w:val="center"/>
              <w:rPr>
                <w:rFonts w:ascii="仿宋" w:hAnsi="仿宋" w:eastAsia="仿宋" w:cs="仿宋"/>
                <w:color w:val="000000"/>
                <w:sz w:val="22"/>
                <w:szCs w:val="22"/>
                <w:highlight w:val="none"/>
              </w:rPr>
            </w:pPr>
          </w:p>
        </w:tc>
        <w:tc>
          <w:tcPr>
            <w:tcW w:w="2027" w:type="dxa"/>
            <w:vAlign w:val="center"/>
          </w:tcPr>
          <w:p w14:paraId="7EAAE49D">
            <w:pPr>
              <w:jc w:val="center"/>
              <w:rPr>
                <w:rFonts w:ascii="仿宋" w:hAnsi="仿宋" w:eastAsia="仿宋" w:cs="仿宋"/>
                <w:color w:val="000000"/>
                <w:sz w:val="22"/>
                <w:szCs w:val="22"/>
                <w:highlight w:val="none"/>
              </w:rPr>
            </w:pPr>
          </w:p>
        </w:tc>
        <w:tc>
          <w:tcPr>
            <w:tcW w:w="1062" w:type="dxa"/>
            <w:vAlign w:val="center"/>
          </w:tcPr>
          <w:p w14:paraId="71096116">
            <w:pPr>
              <w:jc w:val="center"/>
              <w:rPr>
                <w:rFonts w:ascii="仿宋" w:hAnsi="仿宋" w:eastAsia="仿宋" w:cs="仿宋"/>
                <w:color w:val="000000"/>
                <w:sz w:val="22"/>
                <w:szCs w:val="22"/>
                <w:highlight w:val="none"/>
              </w:rPr>
            </w:pPr>
          </w:p>
        </w:tc>
      </w:tr>
    </w:tbl>
    <w:p w14:paraId="3147042A">
      <w:pPr>
        <w:jc w:val="both"/>
        <w:rPr>
          <w:rFonts w:ascii="仿宋" w:hAnsi="仿宋" w:eastAsia="仿宋" w:cs="仿宋"/>
          <w:b/>
          <w:color w:val="000000"/>
          <w:highlight w:val="none"/>
        </w:rPr>
      </w:pPr>
    </w:p>
    <w:p w14:paraId="552C7C65">
      <w:pPr>
        <w:jc w:val="both"/>
        <w:rPr>
          <w:rFonts w:ascii="仿宋" w:hAnsi="仿宋" w:eastAsia="仿宋" w:cs="仿宋"/>
          <w:b/>
          <w:color w:val="000000"/>
          <w:highlight w:val="none"/>
        </w:rPr>
      </w:pPr>
      <w:r>
        <w:rPr>
          <w:rFonts w:hint="eastAsia" w:ascii="仿宋" w:hAnsi="仿宋" w:eastAsia="仿宋" w:cs="仿宋"/>
          <w:b/>
          <w:color w:val="000000"/>
          <w:highlight w:val="none"/>
        </w:rPr>
        <w:t>附件9：资产池</w:t>
      </w:r>
      <w:r>
        <w:rPr>
          <w:rFonts w:hint="eastAsia" w:ascii="仿宋" w:hAnsi="仿宋" w:eastAsia="仿宋" w:cs="仿宋"/>
          <w:b/>
          <w:color w:val="000000"/>
          <w:highlight w:val="none"/>
          <w:lang w:val="en-US" w:eastAsia="zh-CN"/>
        </w:rPr>
        <w:t>当前</w:t>
      </w:r>
      <w:r>
        <w:rPr>
          <w:rFonts w:hint="eastAsia" w:ascii="仿宋" w:hAnsi="仿宋" w:eastAsia="仿宋" w:cs="仿宋"/>
          <w:b/>
          <w:color w:val="000000"/>
          <w:highlight w:val="none"/>
        </w:rPr>
        <w:t>表现情况——处置中贷款抵（质）押物所在城市分布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530"/>
        <w:gridCol w:w="880"/>
        <w:gridCol w:w="2027"/>
        <w:gridCol w:w="1062"/>
      </w:tblGrid>
      <w:tr w14:paraId="3615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25AD5D33">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城市</w:t>
            </w:r>
          </w:p>
        </w:tc>
        <w:tc>
          <w:tcPr>
            <w:tcW w:w="1530" w:type="dxa"/>
            <w:noWrap/>
            <w:vAlign w:val="center"/>
          </w:tcPr>
          <w:p w14:paraId="5896AC3D">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贷款笔数</w:t>
            </w:r>
          </w:p>
        </w:tc>
        <w:tc>
          <w:tcPr>
            <w:tcW w:w="880" w:type="dxa"/>
            <w:vAlign w:val="center"/>
          </w:tcPr>
          <w:p w14:paraId="3997DF2B">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2027" w:type="dxa"/>
            <w:vAlign w:val="center"/>
          </w:tcPr>
          <w:p w14:paraId="5729976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期末未偿本息余额</w:t>
            </w:r>
          </w:p>
        </w:tc>
        <w:tc>
          <w:tcPr>
            <w:tcW w:w="1062" w:type="dxa"/>
            <w:vAlign w:val="center"/>
          </w:tcPr>
          <w:p w14:paraId="226884D3">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r>
      <w:tr w14:paraId="7635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2D055950">
            <w:pPr>
              <w:jc w:val="center"/>
              <w:rPr>
                <w:rFonts w:ascii="仿宋" w:hAnsi="仿宋" w:eastAsia="仿宋" w:cs="仿宋"/>
                <w:color w:val="000000"/>
                <w:sz w:val="22"/>
                <w:szCs w:val="22"/>
                <w:highlight w:val="none"/>
              </w:rPr>
            </w:pPr>
          </w:p>
        </w:tc>
        <w:tc>
          <w:tcPr>
            <w:tcW w:w="1530" w:type="dxa"/>
            <w:noWrap/>
            <w:vAlign w:val="center"/>
          </w:tcPr>
          <w:p w14:paraId="1F030D9C">
            <w:pPr>
              <w:jc w:val="center"/>
              <w:rPr>
                <w:rFonts w:ascii="仿宋" w:hAnsi="仿宋" w:eastAsia="仿宋" w:cs="仿宋"/>
                <w:color w:val="000000"/>
                <w:sz w:val="22"/>
                <w:szCs w:val="22"/>
                <w:highlight w:val="none"/>
              </w:rPr>
            </w:pPr>
          </w:p>
        </w:tc>
        <w:tc>
          <w:tcPr>
            <w:tcW w:w="880" w:type="dxa"/>
            <w:vAlign w:val="center"/>
          </w:tcPr>
          <w:p w14:paraId="0B3DB6D2">
            <w:pPr>
              <w:jc w:val="center"/>
              <w:rPr>
                <w:rFonts w:ascii="仿宋" w:hAnsi="仿宋" w:eastAsia="仿宋" w:cs="仿宋"/>
                <w:color w:val="000000"/>
                <w:sz w:val="22"/>
                <w:szCs w:val="22"/>
                <w:highlight w:val="none"/>
              </w:rPr>
            </w:pPr>
          </w:p>
        </w:tc>
        <w:tc>
          <w:tcPr>
            <w:tcW w:w="2027" w:type="dxa"/>
            <w:vAlign w:val="center"/>
          </w:tcPr>
          <w:p w14:paraId="72C642B9">
            <w:pPr>
              <w:jc w:val="center"/>
              <w:rPr>
                <w:rFonts w:ascii="仿宋" w:hAnsi="仿宋" w:eastAsia="仿宋" w:cs="仿宋"/>
                <w:color w:val="000000"/>
                <w:sz w:val="22"/>
                <w:szCs w:val="22"/>
                <w:highlight w:val="none"/>
              </w:rPr>
            </w:pPr>
          </w:p>
        </w:tc>
        <w:tc>
          <w:tcPr>
            <w:tcW w:w="1062" w:type="dxa"/>
            <w:vAlign w:val="center"/>
          </w:tcPr>
          <w:p w14:paraId="43CBCD92">
            <w:pPr>
              <w:jc w:val="center"/>
              <w:rPr>
                <w:rFonts w:ascii="仿宋" w:hAnsi="仿宋" w:eastAsia="仿宋" w:cs="仿宋"/>
                <w:color w:val="000000"/>
                <w:sz w:val="22"/>
                <w:szCs w:val="22"/>
                <w:highlight w:val="none"/>
              </w:rPr>
            </w:pPr>
          </w:p>
        </w:tc>
      </w:tr>
      <w:tr w14:paraId="4758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244EE936">
            <w:pPr>
              <w:jc w:val="center"/>
              <w:rPr>
                <w:rFonts w:ascii="仿宋" w:hAnsi="仿宋" w:eastAsia="仿宋" w:cs="仿宋"/>
                <w:color w:val="000000"/>
                <w:sz w:val="22"/>
                <w:szCs w:val="22"/>
                <w:highlight w:val="none"/>
              </w:rPr>
            </w:pPr>
          </w:p>
        </w:tc>
        <w:tc>
          <w:tcPr>
            <w:tcW w:w="1530" w:type="dxa"/>
            <w:noWrap/>
            <w:vAlign w:val="center"/>
          </w:tcPr>
          <w:p w14:paraId="40C6EF98">
            <w:pPr>
              <w:jc w:val="center"/>
              <w:rPr>
                <w:rFonts w:ascii="仿宋" w:hAnsi="仿宋" w:eastAsia="仿宋" w:cs="仿宋"/>
                <w:color w:val="000000"/>
                <w:sz w:val="22"/>
                <w:szCs w:val="22"/>
                <w:highlight w:val="none"/>
              </w:rPr>
            </w:pPr>
          </w:p>
        </w:tc>
        <w:tc>
          <w:tcPr>
            <w:tcW w:w="880" w:type="dxa"/>
            <w:vAlign w:val="center"/>
          </w:tcPr>
          <w:p w14:paraId="4C73B601">
            <w:pPr>
              <w:jc w:val="center"/>
              <w:rPr>
                <w:rFonts w:ascii="仿宋" w:hAnsi="仿宋" w:eastAsia="仿宋" w:cs="仿宋"/>
                <w:color w:val="000000"/>
                <w:sz w:val="22"/>
                <w:szCs w:val="22"/>
                <w:highlight w:val="none"/>
              </w:rPr>
            </w:pPr>
          </w:p>
        </w:tc>
        <w:tc>
          <w:tcPr>
            <w:tcW w:w="2027" w:type="dxa"/>
            <w:vAlign w:val="center"/>
          </w:tcPr>
          <w:p w14:paraId="25D84672">
            <w:pPr>
              <w:jc w:val="center"/>
              <w:rPr>
                <w:rFonts w:ascii="仿宋" w:hAnsi="仿宋" w:eastAsia="仿宋" w:cs="仿宋"/>
                <w:color w:val="000000"/>
                <w:sz w:val="22"/>
                <w:szCs w:val="22"/>
                <w:highlight w:val="none"/>
              </w:rPr>
            </w:pPr>
          </w:p>
        </w:tc>
        <w:tc>
          <w:tcPr>
            <w:tcW w:w="1062" w:type="dxa"/>
            <w:vAlign w:val="center"/>
          </w:tcPr>
          <w:p w14:paraId="178E9A9B">
            <w:pPr>
              <w:jc w:val="center"/>
              <w:rPr>
                <w:rFonts w:ascii="仿宋" w:hAnsi="仿宋" w:eastAsia="仿宋" w:cs="仿宋"/>
                <w:color w:val="000000"/>
                <w:sz w:val="22"/>
                <w:szCs w:val="22"/>
                <w:highlight w:val="none"/>
              </w:rPr>
            </w:pPr>
          </w:p>
        </w:tc>
      </w:tr>
      <w:tr w14:paraId="43C1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1BB6686B">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w:t>
            </w:r>
          </w:p>
        </w:tc>
        <w:tc>
          <w:tcPr>
            <w:tcW w:w="1530" w:type="dxa"/>
            <w:noWrap/>
            <w:vAlign w:val="center"/>
          </w:tcPr>
          <w:p w14:paraId="75BD805E">
            <w:pPr>
              <w:jc w:val="center"/>
              <w:rPr>
                <w:rFonts w:ascii="仿宋" w:hAnsi="仿宋" w:eastAsia="仿宋" w:cs="仿宋"/>
                <w:color w:val="000000"/>
                <w:sz w:val="22"/>
                <w:szCs w:val="22"/>
                <w:highlight w:val="none"/>
              </w:rPr>
            </w:pPr>
          </w:p>
        </w:tc>
        <w:tc>
          <w:tcPr>
            <w:tcW w:w="880" w:type="dxa"/>
            <w:vAlign w:val="center"/>
          </w:tcPr>
          <w:p w14:paraId="7DE7F745">
            <w:pPr>
              <w:jc w:val="center"/>
              <w:rPr>
                <w:rFonts w:ascii="仿宋" w:hAnsi="仿宋" w:eastAsia="仿宋" w:cs="仿宋"/>
                <w:color w:val="000000"/>
                <w:sz w:val="22"/>
                <w:szCs w:val="22"/>
                <w:highlight w:val="none"/>
              </w:rPr>
            </w:pPr>
          </w:p>
        </w:tc>
        <w:tc>
          <w:tcPr>
            <w:tcW w:w="2027" w:type="dxa"/>
            <w:vAlign w:val="center"/>
          </w:tcPr>
          <w:p w14:paraId="251C5638">
            <w:pPr>
              <w:jc w:val="center"/>
              <w:rPr>
                <w:rFonts w:ascii="仿宋" w:hAnsi="仿宋" w:eastAsia="仿宋" w:cs="仿宋"/>
                <w:color w:val="000000"/>
                <w:sz w:val="22"/>
                <w:szCs w:val="22"/>
                <w:highlight w:val="none"/>
              </w:rPr>
            </w:pPr>
          </w:p>
        </w:tc>
        <w:tc>
          <w:tcPr>
            <w:tcW w:w="1062" w:type="dxa"/>
            <w:vAlign w:val="center"/>
          </w:tcPr>
          <w:p w14:paraId="4F375271">
            <w:pPr>
              <w:jc w:val="center"/>
              <w:rPr>
                <w:rFonts w:ascii="仿宋" w:hAnsi="仿宋" w:eastAsia="仿宋" w:cs="仿宋"/>
                <w:color w:val="000000"/>
                <w:sz w:val="22"/>
                <w:szCs w:val="22"/>
                <w:highlight w:val="none"/>
              </w:rPr>
            </w:pPr>
          </w:p>
        </w:tc>
      </w:tr>
      <w:tr w14:paraId="2A99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67" w:type="dxa"/>
            <w:noWrap/>
            <w:vAlign w:val="center"/>
          </w:tcPr>
          <w:p w14:paraId="2D2E8A5B">
            <w:pPr>
              <w:jc w:val="center"/>
              <w:rPr>
                <w:rFonts w:ascii="仿宋" w:hAnsi="仿宋" w:eastAsia="仿宋" w:cs="仿宋"/>
                <w:color w:val="000000"/>
                <w:sz w:val="22"/>
                <w:szCs w:val="22"/>
                <w:highlight w:val="none"/>
              </w:rPr>
            </w:pPr>
          </w:p>
        </w:tc>
        <w:tc>
          <w:tcPr>
            <w:tcW w:w="1530" w:type="dxa"/>
            <w:noWrap/>
            <w:vAlign w:val="center"/>
          </w:tcPr>
          <w:p w14:paraId="71901581">
            <w:pPr>
              <w:jc w:val="center"/>
              <w:rPr>
                <w:rFonts w:ascii="仿宋" w:hAnsi="仿宋" w:eastAsia="仿宋" w:cs="仿宋"/>
                <w:color w:val="000000"/>
                <w:sz w:val="22"/>
                <w:szCs w:val="22"/>
                <w:highlight w:val="none"/>
              </w:rPr>
            </w:pPr>
          </w:p>
        </w:tc>
        <w:tc>
          <w:tcPr>
            <w:tcW w:w="880" w:type="dxa"/>
            <w:vAlign w:val="center"/>
          </w:tcPr>
          <w:p w14:paraId="28F1BE54">
            <w:pPr>
              <w:jc w:val="center"/>
              <w:rPr>
                <w:rFonts w:ascii="仿宋" w:hAnsi="仿宋" w:eastAsia="仿宋" w:cs="仿宋"/>
                <w:color w:val="000000"/>
                <w:sz w:val="22"/>
                <w:szCs w:val="22"/>
                <w:highlight w:val="none"/>
              </w:rPr>
            </w:pPr>
          </w:p>
        </w:tc>
        <w:tc>
          <w:tcPr>
            <w:tcW w:w="2027" w:type="dxa"/>
            <w:vAlign w:val="center"/>
          </w:tcPr>
          <w:p w14:paraId="0A9AA10B">
            <w:pPr>
              <w:jc w:val="center"/>
              <w:rPr>
                <w:rFonts w:ascii="仿宋" w:hAnsi="仿宋" w:eastAsia="仿宋" w:cs="仿宋"/>
                <w:color w:val="000000"/>
                <w:sz w:val="22"/>
                <w:szCs w:val="22"/>
                <w:highlight w:val="none"/>
              </w:rPr>
            </w:pPr>
          </w:p>
        </w:tc>
        <w:tc>
          <w:tcPr>
            <w:tcW w:w="1062" w:type="dxa"/>
            <w:vAlign w:val="center"/>
          </w:tcPr>
          <w:p w14:paraId="29AEE75F">
            <w:pPr>
              <w:jc w:val="center"/>
              <w:rPr>
                <w:rFonts w:ascii="仿宋" w:hAnsi="仿宋" w:eastAsia="仿宋" w:cs="仿宋"/>
                <w:color w:val="000000"/>
                <w:sz w:val="22"/>
                <w:szCs w:val="22"/>
                <w:highlight w:val="none"/>
              </w:rPr>
            </w:pPr>
          </w:p>
        </w:tc>
      </w:tr>
    </w:tbl>
    <w:p w14:paraId="39104EAB">
      <w:pPr>
        <w:jc w:val="both"/>
        <w:rPr>
          <w:rFonts w:ascii="仿宋" w:hAnsi="仿宋" w:eastAsia="仿宋" w:cs="仿宋"/>
          <w:color w:val="000000"/>
          <w:highlight w:val="none"/>
        </w:rPr>
      </w:pPr>
    </w:p>
    <w:p w14:paraId="41F57024">
      <w:pPr>
        <w:jc w:val="both"/>
        <w:rPr>
          <w:rFonts w:ascii="仿宋" w:hAnsi="仿宋" w:eastAsia="仿宋" w:cs="仿宋"/>
          <w:b/>
          <w:color w:val="000000"/>
          <w:highlight w:val="none"/>
        </w:rPr>
      </w:pPr>
      <w:r>
        <w:rPr>
          <w:rFonts w:hint="eastAsia" w:ascii="仿宋" w:hAnsi="仿宋" w:eastAsia="仿宋" w:cs="仿宋"/>
          <w:b/>
          <w:color w:val="000000"/>
          <w:highlight w:val="none"/>
        </w:rPr>
        <w:t>附件10：资产池</w:t>
      </w:r>
      <w:r>
        <w:rPr>
          <w:rFonts w:hint="eastAsia" w:ascii="仿宋" w:hAnsi="仿宋" w:eastAsia="仿宋" w:cs="仿宋"/>
          <w:b/>
          <w:color w:val="000000"/>
          <w:highlight w:val="none"/>
          <w:lang w:val="en-US" w:eastAsia="zh-CN"/>
        </w:rPr>
        <w:t>当前</w:t>
      </w:r>
      <w:r>
        <w:rPr>
          <w:rFonts w:hint="eastAsia" w:ascii="仿宋" w:hAnsi="仿宋" w:eastAsia="仿宋" w:cs="仿宋"/>
          <w:b/>
          <w:color w:val="000000"/>
          <w:highlight w:val="none"/>
        </w:rPr>
        <w:t>表现情况——处置中贷款抵（质）押物状态分布</w:t>
      </w:r>
    </w:p>
    <w:tbl>
      <w:tblPr>
        <w:tblStyle w:val="10"/>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76"/>
        <w:gridCol w:w="927"/>
        <w:gridCol w:w="2018"/>
        <w:gridCol w:w="886"/>
        <w:gridCol w:w="1478"/>
        <w:gridCol w:w="772"/>
      </w:tblGrid>
      <w:tr w14:paraId="1BC4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242" w:type="dxa"/>
            <w:noWrap/>
            <w:vAlign w:val="center"/>
          </w:tcPr>
          <w:p w14:paraId="3EE4D79E">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抵（质）押物状态</w:t>
            </w:r>
          </w:p>
        </w:tc>
        <w:tc>
          <w:tcPr>
            <w:tcW w:w="1276" w:type="dxa"/>
            <w:noWrap/>
            <w:vAlign w:val="center"/>
          </w:tcPr>
          <w:p w14:paraId="0AB47018">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贷款笔数</w:t>
            </w:r>
          </w:p>
        </w:tc>
        <w:tc>
          <w:tcPr>
            <w:tcW w:w="927" w:type="dxa"/>
            <w:vAlign w:val="center"/>
          </w:tcPr>
          <w:p w14:paraId="7C636D00">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2018" w:type="dxa"/>
            <w:vAlign w:val="center"/>
          </w:tcPr>
          <w:p w14:paraId="7D2FEF0C">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期末未偿本息余额</w:t>
            </w:r>
          </w:p>
        </w:tc>
        <w:tc>
          <w:tcPr>
            <w:tcW w:w="886" w:type="dxa"/>
            <w:vAlign w:val="center"/>
          </w:tcPr>
          <w:p w14:paraId="5D1978E3">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c>
          <w:tcPr>
            <w:tcW w:w="1478" w:type="dxa"/>
            <w:vAlign w:val="center"/>
          </w:tcPr>
          <w:p w14:paraId="25578EAF">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抵（质）押物评估价值</w:t>
            </w:r>
            <w:r>
              <w:rPr>
                <w:rStyle w:val="17"/>
                <w:rFonts w:hint="eastAsia" w:ascii="仿宋" w:hAnsi="仿宋" w:eastAsia="仿宋" w:cs="仿宋"/>
                <w:color w:val="000000"/>
                <w:sz w:val="22"/>
                <w:szCs w:val="22"/>
                <w:highlight w:val="none"/>
              </w:rPr>
              <w:footnoteReference w:id="44"/>
            </w:r>
          </w:p>
        </w:tc>
        <w:tc>
          <w:tcPr>
            <w:tcW w:w="772" w:type="dxa"/>
            <w:vAlign w:val="center"/>
          </w:tcPr>
          <w:p w14:paraId="726EE145">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占比</w:t>
            </w:r>
          </w:p>
        </w:tc>
      </w:tr>
      <w:tr w14:paraId="6482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242" w:type="dxa"/>
            <w:noWrap/>
            <w:vAlign w:val="center"/>
          </w:tcPr>
          <w:p w14:paraId="5A2E121A">
            <w:pPr>
              <w:jc w:val="center"/>
              <w:rPr>
                <w:rFonts w:ascii="仿宋" w:hAnsi="仿宋" w:eastAsia="仿宋" w:cs="仿宋"/>
                <w:color w:val="000000"/>
                <w:sz w:val="22"/>
                <w:szCs w:val="22"/>
                <w:highlight w:val="none"/>
              </w:rPr>
            </w:pPr>
            <w:r>
              <w:rPr>
                <w:rFonts w:hint="eastAsia" w:ascii="仿宋" w:hAnsi="仿宋" w:eastAsia="仿宋" w:cs="仿宋"/>
                <w:color w:val="000000"/>
                <w:sz w:val="22"/>
                <w:szCs w:val="22"/>
                <w:highlight w:val="none"/>
              </w:rPr>
              <w:t>已变现</w:t>
            </w:r>
          </w:p>
        </w:tc>
        <w:tc>
          <w:tcPr>
            <w:tcW w:w="1276" w:type="dxa"/>
            <w:noWrap/>
            <w:vAlign w:val="center"/>
          </w:tcPr>
          <w:p w14:paraId="730F4B6E">
            <w:pPr>
              <w:jc w:val="center"/>
              <w:rPr>
                <w:rFonts w:ascii="仿宋" w:hAnsi="仿宋" w:eastAsia="仿宋" w:cs="仿宋"/>
                <w:color w:val="000000"/>
                <w:sz w:val="22"/>
                <w:szCs w:val="22"/>
                <w:highlight w:val="none"/>
              </w:rPr>
            </w:pPr>
          </w:p>
        </w:tc>
        <w:tc>
          <w:tcPr>
            <w:tcW w:w="927" w:type="dxa"/>
            <w:vAlign w:val="center"/>
          </w:tcPr>
          <w:p w14:paraId="180DE764">
            <w:pPr>
              <w:jc w:val="center"/>
              <w:rPr>
                <w:rFonts w:ascii="仿宋" w:hAnsi="仿宋" w:eastAsia="仿宋" w:cs="仿宋"/>
                <w:color w:val="000000"/>
                <w:sz w:val="22"/>
                <w:szCs w:val="22"/>
                <w:highlight w:val="none"/>
              </w:rPr>
            </w:pPr>
          </w:p>
        </w:tc>
        <w:tc>
          <w:tcPr>
            <w:tcW w:w="2018" w:type="dxa"/>
            <w:vAlign w:val="center"/>
          </w:tcPr>
          <w:p w14:paraId="6EF314B4">
            <w:pPr>
              <w:jc w:val="center"/>
              <w:rPr>
                <w:rFonts w:ascii="仿宋" w:hAnsi="仿宋" w:eastAsia="仿宋" w:cs="仿宋"/>
                <w:color w:val="000000"/>
                <w:sz w:val="22"/>
                <w:szCs w:val="22"/>
                <w:highlight w:val="none"/>
              </w:rPr>
            </w:pPr>
          </w:p>
        </w:tc>
        <w:tc>
          <w:tcPr>
            <w:tcW w:w="886" w:type="dxa"/>
            <w:vAlign w:val="center"/>
          </w:tcPr>
          <w:p w14:paraId="3B1CB427">
            <w:pPr>
              <w:jc w:val="center"/>
              <w:rPr>
                <w:rFonts w:ascii="仿宋" w:hAnsi="仿宋" w:eastAsia="仿宋" w:cs="仿宋"/>
                <w:color w:val="000000"/>
                <w:sz w:val="22"/>
                <w:szCs w:val="22"/>
                <w:highlight w:val="none"/>
              </w:rPr>
            </w:pPr>
          </w:p>
        </w:tc>
        <w:tc>
          <w:tcPr>
            <w:tcW w:w="1478" w:type="dxa"/>
            <w:vAlign w:val="center"/>
          </w:tcPr>
          <w:p w14:paraId="512B32A0">
            <w:pPr>
              <w:jc w:val="center"/>
              <w:rPr>
                <w:rFonts w:ascii="仿宋" w:hAnsi="仿宋" w:eastAsia="仿宋" w:cs="仿宋"/>
                <w:color w:val="000000"/>
                <w:sz w:val="22"/>
                <w:szCs w:val="22"/>
                <w:highlight w:val="none"/>
              </w:rPr>
            </w:pPr>
          </w:p>
        </w:tc>
        <w:tc>
          <w:tcPr>
            <w:tcW w:w="772" w:type="dxa"/>
            <w:vAlign w:val="center"/>
          </w:tcPr>
          <w:p w14:paraId="10652D69">
            <w:pPr>
              <w:jc w:val="center"/>
              <w:rPr>
                <w:rFonts w:ascii="仿宋" w:hAnsi="仿宋" w:eastAsia="仿宋" w:cs="仿宋"/>
                <w:color w:val="000000"/>
                <w:sz w:val="22"/>
                <w:szCs w:val="22"/>
                <w:highlight w:val="none"/>
              </w:rPr>
            </w:pPr>
          </w:p>
        </w:tc>
      </w:tr>
      <w:tr w14:paraId="535F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242" w:type="dxa"/>
            <w:noWrap/>
            <w:vAlign w:val="center"/>
          </w:tcPr>
          <w:p w14:paraId="4876B669">
            <w:pPr>
              <w:jc w:val="center"/>
              <w:rPr>
                <w:rFonts w:ascii="仿宋" w:hAnsi="仿宋" w:eastAsia="仿宋" w:cs="仿宋"/>
                <w:color w:val="000000"/>
                <w:sz w:val="22"/>
                <w:szCs w:val="22"/>
              </w:rPr>
            </w:pPr>
            <w:r>
              <w:rPr>
                <w:rFonts w:hint="eastAsia" w:ascii="仿宋" w:hAnsi="仿宋" w:eastAsia="仿宋" w:cs="仿宋"/>
                <w:color w:val="000000"/>
                <w:sz w:val="22"/>
                <w:szCs w:val="22"/>
              </w:rPr>
              <w:t>未变现</w:t>
            </w:r>
          </w:p>
        </w:tc>
        <w:tc>
          <w:tcPr>
            <w:tcW w:w="1276" w:type="dxa"/>
            <w:noWrap/>
            <w:vAlign w:val="center"/>
          </w:tcPr>
          <w:p w14:paraId="14803AB8">
            <w:pPr>
              <w:jc w:val="center"/>
              <w:rPr>
                <w:rFonts w:ascii="仿宋" w:hAnsi="仿宋" w:eastAsia="仿宋" w:cs="仿宋"/>
                <w:color w:val="000000"/>
                <w:sz w:val="22"/>
                <w:szCs w:val="22"/>
              </w:rPr>
            </w:pPr>
          </w:p>
        </w:tc>
        <w:tc>
          <w:tcPr>
            <w:tcW w:w="927" w:type="dxa"/>
            <w:vAlign w:val="center"/>
          </w:tcPr>
          <w:p w14:paraId="0C239BFC">
            <w:pPr>
              <w:jc w:val="center"/>
              <w:rPr>
                <w:rFonts w:ascii="仿宋" w:hAnsi="仿宋" w:eastAsia="仿宋" w:cs="仿宋"/>
                <w:color w:val="000000"/>
                <w:sz w:val="22"/>
                <w:szCs w:val="22"/>
              </w:rPr>
            </w:pPr>
          </w:p>
        </w:tc>
        <w:tc>
          <w:tcPr>
            <w:tcW w:w="2018" w:type="dxa"/>
            <w:vAlign w:val="center"/>
          </w:tcPr>
          <w:p w14:paraId="076E4AA9">
            <w:pPr>
              <w:jc w:val="center"/>
              <w:rPr>
                <w:rFonts w:ascii="仿宋" w:hAnsi="仿宋" w:eastAsia="仿宋" w:cs="仿宋"/>
                <w:color w:val="000000"/>
                <w:sz w:val="22"/>
                <w:szCs w:val="22"/>
              </w:rPr>
            </w:pPr>
          </w:p>
        </w:tc>
        <w:tc>
          <w:tcPr>
            <w:tcW w:w="886" w:type="dxa"/>
            <w:vAlign w:val="center"/>
          </w:tcPr>
          <w:p w14:paraId="643A0852">
            <w:pPr>
              <w:jc w:val="center"/>
              <w:rPr>
                <w:rFonts w:ascii="仿宋" w:hAnsi="仿宋" w:eastAsia="仿宋" w:cs="仿宋"/>
                <w:color w:val="000000"/>
                <w:sz w:val="22"/>
                <w:szCs w:val="22"/>
              </w:rPr>
            </w:pPr>
          </w:p>
        </w:tc>
        <w:tc>
          <w:tcPr>
            <w:tcW w:w="1478" w:type="dxa"/>
            <w:vAlign w:val="center"/>
          </w:tcPr>
          <w:p w14:paraId="74A4F8B3">
            <w:pPr>
              <w:jc w:val="center"/>
              <w:rPr>
                <w:rFonts w:ascii="仿宋" w:hAnsi="仿宋" w:eastAsia="仿宋" w:cs="仿宋"/>
                <w:color w:val="000000"/>
                <w:sz w:val="22"/>
                <w:szCs w:val="22"/>
              </w:rPr>
            </w:pPr>
          </w:p>
        </w:tc>
        <w:tc>
          <w:tcPr>
            <w:tcW w:w="772" w:type="dxa"/>
            <w:vAlign w:val="center"/>
          </w:tcPr>
          <w:p w14:paraId="5069AC15">
            <w:pPr>
              <w:jc w:val="center"/>
              <w:rPr>
                <w:rFonts w:ascii="仿宋" w:hAnsi="仿宋" w:eastAsia="仿宋" w:cs="仿宋"/>
                <w:color w:val="000000"/>
                <w:sz w:val="22"/>
                <w:szCs w:val="22"/>
              </w:rPr>
            </w:pPr>
          </w:p>
        </w:tc>
      </w:tr>
    </w:tbl>
    <w:p w14:paraId="1DAA26FD">
      <w:pPr>
        <w:jc w:val="both"/>
        <w:rPr>
          <w:rFonts w:ascii="仿宋" w:hAnsi="仿宋" w:eastAsia="仿宋" w:cs="仿宋"/>
          <w:b/>
          <w:color w:val="000000"/>
        </w:rPr>
      </w:pPr>
    </w:p>
    <w:p w14:paraId="30C83BC5">
      <w:pPr>
        <w:jc w:val="both"/>
        <w:rPr>
          <w:rFonts w:ascii="仿宋" w:hAnsi="仿宋" w:eastAsia="仿宋" w:cs="仿宋"/>
          <w:b/>
          <w:color w:val="000000"/>
        </w:rPr>
      </w:pPr>
      <w:r>
        <w:rPr>
          <w:rFonts w:hint="eastAsia" w:ascii="仿宋" w:hAnsi="仿宋" w:eastAsia="仿宋" w:cs="仿宋"/>
          <w:b/>
          <w:color w:val="000000"/>
        </w:rPr>
        <w:t>附件11：资产池现金流入情况——贷款处置状态分布及现金流入</w:t>
      </w:r>
    </w:p>
    <w:tbl>
      <w:tblPr>
        <w:tblStyle w:val="10"/>
        <w:tblW w:w="0" w:type="auto"/>
        <w:tblInd w:w="0" w:type="dxa"/>
        <w:tblLayout w:type="autofit"/>
        <w:tblCellMar>
          <w:top w:w="0" w:type="dxa"/>
          <w:left w:w="108" w:type="dxa"/>
          <w:bottom w:w="0" w:type="dxa"/>
          <w:right w:w="108" w:type="dxa"/>
        </w:tblCellMar>
      </w:tblPr>
      <w:tblGrid>
        <w:gridCol w:w="1206"/>
        <w:gridCol w:w="1618"/>
        <w:gridCol w:w="1619"/>
        <w:gridCol w:w="1784"/>
        <w:gridCol w:w="1062"/>
      </w:tblGrid>
      <w:tr w14:paraId="72FE828C">
        <w:tblPrEx>
          <w:tblCellMar>
            <w:top w:w="0" w:type="dxa"/>
            <w:left w:w="108" w:type="dxa"/>
            <w:bottom w:w="0" w:type="dxa"/>
            <w:right w:w="108" w:type="dxa"/>
          </w:tblCellMar>
        </w:tblPrEx>
        <w:trPr>
          <w:trHeight w:val="288"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29B2DF1">
            <w:pPr>
              <w:jc w:val="center"/>
              <w:rPr>
                <w:rFonts w:ascii="仿宋" w:hAnsi="仿宋" w:eastAsia="仿宋" w:cs="仿宋"/>
                <w:color w:val="000000"/>
                <w:sz w:val="22"/>
                <w:szCs w:val="22"/>
              </w:rPr>
            </w:pPr>
            <w:r>
              <w:rPr>
                <w:rFonts w:hint="eastAsia" w:ascii="仿宋" w:hAnsi="仿宋" w:eastAsia="仿宋" w:cs="仿宋"/>
                <w:color w:val="000000"/>
                <w:sz w:val="22"/>
                <w:szCs w:val="22"/>
              </w:rPr>
              <w:t>贷款情况</w:t>
            </w:r>
            <w:r>
              <w:rPr>
                <w:rStyle w:val="17"/>
                <w:rFonts w:hint="eastAsia" w:ascii="仿宋" w:hAnsi="仿宋" w:eastAsia="仿宋" w:cs="仿宋"/>
                <w:color w:val="000000"/>
                <w:sz w:val="22"/>
                <w:szCs w:val="22"/>
              </w:rPr>
              <w:footnoteReference w:id="45"/>
            </w:r>
          </w:p>
        </w:tc>
        <w:tc>
          <w:tcPr>
            <w:tcW w:w="1618" w:type="dxa"/>
            <w:tcBorders>
              <w:top w:val="single" w:color="auto" w:sz="4" w:space="0"/>
              <w:left w:val="nil"/>
              <w:bottom w:val="single" w:color="auto" w:sz="4" w:space="0"/>
              <w:right w:val="single" w:color="auto" w:sz="4" w:space="0"/>
            </w:tcBorders>
            <w:noWrap/>
            <w:vAlign w:val="center"/>
          </w:tcPr>
          <w:p w14:paraId="0BD43DF0">
            <w:pPr>
              <w:jc w:val="center"/>
              <w:rPr>
                <w:rFonts w:ascii="仿宋" w:hAnsi="仿宋" w:eastAsia="仿宋" w:cs="仿宋"/>
                <w:color w:val="000000"/>
                <w:sz w:val="22"/>
                <w:szCs w:val="22"/>
              </w:rPr>
            </w:pPr>
            <w:r>
              <w:rPr>
                <w:rFonts w:hint="eastAsia" w:ascii="仿宋" w:hAnsi="仿宋" w:eastAsia="仿宋" w:cs="仿宋"/>
                <w:color w:val="000000"/>
                <w:sz w:val="22"/>
                <w:szCs w:val="22"/>
              </w:rPr>
              <w:t>本期回收金额</w:t>
            </w:r>
          </w:p>
        </w:tc>
        <w:tc>
          <w:tcPr>
            <w:tcW w:w="1619" w:type="dxa"/>
            <w:tcBorders>
              <w:top w:val="single" w:color="auto" w:sz="4" w:space="0"/>
              <w:left w:val="single" w:color="auto" w:sz="4" w:space="0"/>
              <w:bottom w:val="single" w:color="auto" w:sz="4" w:space="0"/>
              <w:right w:val="single" w:color="auto" w:sz="4" w:space="0"/>
            </w:tcBorders>
            <w:vAlign w:val="center"/>
          </w:tcPr>
          <w:p w14:paraId="060C0A3C">
            <w:pPr>
              <w:jc w:val="center"/>
              <w:rPr>
                <w:rFonts w:ascii="仿宋" w:hAnsi="仿宋" w:eastAsia="仿宋" w:cs="仿宋"/>
                <w:color w:val="000000"/>
                <w:sz w:val="22"/>
                <w:szCs w:val="22"/>
              </w:rPr>
            </w:pPr>
            <w:r>
              <w:rPr>
                <w:rFonts w:hint="eastAsia" w:ascii="仿宋" w:hAnsi="仿宋" w:eastAsia="仿宋" w:cs="仿宋"/>
                <w:color w:val="000000"/>
                <w:sz w:val="22"/>
                <w:szCs w:val="22"/>
              </w:rPr>
              <w:t>累计回收金额</w:t>
            </w:r>
          </w:p>
        </w:tc>
        <w:tc>
          <w:tcPr>
            <w:tcW w:w="1784" w:type="dxa"/>
            <w:tcBorders>
              <w:top w:val="single" w:color="auto" w:sz="4" w:space="0"/>
              <w:left w:val="single" w:color="auto" w:sz="4" w:space="0"/>
              <w:bottom w:val="single" w:color="auto" w:sz="4" w:space="0"/>
              <w:right w:val="single" w:color="auto" w:sz="4" w:space="0"/>
            </w:tcBorders>
            <w:vAlign w:val="center"/>
          </w:tcPr>
          <w:p w14:paraId="0DBA0088">
            <w:pPr>
              <w:jc w:val="center"/>
              <w:rPr>
                <w:rFonts w:ascii="仿宋" w:hAnsi="仿宋" w:eastAsia="仿宋" w:cs="仿宋"/>
                <w:color w:val="000000"/>
                <w:sz w:val="22"/>
                <w:szCs w:val="22"/>
              </w:rPr>
            </w:pPr>
            <w:r>
              <w:rPr>
                <w:rFonts w:hint="eastAsia" w:ascii="仿宋" w:hAnsi="仿宋" w:eastAsia="仿宋" w:cs="仿宋"/>
                <w:color w:val="000000"/>
                <w:sz w:val="22"/>
                <w:szCs w:val="22"/>
              </w:rPr>
              <w:t>预计回收金额</w:t>
            </w:r>
          </w:p>
        </w:tc>
        <w:tc>
          <w:tcPr>
            <w:tcW w:w="1062" w:type="dxa"/>
            <w:tcBorders>
              <w:top w:val="single" w:color="auto" w:sz="4" w:space="0"/>
              <w:left w:val="single" w:color="auto" w:sz="4" w:space="0"/>
              <w:bottom w:val="single" w:color="auto" w:sz="4" w:space="0"/>
              <w:right w:val="single" w:color="auto" w:sz="4" w:space="0"/>
            </w:tcBorders>
            <w:vAlign w:val="center"/>
          </w:tcPr>
          <w:p w14:paraId="43272C94">
            <w:pPr>
              <w:jc w:val="center"/>
              <w:rPr>
                <w:rFonts w:ascii="仿宋" w:hAnsi="仿宋" w:eastAsia="仿宋" w:cs="仿宋"/>
                <w:color w:val="000000"/>
                <w:sz w:val="22"/>
                <w:szCs w:val="22"/>
              </w:rPr>
            </w:pPr>
            <w:r>
              <w:rPr>
                <w:rFonts w:hint="eastAsia" w:ascii="仿宋" w:hAnsi="仿宋" w:eastAsia="仿宋" w:cs="仿宋"/>
                <w:color w:val="000000"/>
                <w:sz w:val="22"/>
                <w:szCs w:val="22"/>
              </w:rPr>
              <w:t>回收率</w:t>
            </w:r>
          </w:p>
        </w:tc>
      </w:tr>
      <w:tr w14:paraId="3499AF52">
        <w:tblPrEx>
          <w:tblCellMar>
            <w:top w:w="0" w:type="dxa"/>
            <w:left w:w="108" w:type="dxa"/>
            <w:bottom w:w="0" w:type="dxa"/>
            <w:right w:w="108" w:type="dxa"/>
          </w:tblCellMar>
        </w:tblPrEx>
        <w:trPr>
          <w:trHeight w:val="288"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CB58455">
            <w:pPr>
              <w:jc w:val="center"/>
              <w:rPr>
                <w:rFonts w:ascii="仿宋" w:hAnsi="仿宋" w:eastAsia="仿宋" w:cs="仿宋"/>
                <w:color w:val="000000"/>
                <w:sz w:val="22"/>
                <w:szCs w:val="22"/>
              </w:rPr>
            </w:pPr>
            <w:r>
              <w:rPr>
                <w:rFonts w:hint="eastAsia" w:ascii="仿宋" w:hAnsi="仿宋" w:eastAsia="仿宋" w:cs="仿宋"/>
                <w:color w:val="000000"/>
                <w:sz w:val="22"/>
                <w:szCs w:val="22"/>
              </w:rPr>
              <w:t>处置中</w:t>
            </w:r>
          </w:p>
        </w:tc>
        <w:tc>
          <w:tcPr>
            <w:tcW w:w="1618" w:type="dxa"/>
            <w:tcBorders>
              <w:top w:val="single" w:color="auto" w:sz="4" w:space="0"/>
              <w:left w:val="nil"/>
              <w:bottom w:val="single" w:color="auto" w:sz="4" w:space="0"/>
              <w:right w:val="single" w:color="auto" w:sz="4" w:space="0"/>
            </w:tcBorders>
            <w:noWrap/>
            <w:vAlign w:val="center"/>
          </w:tcPr>
          <w:p w14:paraId="69DB107A">
            <w:pPr>
              <w:jc w:val="center"/>
              <w:rPr>
                <w:rFonts w:ascii="仿宋" w:hAnsi="仿宋" w:eastAsia="仿宋" w:cs="仿宋"/>
                <w:color w:val="000000"/>
                <w:sz w:val="22"/>
                <w:szCs w:val="22"/>
              </w:rPr>
            </w:pPr>
          </w:p>
        </w:tc>
        <w:tc>
          <w:tcPr>
            <w:tcW w:w="1619" w:type="dxa"/>
            <w:tcBorders>
              <w:top w:val="single" w:color="auto" w:sz="4" w:space="0"/>
              <w:left w:val="single" w:color="auto" w:sz="4" w:space="0"/>
              <w:bottom w:val="single" w:color="auto" w:sz="4" w:space="0"/>
              <w:right w:val="single" w:color="auto" w:sz="4" w:space="0"/>
            </w:tcBorders>
            <w:vAlign w:val="center"/>
          </w:tcPr>
          <w:p w14:paraId="612BD98E">
            <w:pPr>
              <w:jc w:val="center"/>
              <w:rPr>
                <w:rFonts w:ascii="仿宋" w:hAnsi="仿宋" w:eastAsia="仿宋" w:cs="仿宋"/>
                <w:color w:val="000000"/>
                <w:sz w:val="22"/>
                <w:szCs w:val="22"/>
              </w:rPr>
            </w:pPr>
          </w:p>
        </w:tc>
        <w:tc>
          <w:tcPr>
            <w:tcW w:w="1784" w:type="dxa"/>
            <w:tcBorders>
              <w:top w:val="single" w:color="auto" w:sz="4" w:space="0"/>
              <w:left w:val="single" w:color="auto" w:sz="4" w:space="0"/>
              <w:bottom w:val="single" w:color="auto" w:sz="4" w:space="0"/>
              <w:right w:val="single" w:color="auto" w:sz="4" w:space="0"/>
            </w:tcBorders>
            <w:vAlign w:val="center"/>
          </w:tcPr>
          <w:p w14:paraId="2C67DC71">
            <w:pPr>
              <w:jc w:val="center"/>
              <w:rPr>
                <w:rFonts w:ascii="仿宋" w:hAnsi="仿宋" w:eastAsia="仿宋" w:cs="仿宋"/>
                <w:color w:val="000000"/>
                <w:sz w:val="22"/>
                <w:szCs w:val="22"/>
              </w:rPr>
            </w:pPr>
          </w:p>
        </w:tc>
        <w:tc>
          <w:tcPr>
            <w:tcW w:w="1062" w:type="dxa"/>
            <w:tcBorders>
              <w:top w:val="single" w:color="auto" w:sz="4" w:space="0"/>
              <w:left w:val="single" w:color="auto" w:sz="4" w:space="0"/>
              <w:bottom w:val="single" w:color="auto" w:sz="4" w:space="0"/>
              <w:right w:val="single" w:color="auto" w:sz="4" w:space="0"/>
            </w:tcBorders>
            <w:vAlign w:val="center"/>
          </w:tcPr>
          <w:p w14:paraId="52649463">
            <w:pPr>
              <w:jc w:val="center"/>
              <w:rPr>
                <w:rFonts w:ascii="仿宋" w:hAnsi="仿宋" w:eastAsia="仿宋" w:cs="仿宋"/>
                <w:color w:val="000000"/>
                <w:sz w:val="22"/>
                <w:szCs w:val="22"/>
              </w:rPr>
            </w:pPr>
            <w:r>
              <w:rPr>
                <w:rFonts w:hint="eastAsia" w:ascii="仿宋" w:hAnsi="仿宋" w:eastAsia="仿宋" w:cs="仿宋"/>
                <w:color w:val="000000"/>
                <w:sz w:val="22"/>
                <w:szCs w:val="22"/>
              </w:rPr>
              <w:t>-</w:t>
            </w:r>
          </w:p>
        </w:tc>
      </w:tr>
      <w:tr w14:paraId="26ABECF6">
        <w:tblPrEx>
          <w:tblCellMar>
            <w:top w:w="0" w:type="dxa"/>
            <w:left w:w="108" w:type="dxa"/>
            <w:bottom w:w="0" w:type="dxa"/>
            <w:right w:w="108" w:type="dxa"/>
          </w:tblCellMar>
        </w:tblPrEx>
        <w:trPr>
          <w:trHeight w:val="288"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6F311A0">
            <w:pPr>
              <w:jc w:val="center"/>
              <w:rPr>
                <w:rFonts w:ascii="仿宋" w:hAnsi="仿宋" w:eastAsia="仿宋" w:cs="仿宋"/>
                <w:color w:val="000000"/>
                <w:sz w:val="22"/>
                <w:szCs w:val="22"/>
              </w:rPr>
            </w:pPr>
            <w:r>
              <w:rPr>
                <w:rFonts w:hint="eastAsia" w:ascii="仿宋" w:hAnsi="仿宋" w:eastAsia="仿宋" w:cs="仿宋"/>
                <w:color w:val="000000"/>
                <w:sz w:val="22"/>
                <w:szCs w:val="22"/>
              </w:rPr>
              <w:t>处置完毕</w:t>
            </w:r>
          </w:p>
        </w:tc>
        <w:tc>
          <w:tcPr>
            <w:tcW w:w="1618" w:type="dxa"/>
            <w:tcBorders>
              <w:top w:val="single" w:color="auto" w:sz="4" w:space="0"/>
              <w:left w:val="single" w:color="auto" w:sz="4" w:space="0"/>
              <w:bottom w:val="single" w:color="auto" w:sz="4" w:space="0"/>
              <w:right w:val="single" w:color="auto" w:sz="4" w:space="0"/>
            </w:tcBorders>
            <w:noWrap/>
            <w:vAlign w:val="center"/>
          </w:tcPr>
          <w:p w14:paraId="0B8C3106">
            <w:pPr>
              <w:jc w:val="center"/>
              <w:rPr>
                <w:rFonts w:ascii="仿宋" w:hAnsi="仿宋" w:eastAsia="仿宋" w:cs="仿宋"/>
                <w:color w:val="000000"/>
                <w:sz w:val="22"/>
                <w:szCs w:val="22"/>
              </w:rPr>
            </w:pPr>
          </w:p>
        </w:tc>
        <w:tc>
          <w:tcPr>
            <w:tcW w:w="1619" w:type="dxa"/>
            <w:tcBorders>
              <w:top w:val="single" w:color="auto" w:sz="4" w:space="0"/>
              <w:left w:val="single" w:color="auto" w:sz="4" w:space="0"/>
              <w:bottom w:val="single" w:color="auto" w:sz="4" w:space="0"/>
              <w:right w:val="single" w:color="auto" w:sz="4" w:space="0"/>
            </w:tcBorders>
            <w:vAlign w:val="center"/>
          </w:tcPr>
          <w:p w14:paraId="6EB45F6C">
            <w:pPr>
              <w:jc w:val="center"/>
              <w:rPr>
                <w:rFonts w:ascii="仿宋" w:hAnsi="仿宋" w:eastAsia="仿宋" w:cs="仿宋"/>
                <w:color w:val="000000"/>
                <w:sz w:val="22"/>
                <w:szCs w:val="22"/>
              </w:rPr>
            </w:pPr>
          </w:p>
        </w:tc>
        <w:tc>
          <w:tcPr>
            <w:tcW w:w="1784" w:type="dxa"/>
            <w:tcBorders>
              <w:top w:val="single" w:color="auto" w:sz="4" w:space="0"/>
              <w:left w:val="single" w:color="auto" w:sz="4" w:space="0"/>
              <w:bottom w:val="single" w:color="auto" w:sz="4" w:space="0"/>
              <w:right w:val="single" w:color="auto" w:sz="4" w:space="0"/>
            </w:tcBorders>
            <w:vAlign w:val="center"/>
          </w:tcPr>
          <w:p w14:paraId="627B38C8">
            <w:pPr>
              <w:jc w:val="center"/>
              <w:rPr>
                <w:rFonts w:ascii="仿宋" w:hAnsi="仿宋" w:eastAsia="仿宋" w:cs="仿宋"/>
                <w:color w:val="000000"/>
                <w:sz w:val="22"/>
                <w:szCs w:val="22"/>
              </w:rPr>
            </w:pPr>
            <w:r>
              <w:rPr>
                <w:rFonts w:hint="eastAsia" w:ascii="仿宋" w:hAnsi="仿宋" w:eastAsia="仿宋" w:cs="仿宋"/>
                <w:color w:val="000000"/>
                <w:sz w:val="22"/>
                <w:szCs w:val="22"/>
              </w:rPr>
              <w:t>-</w:t>
            </w:r>
          </w:p>
        </w:tc>
        <w:tc>
          <w:tcPr>
            <w:tcW w:w="1062" w:type="dxa"/>
            <w:tcBorders>
              <w:top w:val="single" w:color="auto" w:sz="4" w:space="0"/>
              <w:left w:val="single" w:color="auto" w:sz="4" w:space="0"/>
              <w:bottom w:val="single" w:color="auto" w:sz="4" w:space="0"/>
              <w:right w:val="single" w:color="auto" w:sz="4" w:space="0"/>
            </w:tcBorders>
            <w:vAlign w:val="center"/>
          </w:tcPr>
          <w:p w14:paraId="4A62393B">
            <w:pPr>
              <w:jc w:val="center"/>
              <w:rPr>
                <w:rFonts w:ascii="仿宋" w:hAnsi="仿宋" w:eastAsia="仿宋" w:cs="仿宋"/>
                <w:color w:val="000000"/>
                <w:sz w:val="22"/>
                <w:szCs w:val="22"/>
              </w:rPr>
            </w:pPr>
          </w:p>
        </w:tc>
      </w:tr>
    </w:tbl>
    <w:p w14:paraId="137B21D8">
      <w:pPr>
        <w:jc w:val="both"/>
        <w:rPr>
          <w:rFonts w:ascii="仿宋" w:hAnsi="仿宋" w:eastAsia="仿宋" w:cs="仿宋"/>
          <w:b/>
          <w:color w:val="000000"/>
        </w:rPr>
      </w:pPr>
    </w:p>
    <w:p w14:paraId="301A2BAC">
      <w:pPr>
        <w:jc w:val="both"/>
        <w:rPr>
          <w:rFonts w:ascii="仿宋" w:hAnsi="仿宋" w:eastAsia="仿宋" w:cs="仿宋"/>
          <w:b/>
          <w:color w:val="000000"/>
        </w:rPr>
      </w:pPr>
      <w:r>
        <w:rPr>
          <w:rFonts w:hint="eastAsia" w:ascii="仿宋" w:hAnsi="仿宋" w:eastAsia="仿宋" w:cs="仿宋"/>
          <w:b/>
          <w:color w:val="000000"/>
        </w:rPr>
        <w:t>附件12：资产回收现金流预测表</w:t>
      </w:r>
    </w:p>
    <w:tbl>
      <w:tblPr>
        <w:tblStyle w:val="10"/>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130"/>
        <w:gridCol w:w="2130"/>
        <w:gridCol w:w="2131"/>
        <w:gridCol w:w="2131"/>
      </w:tblGrid>
      <w:tr w14:paraId="1A9E6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250" w:type="pct"/>
            <w:vAlign w:val="center"/>
          </w:tcPr>
          <w:p w14:paraId="0ADBE18E">
            <w:pPr>
              <w:rPr>
                <w:rFonts w:ascii="仿宋" w:hAnsi="仿宋" w:eastAsia="仿宋" w:cs="仿宋"/>
                <w:color w:val="000000"/>
                <w:sz w:val="22"/>
                <w:szCs w:val="22"/>
              </w:rPr>
            </w:pPr>
            <w:r>
              <w:rPr>
                <w:rFonts w:hint="eastAsia" w:ascii="仿宋" w:hAnsi="仿宋" w:eastAsia="仿宋" w:cs="仿宋"/>
                <w:color w:val="000000"/>
                <w:sz w:val="22"/>
                <w:szCs w:val="22"/>
              </w:rPr>
              <w:t>信托核算日</w:t>
            </w:r>
          </w:p>
        </w:tc>
        <w:tc>
          <w:tcPr>
            <w:tcW w:w="1250" w:type="pct"/>
            <w:vAlign w:val="center"/>
          </w:tcPr>
          <w:p w14:paraId="40E6F4DC">
            <w:pPr>
              <w:rPr>
                <w:rFonts w:ascii="仿宋" w:hAnsi="仿宋" w:eastAsia="仿宋" w:cs="仿宋"/>
                <w:color w:val="000000"/>
                <w:sz w:val="22"/>
                <w:szCs w:val="22"/>
              </w:rPr>
            </w:pPr>
            <w:r>
              <w:rPr>
                <w:rFonts w:hint="eastAsia" w:ascii="仿宋" w:hAnsi="仿宋" w:eastAsia="仿宋" w:cs="仿宋"/>
                <w:color w:val="000000"/>
                <w:sz w:val="22"/>
                <w:szCs w:val="22"/>
              </w:rPr>
              <w:t>期初本息余额</w:t>
            </w:r>
          </w:p>
        </w:tc>
        <w:tc>
          <w:tcPr>
            <w:tcW w:w="1250" w:type="pct"/>
            <w:vAlign w:val="center"/>
          </w:tcPr>
          <w:p w14:paraId="188D17D1">
            <w:pPr>
              <w:rPr>
                <w:rFonts w:ascii="仿宋" w:hAnsi="仿宋" w:eastAsia="仿宋" w:cs="仿宋"/>
                <w:color w:val="000000"/>
                <w:sz w:val="22"/>
                <w:szCs w:val="22"/>
              </w:rPr>
            </w:pPr>
            <w:r>
              <w:rPr>
                <w:rFonts w:hint="eastAsia" w:ascii="仿宋" w:hAnsi="仿宋" w:eastAsia="仿宋" w:cs="仿宋"/>
                <w:color w:val="000000"/>
                <w:sz w:val="22"/>
                <w:szCs w:val="22"/>
              </w:rPr>
              <w:t>本期预计回收金额</w:t>
            </w:r>
          </w:p>
        </w:tc>
        <w:tc>
          <w:tcPr>
            <w:tcW w:w="1250" w:type="pct"/>
            <w:vAlign w:val="center"/>
          </w:tcPr>
          <w:p w14:paraId="0104AA13">
            <w:pPr>
              <w:rPr>
                <w:rFonts w:ascii="仿宋" w:hAnsi="仿宋" w:eastAsia="仿宋" w:cs="仿宋"/>
                <w:color w:val="000000"/>
                <w:sz w:val="22"/>
                <w:szCs w:val="22"/>
              </w:rPr>
            </w:pPr>
            <w:r>
              <w:rPr>
                <w:rFonts w:hint="eastAsia" w:ascii="仿宋" w:hAnsi="仿宋" w:eastAsia="仿宋" w:cs="仿宋"/>
                <w:color w:val="000000"/>
                <w:sz w:val="22"/>
                <w:szCs w:val="22"/>
              </w:rPr>
              <w:t>期末本息余额</w:t>
            </w:r>
          </w:p>
        </w:tc>
      </w:tr>
      <w:tr w14:paraId="2A435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20C66875">
            <w:pPr>
              <w:rPr>
                <w:rFonts w:ascii="仿宋" w:hAnsi="仿宋" w:eastAsia="仿宋" w:cs="仿宋"/>
                <w:color w:val="000000"/>
                <w:sz w:val="22"/>
                <w:szCs w:val="22"/>
              </w:rPr>
            </w:pPr>
            <w:r>
              <w:rPr>
                <w:rFonts w:hint="eastAsia" w:ascii="仿宋" w:hAnsi="仿宋" w:eastAsia="仿宋" w:cs="仿宋"/>
                <w:color w:val="000000"/>
                <w:sz w:val="22"/>
                <w:szCs w:val="22"/>
              </w:rPr>
              <w:t>2016/12/31</w:t>
            </w:r>
            <w:r>
              <w:rPr>
                <w:rFonts w:hint="eastAsia" w:ascii="仿宋" w:hAnsi="仿宋" w:eastAsia="仿宋" w:cs="仿宋"/>
                <w:color w:val="000000"/>
                <w:sz w:val="22"/>
                <w:szCs w:val="22"/>
                <w:vertAlign w:val="superscript"/>
              </w:rPr>
              <w:footnoteReference w:id="46"/>
            </w:r>
          </w:p>
        </w:tc>
        <w:tc>
          <w:tcPr>
            <w:tcW w:w="1250" w:type="pct"/>
            <w:vAlign w:val="center"/>
          </w:tcPr>
          <w:p w14:paraId="5BA6B023">
            <w:pPr>
              <w:rPr>
                <w:rFonts w:ascii="仿宋" w:hAnsi="仿宋" w:eastAsia="仿宋" w:cs="仿宋"/>
                <w:color w:val="000000"/>
                <w:sz w:val="22"/>
                <w:szCs w:val="22"/>
              </w:rPr>
            </w:pPr>
          </w:p>
        </w:tc>
        <w:tc>
          <w:tcPr>
            <w:tcW w:w="1250" w:type="pct"/>
            <w:vAlign w:val="center"/>
          </w:tcPr>
          <w:p w14:paraId="5E607D41">
            <w:pPr>
              <w:rPr>
                <w:rFonts w:ascii="仿宋" w:hAnsi="仿宋" w:eastAsia="仿宋" w:cs="仿宋"/>
                <w:color w:val="000000"/>
                <w:sz w:val="22"/>
                <w:szCs w:val="22"/>
              </w:rPr>
            </w:pPr>
          </w:p>
        </w:tc>
        <w:tc>
          <w:tcPr>
            <w:tcW w:w="1250" w:type="pct"/>
            <w:vAlign w:val="center"/>
          </w:tcPr>
          <w:p w14:paraId="03ACD578">
            <w:pPr>
              <w:rPr>
                <w:rFonts w:ascii="仿宋" w:hAnsi="仿宋" w:eastAsia="仿宋" w:cs="仿宋"/>
                <w:color w:val="000000"/>
                <w:sz w:val="22"/>
                <w:szCs w:val="22"/>
              </w:rPr>
            </w:pPr>
          </w:p>
        </w:tc>
      </w:tr>
      <w:tr w14:paraId="7D7D5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0E129774">
            <w:pPr>
              <w:rPr>
                <w:rFonts w:ascii="仿宋" w:hAnsi="仿宋" w:eastAsia="仿宋" w:cs="仿宋"/>
                <w:color w:val="000000"/>
                <w:sz w:val="22"/>
                <w:szCs w:val="22"/>
              </w:rPr>
            </w:pPr>
            <w:r>
              <w:rPr>
                <w:rFonts w:hint="eastAsia" w:ascii="仿宋" w:hAnsi="仿宋" w:eastAsia="仿宋" w:cs="仿宋"/>
                <w:color w:val="000000"/>
                <w:sz w:val="22"/>
                <w:szCs w:val="22"/>
              </w:rPr>
              <w:t>2017/6/30</w:t>
            </w:r>
          </w:p>
        </w:tc>
        <w:tc>
          <w:tcPr>
            <w:tcW w:w="1250" w:type="pct"/>
            <w:vAlign w:val="center"/>
          </w:tcPr>
          <w:p w14:paraId="3E55A21C">
            <w:pPr>
              <w:rPr>
                <w:rFonts w:ascii="仿宋" w:hAnsi="仿宋" w:eastAsia="仿宋" w:cs="仿宋"/>
                <w:color w:val="000000"/>
                <w:sz w:val="22"/>
                <w:szCs w:val="22"/>
              </w:rPr>
            </w:pPr>
          </w:p>
        </w:tc>
        <w:tc>
          <w:tcPr>
            <w:tcW w:w="1250" w:type="pct"/>
            <w:vAlign w:val="center"/>
          </w:tcPr>
          <w:p w14:paraId="1E3B84A5">
            <w:pPr>
              <w:rPr>
                <w:rFonts w:ascii="仿宋" w:hAnsi="仿宋" w:eastAsia="仿宋" w:cs="仿宋"/>
                <w:color w:val="000000"/>
                <w:sz w:val="22"/>
                <w:szCs w:val="22"/>
              </w:rPr>
            </w:pPr>
          </w:p>
        </w:tc>
        <w:tc>
          <w:tcPr>
            <w:tcW w:w="1250" w:type="pct"/>
            <w:vAlign w:val="center"/>
          </w:tcPr>
          <w:p w14:paraId="305AE1EC">
            <w:pPr>
              <w:rPr>
                <w:rFonts w:ascii="仿宋" w:hAnsi="仿宋" w:eastAsia="仿宋" w:cs="仿宋"/>
                <w:color w:val="000000"/>
                <w:sz w:val="22"/>
                <w:szCs w:val="22"/>
              </w:rPr>
            </w:pPr>
          </w:p>
        </w:tc>
      </w:tr>
      <w:tr w14:paraId="7E3A9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787E8066">
            <w:pPr>
              <w:rPr>
                <w:rFonts w:ascii="仿宋" w:hAnsi="仿宋" w:eastAsia="仿宋" w:cs="仿宋"/>
                <w:color w:val="000000"/>
                <w:sz w:val="22"/>
                <w:szCs w:val="22"/>
              </w:rPr>
            </w:pPr>
            <w:r>
              <w:rPr>
                <w:rFonts w:hint="eastAsia" w:ascii="仿宋" w:hAnsi="仿宋" w:eastAsia="仿宋" w:cs="仿宋"/>
                <w:color w:val="000000"/>
                <w:sz w:val="22"/>
                <w:szCs w:val="22"/>
              </w:rPr>
              <w:t>2017/12/31</w:t>
            </w:r>
          </w:p>
        </w:tc>
        <w:tc>
          <w:tcPr>
            <w:tcW w:w="1250" w:type="pct"/>
            <w:vAlign w:val="center"/>
          </w:tcPr>
          <w:p w14:paraId="5EDC75E1">
            <w:pPr>
              <w:rPr>
                <w:rFonts w:ascii="仿宋" w:hAnsi="仿宋" w:eastAsia="仿宋" w:cs="仿宋"/>
                <w:color w:val="000000"/>
                <w:sz w:val="22"/>
                <w:szCs w:val="22"/>
              </w:rPr>
            </w:pPr>
          </w:p>
        </w:tc>
        <w:tc>
          <w:tcPr>
            <w:tcW w:w="1250" w:type="pct"/>
            <w:vAlign w:val="center"/>
          </w:tcPr>
          <w:p w14:paraId="2D4F6DF5">
            <w:pPr>
              <w:rPr>
                <w:rFonts w:ascii="仿宋" w:hAnsi="仿宋" w:eastAsia="仿宋" w:cs="仿宋"/>
                <w:color w:val="000000"/>
                <w:sz w:val="22"/>
                <w:szCs w:val="22"/>
              </w:rPr>
            </w:pPr>
          </w:p>
        </w:tc>
        <w:tc>
          <w:tcPr>
            <w:tcW w:w="1250" w:type="pct"/>
            <w:vAlign w:val="center"/>
          </w:tcPr>
          <w:p w14:paraId="039AE60A">
            <w:pPr>
              <w:rPr>
                <w:rFonts w:ascii="仿宋" w:hAnsi="仿宋" w:eastAsia="仿宋" w:cs="仿宋"/>
                <w:color w:val="000000"/>
                <w:sz w:val="22"/>
                <w:szCs w:val="22"/>
              </w:rPr>
            </w:pPr>
          </w:p>
        </w:tc>
      </w:tr>
      <w:tr w14:paraId="754B5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66D5BCC0">
            <w:pPr>
              <w:rPr>
                <w:rFonts w:ascii="仿宋" w:hAnsi="仿宋" w:eastAsia="仿宋" w:cs="仿宋"/>
                <w:color w:val="000000"/>
                <w:sz w:val="22"/>
                <w:szCs w:val="22"/>
              </w:rPr>
            </w:pPr>
            <w:r>
              <w:rPr>
                <w:rFonts w:hint="eastAsia" w:ascii="仿宋" w:hAnsi="仿宋" w:eastAsia="仿宋" w:cs="仿宋"/>
                <w:color w:val="000000"/>
                <w:sz w:val="22"/>
                <w:szCs w:val="22"/>
              </w:rPr>
              <w:t>2018/6/30</w:t>
            </w:r>
          </w:p>
        </w:tc>
        <w:tc>
          <w:tcPr>
            <w:tcW w:w="1250" w:type="pct"/>
            <w:vAlign w:val="center"/>
          </w:tcPr>
          <w:p w14:paraId="617783D5">
            <w:pPr>
              <w:rPr>
                <w:rFonts w:ascii="仿宋" w:hAnsi="仿宋" w:eastAsia="仿宋" w:cs="仿宋"/>
                <w:color w:val="000000"/>
                <w:sz w:val="22"/>
                <w:szCs w:val="22"/>
              </w:rPr>
            </w:pPr>
          </w:p>
        </w:tc>
        <w:tc>
          <w:tcPr>
            <w:tcW w:w="1250" w:type="pct"/>
            <w:vAlign w:val="center"/>
          </w:tcPr>
          <w:p w14:paraId="7E098610">
            <w:pPr>
              <w:rPr>
                <w:rFonts w:ascii="仿宋" w:hAnsi="仿宋" w:eastAsia="仿宋" w:cs="仿宋"/>
                <w:color w:val="000000"/>
                <w:sz w:val="22"/>
                <w:szCs w:val="22"/>
              </w:rPr>
            </w:pPr>
          </w:p>
        </w:tc>
        <w:tc>
          <w:tcPr>
            <w:tcW w:w="1250" w:type="pct"/>
            <w:vAlign w:val="center"/>
          </w:tcPr>
          <w:p w14:paraId="63E33E86">
            <w:pPr>
              <w:rPr>
                <w:rFonts w:ascii="仿宋" w:hAnsi="仿宋" w:eastAsia="仿宋" w:cs="仿宋"/>
                <w:color w:val="000000"/>
                <w:sz w:val="22"/>
                <w:szCs w:val="22"/>
              </w:rPr>
            </w:pPr>
          </w:p>
        </w:tc>
      </w:tr>
      <w:tr w14:paraId="23887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1250" w:type="pct"/>
            <w:vAlign w:val="center"/>
          </w:tcPr>
          <w:p w14:paraId="369A6A6C">
            <w:pPr>
              <w:rPr>
                <w:rFonts w:ascii="仿宋" w:hAnsi="仿宋" w:eastAsia="仿宋" w:cs="仿宋"/>
                <w:color w:val="000000"/>
                <w:sz w:val="22"/>
                <w:szCs w:val="22"/>
              </w:rPr>
            </w:pPr>
            <w:r>
              <w:rPr>
                <w:rFonts w:hint="eastAsia" w:ascii="仿宋" w:hAnsi="仿宋" w:eastAsia="仿宋" w:cs="仿宋"/>
                <w:color w:val="000000"/>
                <w:sz w:val="22"/>
                <w:szCs w:val="22"/>
              </w:rPr>
              <w:t>2018/12/31</w:t>
            </w:r>
            <w:r>
              <w:rPr>
                <w:rStyle w:val="17"/>
                <w:rFonts w:hint="eastAsia" w:ascii="仿宋" w:hAnsi="仿宋" w:eastAsia="仿宋" w:cs="仿宋"/>
                <w:color w:val="000000"/>
                <w:sz w:val="22"/>
                <w:szCs w:val="22"/>
              </w:rPr>
              <w:footnoteReference w:id="47"/>
            </w:r>
          </w:p>
        </w:tc>
        <w:tc>
          <w:tcPr>
            <w:tcW w:w="1250" w:type="pct"/>
            <w:vAlign w:val="center"/>
          </w:tcPr>
          <w:p w14:paraId="4473F341">
            <w:pPr>
              <w:rPr>
                <w:rFonts w:ascii="仿宋" w:hAnsi="仿宋" w:eastAsia="仿宋" w:cs="仿宋"/>
                <w:color w:val="000000"/>
                <w:sz w:val="22"/>
                <w:szCs w:val="22"/>
              </w:rPr>
            </w:pPr>
          </w:p>
        </w:tc>
        <w:tc>
          <w:tcPr>
            <w:tcW w:w="1250" w:type="pct"/>
            <w:vAlign w:val="center"/>
          </w:tcPr>
          <w:p w14:paraId="7AADBC35">
            <w:pPr>
              <w:rPr>
                <w:rFonts w:ascii="仿宋" w:hAnsi="仿宋" w:eastAsia="仿宋" w:cs="仿宋"/>
                <w:color w:val="000000"/>
                <w:sz w:val="22"/>
                <w:szCs w:val="22"/>
              </w:rPr>
            </w:pPr>
          </w:p>
        </w:tc>
        <w:tc>
          <w:tcPr>
            <w:tcW w:w="1250" w:type="pct"/>
            <w:vAlign w:val="center"/>
          </w:tcPr>
          <w:p w14:paraId="76792871">
            <w:pPr>
              <w:rPr>
                <w:rFonts w:ascii="仿宋" w:hAnsi="仿宋" w:eastAsia="仿宋" w:cs="仿宋"/>
                <w:color w:val="000000"/>
                <w:sz w:val="22"/>
                <w:szCs w:val="22"/>
              </w:rPr>
            </w:pPr>
          </w:p>
        </w:tc>
      </w:tr>
    </w:tbl>
    <w:p w14:paraId="756D373F">
      <w:pPr>
        <w:jc w:val="both"/>
        <w:rPr>
          <w:rFonts w:ascii="仿宋" w:hAnsi="仿宋" w:eastAsia="仿宋" w:cs="仿宋"/>
          <w:b/>
          <w:color w:val="000000"/>
        </w:rPr>
      </w:pPr>
    </w:p>
    <w:p w14:paraId="4A5CAC66">
      <w:pPr>
        <w:jc w:val="both"/>
        <w:rPr>
          <w:rFonts w:ascii="仿宋" w:hAnsi="仿宋" w:eastAsia="仿宋" w:cs="仿宋"/>
          <w:b/>
          <w:color w:val="000000"/>
        </w:rPr>
      </w:pPr>
      <w:r>
        <w:rPr>
          <w:rFonts w:hint="eastAsia" w:ascii="仿宋" w:hAnsi="仿宋" w:eastAsia="仿宋" w:cs="仿宋"/>
          <w:b/>
          <w:color w:val="000000"/>
        </w:rPr>
        <w:t>附件13：</w:t>
      </w:r>
    </w:p>
    <w:tbl>
      <w:tblPr>
        <w:tblStyle w:val="10"/>
        <w:tblW w:w="7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9"/>
        <w:gridCol w:w="1418"/>
      </w:tblGrid>
      <w:tr w14:paraId="43EE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blHeader/>
        </w:trPr>
        <w:tc>
          <w:tcPr>
            <w:tcW w:w="6119" w:type="dxa"/>
            <w:vAlign w:val="center"/>
          </w:tcPr>
          <w:p w14:paraId="77FD58BF">
            <w:pPr>
              <w:jc w:val="center"/>
              <w:rPr>
                <w:rFonts w:ascii="仿宋" w:hAnsi="仿宋" w:eastAsia="仿宋" w:cs="仿宋"/>
                <w:b/>
                <w:color w:val="000000"/>
              </w:rPr>
            </w:pPr>
            <w:r>
              <w:rPr>
                <w:rFonts w:hint="eastAsia" w:ascii="仿宋" w:hAnsi="仿宋" w:eastAsia="仿宋" w:cs="仿宋"/>
                <w:b/>
                <w:color w:val="000000"/>
              </w:rPr>
              <w:t>重大事项披露情况</w:t>
            </w:r>
          </w:p>
        </w:tc>
        <w:tc>
          <w:tcPr>
            <w:tcW w:w="1418" w:type="dxa"/>
          </w:tcPr>
          <w:p w14:paraId="040F2E27">
            <w:pPr>
              <w:spacing w:line="480" w:lineRule="auto"/>
              <w:jc w:val="center"/>
              <w:rPr>
                <w:rFonts w:ascii="仿宋" w:hAnsi="仿宋" w:eastAsia="仿宋" w:cs="仿宋"/>
                <w:b/>
                <w:color w:val="000000"/>
              </w:rPr>
            </w:pPr>
            <w:r>
              <w:rPr>
                <w:rFonts w:hint="eastAsia" w:ascii="仿宋" w:hAnsi="仿宋" w:eastAsia="仿宋" w:cs="仿宋"/>
                <w:b/>
                <w:color w:val="000000"/>
              </w:rPr>
              <w:t>备注</w:t>
            </w:r>
          </w:p>
        </w:tc>
      </w:tr>
      <w:tr w14:paraId="1132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119" w:type="dxa"/>
            <w:vAlign w:val="center"/>
          </w:tcPr>
          <w:p w14:paraId="47039091">
            <w:pPr>
              <w:rPr>
                <w:rFonts w:ascii="仿宋" w:hAnsi="仿宋" w:eastAsia="仿宋" w:cs="仿宋"/>
                <w:color w:val="000000"/>
              </w:rPr>
            </w:pPr>
            <w:r>
              <w:rPr>
                <w:rFonts w:hint="eastAsia" w:ascii="仿宋" w:hAnsi="仿宋" w:eastAsia="仿宋" w:cs="仿宋"/>
                <w:color w:val="000000"/>
              </w:rPr>
              <w:t>年度报告期内重大事项-报告期内是否发生《指引》列明的重大事件及其他重大事件。如有，需列明重大事件发生时间、内容及披露情况；如无，需说明未发生重大事件。</w:t>
            </w:r>
          </w:p>
        </w:tc>
        <w:tc>
          <w:tcPr>
            <w:tcW w:w="1418" w:type="dxa"/>
          </w:tcPr>
          <w:p w14:paraId="77DC69E9">
            <w:pPr>
              <w:rPr>
                <w:rFonts w:ascii="仿宋" w:hAnsi="仿宋" w:eastAsia="仿宋" w:cs="仿宋"/>
                <w:color w:val="000000"/>
              </w:rPr>
            </w:pPr>
            <w:r>
              <w:rPr>
                <w:rFonts w:hint="eastAsia" w:ascii="仿宋" w:hAnsi="仿宋" w:eastAsia="仿宋" w:cs="仿宋"/>
                <w:color w:val="000000"/>
              </w:rPr>
              <w:t>仅年度受托报告填写</w:t>
            </w:r>
          </w:p>
        </w:tc>
      </w:tr>
    </w:tbl>
    <w:p w14:paraId="5C279D3E">
      <w:pPr>
        <w:rPr>
          <w:rFonts w:ascii="仿宋" w:hAnsi="仿宋" w:eastAsia="仿宋" w:cs="仿宋"/>
          <w:b/>
          <w:color w:val="000000"/>
        </w:rPr>
      </w:pPr>
      <w:r>
        <w:rPr>
          <w:rFonts w:ascii="仿宋" w:hAnsi="仿宋" w:eastAsia="仿宋" w:cs="仿宋"/>
          <w:b/>
          <w:color w:val="000000"/>
        </w:rPr>
        <w:br w:type="page"/>
      </w:r>
    </w:p>
    <w:p w14:paraId="594AA5C5">
      <w:pPr>
        <w:spacing w:line="560" w:lineRule="exact"/>
        <w:jc w:val="both"/>
        <w:rPr>
          <w:rFonts w:ascii="仿宋" w:hAnsi="仿宋" w:eastAsia="仿宋" w:cs="仿宋"/>
          <w:b/>
          <w:sz w:val="36"/>
          <w:szCs w:val="36"/>
        </w:rPr>
      </w:pPr>
      <w:r>
        <w:rPr>
          <w:rFonts w:hint="eastAsia" w:ascii="仿宋" w:hAnsi="仿宋" w:eastAsia="仿宋" w:cs="仿宋"/>
          <w:b/>
          <w:bCs/>
          <w:sz w:val="30"/>
          <w:szCs w:val="30"/>
        </w:rPr>
        <w:t>五、重大事件报告书关于XX（证券）的重大事项</w:t>
      </w:r>
      <w:r>
        <w:rPr>
          <w:rStyle w:val="17"/>
          <w:rFonts w:hint="eastAsia" w:ascii="仿宋" w:hAnsi="仿宋" w:eastAsia="仿宋" w:cs="仿宋"/>
          <w:b/>
          <w:sz w:val="36"/>
          <w:szCs w:val="36"/>
        </w:rPr>
        <w:footnoteReference w:id="48"/>
      </w:r>
      <w:r>
        <w:rPr>
          <w:rFonts w:hint="eastAsia" w:ascii="仿宋" w:hAnsi="仿宋" w:eastAsia="仿宋" w:cs="仿宋"/>
          <w:b/>
          <w:bCs/>
          <w:sz w:val="30"/>
          <w:szCs w:val="30"/>
        </w:rPr>
        <w:t>公告</w:t>
      </w:r>
    </w:p>
    <w:p w14:paraId="1A559A73">
      <w:pPr>
        <w:jc w:val="both"/>
        <w:rPr>
          <w:rFonts w:ascii="仿宋" w:hAnsi="仿宋" w:eastAsia="仿宋" w:cs="仿宋"/>
          <w:b/>
          <w:bCs/>
          <w:sz w:val="30"/>
          <w:szCs w:val="30"/>
        </w:rPr>
      </w:pPr>
    </w:p>
    <w:tbl>
      <w:tblPr>
        <w:tblStyle w:val="10"/>
        <w:tblW w:w="842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4976"/>
        <w:gridCol w:w="851"/>
        <w:gridCol w:w="1184"/>
      </w:tblGrid>
      <w:tr w14:paraId="470F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418" w:type="dxa"/>
            <w:noWrap/>
            <w:vAlign w:val="center"/>
          </w:tcPr>
          <w:p w14:paraId="1B655F62">
            <w:pPr>
              <w:rPr>
                <w:rFonts w:ascii="仿宋" w:hAnsi="仿宋" w:eastAsia="仿宋" w:cs="仿宋"/>
                <w:color w:val="000000"/>
              </w:rPr>
            </w:pPr>
            <w:r>
              <w:rPr>
                <w:rFonts w:hint="eastAsia" w:ascii="仿宋" w:hAnsi="仿宋" w:eastAsia="仿宋" w:cs="仿宋"/>
                <w:color w:val="000000"/>
              </w:rPr>
              <w:t>序号</w:t>
            </w:r>
          </w:p>
        </w:tc>
        <w:tc>
          <w:tcPr>
            <w:tcW w:w="4976" w:type="dxa"/>
            <w:noWrap/>
            <w:vAlign w:val="center"/>
          </w:tcPr>
          <w:p w14:paraId="1C5AC897">
            <w:pPr>
              <w:rPr>
                <w:rFonts w:ascii="仿宋" w:hAnsi="仿宋" w:eastAsia="仿宋" w:cs="仿宋"/>
                <w:color w:val="000000"/>
              </w:rPr>
            </w:pPr>
            <w:r>
              <w:rPr>
                <w:rFonts w:hint="eastAsia" w:ascii="仿宋" w:hAnsi="仿宋" w:eastAsia="仿宋" w:cs="仿宋"/>
                <w:color w:val="000000"/>
              </w:rPr>
              <w:t>内容</w:t>
            </w:r>
          </w:p>
        </w:tc>
        <w:tc>
          <w:tcPr>
            <w:tcW w:w="851" w:type="dxa"/>
            <w:noWrap/>
          </w:tcPr>
          <w:p w14:paraId="489D6D42">
            <w:pPr>
              <w:rPr>
                <w:rFonts w:ascii="仿宋" w:hAnsi="仿宋" w:eastAsia="仿宋" w:cs="仿宋"/>
                <w:color w:val="000000"/>
              </w:rPr>
            </w:pPr>
            <w:r>
              <w:rPr>
                <w:rFonts w:hint="eastAsia" w:ascii="仿宋" w:hAnsi="仿宋" w:eastAsia="仿宋" w:cs="仿宋"/>
                <w:color w:val="000000"/>
              </w:rPr>
              <w:t>页码</w:t>
            </w:r>
          </w:p>
        </w:tc>
        <w:tc>
          <w:tcPr>
            <w:tcW w:w="1184" w:type="dxa"/>
          </w:tcPr>
          <w:p w14:paraId="7FF543B3">
            <w:pPr>
              <w:rPr>
                <w:rFonts w:ascii="仿宋" w:hAnsi="仿宋" w:eastAsia="仿宋" w:cs="仿宋"/>
                <w:color w:val="000000"/>
              </w:rPr>
            </w:pPr>
            <w:r>
              <w:rPr>
                <w:rFonts w:hint="eastAsia" w:ascii="仿宋" w:hAnsi="仿宋" w:eastAsia="仿宋" w:cs="仿宋"/>
                <w:color w:val="000000"/>
              </w:rPr>
              <w:t>标注</w:t>
            </w:r>
          </w:p>
        </w:tc>
      </w:tr>
      <w:tr w14:paraId="3459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18" w:type="dxa"/>
            <w:noWrap/>
            <w:vAlign w:val="center"/>
          </w:tcPr>
          <w:p w14:paraId="3A49EFBB">
            <w:pPr>
              <w:rPr>
                <w:rFonts w:ascii="仿宋" w:hAnsi="仿宋" w:eastAsia="仿宋" w:cs="仿宋"/>
                <w:b/>
                <w:color w:val="000000"/>
              </w:rPr>
            </w:pPr>
            <w:r>
              <w:rPr>
                <w:rFonts w:hint="eastAsia" w:ascii="仿宋" w:hAnsi="仿宋" w:eastAsia="仿宋" w:cs="仿宋"/>
                <w:b/>
                <w:color w:val="000000"/>
              </w:rPr>
              <w:t>E-1</w:t>
            </w:r>
          </w:p>
        </w:tc>
        <w:tc>
          <w:tcPr>
            <w:tcW w:w="4976" w:type="dxa"/>
            <w:vAlign w:val="center"/>
          </w:tcPr>
          <w:p w14:paraId="219A6D9A">
            <w:pPr>
              <w:rPr>
                <w:rFonts w:ascii="仿宋" w:hAnsi="仿宋" w:eastAsia="仿宋" w:cs="仿宋"/>
                <w:b/>
                <w:color w:val="000000"/>
              </w:rPr>
            </w:pPr>
            <w:r>
              <w:rPr>
                <w:rFonts w:hint="eastAsia" w:ascii="仿宋" w:hAnsi="仿宋" w:eastAsia="仿宋" w:cs="仿宋"/>
                <w:b/>
                <w:color w:val="000000"/>
              </w:rPr>
              <w:t>资产存续期重大事项</w:t>
            </w:r>
          </w:p>
        </w:tc>
        <w:tc>
          <w:tcPr>
            <w:tcW w:w="851" w:type="dxa"/>
            <w:noWrap/>
            <w:vAlign w:val="center"/>
          </w:tcPr>
          <w:p w14:paraId="659C54F4">
            <w:pPr>
              <w:rPr>
                <w:rFonts w:ascii="仿宋" w:hAnsi="仿宋" w:eastAsia="仿宋" w:cs="仿宋"/>
                <w:b/>
                <w:color w:val="000000"/>
              </w:rPr>
            </w:pPr>
          </w:p>
        </w:tc>
        <w:tc>
          <w:tcPr>
            <w:tcW w:w="1184" w:type="dxa"/>
          </w:tcPr>
          <w:p w14:paraId="3E165521">
            <w:pPr>
              <w:rPr>
                <w:rFonts w:ascii="仿宋" w:hAnsi="仿宋" w:eastAsia="仿宋" w:cs="仿宋"/>
                <w:b/>
                <w:color w:val="000000"/>
              </w:rPr>
            </w:pPr>
          </w:p>
        </w:tc>
      </w:tr>
      <w:tr w14:paraId="6E1F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trPr>
        <w:tc>
          <w:tcPr>
            <w:tcW w:w="1418" w:type="dxa"/>
            <w:noWrap/>
            <w:vAlign w:val="center"/>
          </w:tcPr>
          <w:p w14:paraId="5BE9D50A">
            <w:pPr>
              <w:rPr>
                <w:rFonts w:ascii="仿宋" w:hAnsi="仿宋" w:eastAsia="仿宋" w:cs="仿宋"/>
                <w:color w:val="000000"/>
              </w:rPr>
            </w:pPr>
            <w:r>
              <w:rPr>
                <w:rFonts w:hint="eastAsia" w:ascii="仿宋" w:hAnsi="仿宋" w:eastAsia="仿宋" w:cs="仿宋"/>
                <w:color w:val="000000"/>
              </w:rPr>
              <w:t>E-1-1</w:t>
            </w:r>
          </w:p>
        </w:tc>
        <w:tc>
          <w:tcPr>
            <w:tcW w:w="4976" w:type="dxa"/>
            <w:vAlign w:val="center"/>
          </w:tcPr>
          <w:p w14:paraId="7DB1B9EC">
            <w:pPr>
              <w:rPr>
                <w:rFonts w:ascii="仿宋" w:hAnsi="仿宋" w:eastAsia="仿宋" w:cs="仿宋"/>
                <w:color w:val="000000"/>
              </w:rPr>
            </w:pPr>
            <w:r>
              <w:rPr>
                <w:rFonts w:hint="eastAsia" w:ascii="仿宋" w:hAnsi="仿宋" w:eastAsia="仿宋" w:cs="仿宋"/>
                <w:b/>
                <w:color w:val="000000"/>
              </w:rPr>
              <w:t>证券基本信息：</w:t>
            </w:r>
            <w:r>
              <w:rPr>
                <w:rFonts w:hint="eastAsia" w:ascii="仿宋" w:hAnsi="仿宋" w:eastAsia="仿宋" w:cs="仿宋"/>
                <w:color w:val="000000"/>
              </w:rPr>
              <w:t>证券代码、证券简称、发起机构、受托机构、中介机构以及证券发行基本信息。</w:t>
            </w:r>
          </w:p>
          <w:p w14:paraId="63CEAECC">
            <w:pPr>
              <w:rPr>
                <w:rFonts w:ascii="仿宋" w:hAnsi="仿宋" w:eastAsia="仿宋" w:cs="仿宋"/>
                <w:b/>
                <w:color w:val="000000"/>
              </w:rPr>
            </w:pPr>
            <w:r>
              <w:rPr>
                <w:rFonts w:hint="eastAsia" w:ascii="仿宋" w:hAnsi="仿宋" w:eastAsia="仿宋" w:cs="仿宋"/>
                <w:b/>
                <w:color w:val="000000"/>
              </w:rPr>
              <w:t>披露内容：</w:t>
            </w:r>
          </w:p>
          <w:p w14:paraId="23A14FA9">
            <w:pPr>
              <w:rPr>
                <w:rFonts w:ascii="仿宋" w:hAnsi="仿宋" w:eastAsia="仿宋" w:cs="仿宋"/>
                <w:color w:val="000000"/>
              </w:rPr>
            </w:pPr>
            <w:r>
              <w:rPr>
                <w:rFonts w:hint="eastAsia" w:ascii="仿宋" w:hAnsi="仿宋" w:eastAsia="仿宋" w:cs="仿宋"/>
                <w:color w:val="000000"/>
              </w:rPr>
              <w:t>（1）重大事项内容；</w:t>
            </w:r>
          </w:p>
          <w:p w14:paraId="6AE34DCC">
            <w:pPr>
              <w:rPr>
                <w:rFonts w:ascii="仿宋" w:hAnsi="仿宋" w:eastAsia="仿宋" w:cs="仿宋"/>
                <w:color w:val="000000"/>
              </w:rPr>
            </w:pPr>
            <w:r>
              <w:rPr>
                <w:rFonts w:hint="eastAsia" w:ascii="仿宋" w:hAnsi="仿宋" w:eastAsia="仿宋" w:cs="仿宋"/>
                <w:color w:val="000000"/>
              </w:rPr>
              <w:t>（2）重大事项影响分析（如有）；</w:t>
            </w:r>
          </w:p>
          <w:p w14:paraId="281326D0">
            <w:pPr>
              <w:rPr>
                <w:rFonts w:ascii="仿宋" w:hAnsi="仿宋" w:eastAsia="仿宋" w:cs="仿宋"/>
                <w:color w:val="000000"/>
              </w:rPr>
            </w:pPr>
            <w:r>
              <w:rPr>
                <w:rFonts w:hint="eastAsia" w:ascii="仿宋" w:hAnsi="仿宋" w:eastAsia="仿宋" w:cs="仿宋"/>
                <w:color w:val="000000"/>
              </w:rPr>
              <w:t>（3）后续处置安排（如有）。</w:t>
            </w:r>
          </w:p>
        </w:tc>
        <w:tc>
          <w:tcPr>
            <w:tcW w:w="851" w:type="dxa"/>
            <w:noWrap/>
            <w:vAlign w:val="center"/>
          </w:tcPr>
          <w:p w14:paraId="5CCEB8C8">
            <w:pPr>
              <w:rPr>
                <w:rFonts w:ascii="仿宋" w:hAnsi="仿宋" w:eastAsia="仿宋" w:cs="仿宋"/>
                <w:color w:val="000000"/>
              </w:rPr>
            </w:pPr>
          </w:p>
        </w:tc>
        <w:tc>
          <w:tcPr>
            <w:tcW w:w="1184" w:type="dxa"/>
          </w:tcPr>
          <w:p w14:paraId="0D4F94F7">
            <w:pPr>
              <w:rPr>
                <w:rFonts w:ascii="仿宋" w:hAnsi="仿宋" w:eastAsia="仿宋" w:cs="仿宋"/>
                <w:color w:val="000000"/>
              </w:rPr>
            </w:pPr>
            <w:r>
              <w:rPr>
                <w:rFonts w:hint="eastAsia" w:ascii="仿宋" w:hAnsi="仿宋" w:eastAsia="仿宋" w:cs="仿宋"/>
                <w:color w:val="000000"/>
              </w:rPr>
              <w:t>见附件1</w:t>
            </w:r>
          </w:p>
        </w:tc>
      </w:tr>
    </w:tbl>
    <w:p w14:paraId="35BB139A">
      <w:pPr>
        <w:rPr>
          <w:rFonts w:ascii="仿宋" w:hAnsi="仿宋" w:eastAsia="仿宋" w:cs="仿宋"/>
          <w:color w:val="000000"/>
        </w:rPr>
      </w:pPr>
    </w:p>
    <w:p w14:paraId="3DCE6F72">
      <w:pPr>
        <w:rPr>
          <w:rFonts w:ascii="仿宋" w:hAnsi="仿宋" w:eastAsia="仿宋" w:cs="仿宋"/>
          <w:color w:val="000000"/>
        </w:rPr>
      </w:pPr>
    </w:p>
    <w:p w14:paraId="796788B4">
      <w:pPr>
        <w:rPr>
          <w:rFonts w:ascii="仿宋" w:hAnsi="仿宋" w:eastAsia="仿宋" w:cs="仿宋"/>
          <w:b/>
          <w:color w:val="000000"/>
        </w:rPr>
      </w:pPr>
      <w:r>
        <w:rPr>
          <w:rFonts w:hint="eastAsia" w:ascii="仿宋" w:hAnsi="仿宋" w:eastAsia="仿宋" w:cs="仿宋"/>
          <w:b/>
          <w:color w:val="000000"/>
        </w:rPr>
        <w:t>附件1：</w:t>
      </w:r>
    </w:p>
    <w:p w14:paraId="75EB7B42">
      <w:pPr>
        <w:spacing w:line="560" w:lineRule="exact"/>
        <w:jc w:val="center"/>
        <w:rPr>
          <w:rFonts w:ascii="仿宋" w:hAnsi="仿宋" w:eastAsia="仿宋" w:cs="仿宋"/>
          <w:b/>
          <w:sz w:val="36"/>
          <w:szCs w:val="36"/>
        </w:rPr>
      </w:pPr>
      <w:r>
        <w:rPr>
          <w:rFonts w:hint="eastAsia" w:ascii="仿宋" w:hAnsi="仿宋" w:eastAsia="仿宋" w:cs="仿宋"/>
          <w:b/>
          <w:sz w:val="36"/>
          <w:szCs w:val="36"/>
        </w:rPr>
        <w:t>关于XX（证券）的重大事项公告</w:t>
      </w:r>
    </w:p>
    <w:p w14:paraId="6F286974">
      <w:pPr>
        <w:spacing w:line="560" w:lineRule="exact"/>
        <w:rPr>
          <w:rFonts w:ascii="仿宋" w:hAnsi="仿宋" w:eastAsia="仿宋" w:cs="仿宋"/>
          <w:sz w:val="30"/>
          <w:szCs w:val="30"/>
        </w:rPr>
      </w:pPr>
    </w:p>
    <w:tbl>
      <w:tblPr>
        <w:tblStyle w:val="10"/>
        <w:tblW w:w="84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7427"/>
      </w:tblGrid>
      <w:tr w14:paraId="5BEE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993" w:type="dxa"/>
            <w:vMerge w:val="restart"/>
            <w:vAlign w:val="center"/>
          </w:tcPr>
          <w:p w14:paraId="2716EB21">
            <w:pPr>
              <w:jc w:val="center"/>
              <w:rPr>
                <w:rFonts w:ascii="仿宋" w:hAnsi="仿宋" w:eastAsia="仿宋" w:cs="仿宋"/>
                <w:b/>
                <w:color w:val="000000"/>
              </w:rPr>
            </w:pPr>
            <w:r>
              <w:rPr>
                <w:rFonts w:hint="eastAsia" w:ascii="仿宋" w:hAnsi="仿宋" w:eastAsia="仿宋" w:cs="仿宋"/>
                <w:b/>
                <w:color w:val="000000"/>
              </w:rPr>
              <w:t>序号</w:t>
            </w:r>
          </w:p>
        </w:tc>
        <w:tc>
          <w:tcPr>
            <w:tcW w:w="7427" w:type="dxa"/>
            <w:vMerge w:val="restart"/>
            <w:vAlign w:val="center"/>
          </w:tcPr>
          <w:p w14:paraId="6476F752">
            <w:pPr>
              <w:jc w:val="center"/>
              <w:rPr>
                <w:rFonts w:ascii="仿宋" w:hAnsi="仿宋" w:eastAsia="仿宋" w:cs="仿宋"/>
                <w:b/>
                <w:color w:val="000000"/>
              </w:rPr>
            </w:pPr>
            <w:r>
              <w:rPr>
                <w:rFonts w:hint="eastAsia" w:ascii="仿宋" w:hAnsi="仿宋" w:eastAsia="仿宋" w:cs="仿宋"/>
                <w:b/>
                <w:color w:val="000000"/>
              </w:rPr>
              <w:t>内容</w:t>
            </w:r>
          </w:p>
        </w:tc>
      </w:tr>
      <w:tr w14:paraId="7D4B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blHeader/>
        </w:trPr>
        <w:tc>
          <w:tcPr>
            <w:tcW w:w="993" w:type="dxa"/>
            <w:vMerge w:val="continue"/>
            <w:vAlign w:val="center"/>
          </w:tcPr>
          <w:p w14:paraId="7E9ABCA5">
            <w:pPr>
              <w:jc w:val="center"/>
              <w:rPr>
                <w:rFonts w:ascii="仿宋" w:hAnsi="仿宋" w:eastAsia="仿宋" w:cs="仿宋"/>
                <w:bCs/>
                <w:color w:val="000000"/>
              </w:rPr>
            </w:pPr>
          </w:p>
        </w:tc>
        <w:tc>
          <w:tcPr>
            <w:tcW w:w="7427" w:type="dxa"/>
            <w:vMerge w:val="continue"/>
            <w:vAlign w:val="center"/>
          </w:tcPr>
          <w:p w14:paraId="0BF41B99">
            <w:pPr>
              <w:jc w:val="center"/>
              <w:rPr>
                <w:rFonts w:ascii="仿宋" w:hAnsi="仿宋" w:eastAsia="仿宋" w:cs="仿宋"/>
                <w:bCs/>
                <w:color w:val="000000"/>
              </w:rPr>
            </w:pPr>
          </w:p>
        </w:tc>
      </w:tr>
      <w:tr w14:paraId="6933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93" w:type="dxa"/>
            <w:vMerge w:val="restart"/>
            <w:vAlign w:val="center"/>
          </w:tcPr>
          <w:p w14:paraId="32207DA2">
            <w:pPr>
              <w:jc w:val="center"/>
              <w:rPr>
                <w:rFonts w:ascii="仿宋" w:hAnsi="仿宋" w:eastAsia="仿宋" w:cs="仿宋"/>
                <w:b/>
                <w:color w:val="000000"/>
              </w:rPr>
            </w:pPr>
            <w:r>
              <w:rPr>
                <w:rFonts w:hint="eastAsia" w:ascii="仿宋" w:hAnsi="仿宋" w:eastAsia="仿宋" w:cs="仿宋"/>
                <w:b/>
                <w:color w:val="000000"/>
              </w:rPr>
              <w:t>1</w:t>
            </w:r>
          </w:p>
        </w:tc>
        <w:tc>
          <w:tcPr>
            <w:tcW w:w="7427" w:type="dxa"/>
            <w:vAlign w:val="center"/>
          </w:tcPr>
          <w:p w14:paraId="6D970D59">
            <w:pPr>
              <w:rPr>
                <w:rFonts w:ascii="仿宋" w:hAnsi="仿宋" w:eastAsia="仿宋" w:cs="仿宋"/>
                <w:b/>
                <w:color w:val="000000"/>
              </w:rPr>
            </w:pPr>
            <w:r>
              <w:rPr>
                <w:rFonts w:hint="eastAsia" w:ascii="仿宋" w:hAnsi="仿宋" w:eastAsia="仿宋" w:cs="仿宋"/>
                <w:b/>
                <w:color w:val="000000"/>
              </w:rPr>
              <w:t>证券基本信息</w:t>
            </w:r>
          </w:p>
        </w:tc>
      </w:tr>
      <w:tr w14:paraId="00C5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93" w:type="dxa"/>
            <w:vMerge w:val="continue"/>
            <w:vAlign w:val="center"/>
          </w:tcPr>
          <w:p w14:paraId="412D2575">
            <w:pPr>
              <w:jc w:val="center"/>
              <w:rPr>
                <w:rFonts w:ascii="仿宋" w:hAnsi="仿宋" w:eastAsia="仿宋" w:cs="仿宋"/>
                <w:b/>
                <w:color w:val="000000"/>
              </w:rPr>
            </w:pPr>
          </w:p>
        </w:tc>
        <w:tc>
          <w:tcPr>
            <w:tcW w:w="7427" w:type="dxa"/>
            <w:vAlign w:val="center"/>
          </w:tcPr>
          <w:p w14:paraId="4E1573D6">
            <w:pPr>
              <w:rPr>
                <w:rFonts w:ascii="仿宋" w:hAnsi="仿宋" w:eastAsia="仿宋" w:cs="仿宋"/>
                <w:color w:val="000000"/>
              </w:rPr>
            </w:pPr>
            <w:r>
              <w:rPr>
                <w:rFonts w:hint="eastAsia" w:ascii="仿宋" w:hAnsi="仿宋" w:eastAsia="仿宋" w:cs="仿宋"/>
                <w:color w:val="000000"/>
              </w:rPr>
              <w:t>证券代码、证券简称、发起机构、受托机构、中介机构以及证券发行基本信息。</w:t>
            </w:r>
          </w:p>
        </w:tc>
      </w:tr>
      <w:tr w14:paraId="42A0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93" w:type="dxa"/>
            <w:vMerge w:val="restart"/>
            <w:vAlign w:val="center"/>
          </w:tcPr>
          <w:p w14:paraId="16EDD810">
            <w:pPr>
              <w:jc w:val="center"/>
              <w:rPr>
                <w:rFonts w:ascii="仿宋" w:hAnsi="仿宋" w:eastAsia="仿宋" w:cs="仿宋"/>
                <w:b/>
                <w:color w:val="000000"/>
              </w:rPr>
            </w:pPr>
            <w:r>
              <w:rPr>
                <w:rFonts w:hint="eastAsia" w:ascii="仿宋" w:hAnsi="仿宋" w:eastAsia="仿宋" w:cs="仿宋"/>
                <w:b/>
                <w:color w:val="000000"/>
              </w:rPr>
              <w:t>2</w:t>
            </w:r>
          </w:p>
        </w:tc>
        <w:tc>
          <w:tcPr>
            <w:tcW w:w="7427" w:type="dxa"/>
            <w:vAlign w:val="center"/>
          </w:tcPr>
          <w:p w14:paraId="6AABD0F8">
            <w:pPr>
              <w:rPr>
                <w:rFonts w:ascii="仿宋" w:hAnsi="仿宋" w:eastAsia="仿宋" w:cs="仿宋"/>
                <w:b/>
                <w:color w:val="000000"/>
              </w:rPr>
            </w:pPr>
            <w:r>
              <w:rPr>
                <w:rFonts w:hint="eastAsia" w:ascii="仿宋" w:hAnsi="仿宋" w:eastAsia="仿宋" w:cs="仿宋"/>
                <w:b/>
                <w:color w:val="000000"/>
              </w:rPr>
              <w:t>披露内容</w:t>
            </w:r>
          </w:p>
        </w:tc>
      </w:tr>
      <w:tr w14:paraId="32C0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993" w:type="dxa"/>
            <w:vMerge w:val="continue"/>
            <w:vAlign w:val="center"/>
          </w:tcPr>
          <w:p w14:paraId="254B7FFB">
            <w:pPr>
              <w:jc w:val="center"/>
              <w:rPr>
                <w:rFonts w:ascii="仿宋" w:hAnsi="仿宋" w:eastAsia="仿宋" w:cs="仿宋"/>
                <w:b/>
                <w:color w:val="000000"/>
              </w:rPr>
            </w:pPr>
          </w:p>
        </w:tc>
        <w:tc>
          <w:tcPr>
            <w:tcW w:w="7427" w:type="dxa"/>
            <w:vAlign w:val="center"/>
          </w:tcPr>
          <w:p w14:paraId="58D9F364">
            <w:pPr>
              <w:rPr>
                <w:rFonts w:ascii="仿宋" w:hAnsi="仿宋" w:eastAsia="仿宋" w:cs="仿宋"/>
                <w:color w:val="000000"/>
              </w:rPr>
            </w:pPr>
            <w:r>
              <w:rPr>
                <w:rFonts w:hint="eastAsia" w:ascii="仿宋" w:hAnsi="仿宋" w:eastAsia="仿宋" w:cs="仿宋"/>
                <w:color w:val="000000"/>
              </w:rPr>
              <w:t>（1）重大事项内容；</w:t>
            </w:r>
          </w:p>
          <w:p w14:paraId="2200EADB">
            <w:pPr>
              <w:rPr>
                <w:rFonts w:ascii="仿宋" w:hAnsi="仿宋" w:eastAsia="仿宋" w:cs="仿宋"/>
                <w:color w:val="000000"/>
              </w:rPr>
            </w:pPr>
            <w:r>
              <w:rPr>
                <w:rFonts w:hint="eastAsia" w:ascii="仿宋" w:hAnsi="仿宋" w:eastAsia="仿宋" w:cs="仿宋"/>
                <w:color w:val="000000"/>
              </w:rPr>
              <w:t>（2）重大事项影响分析（如有）；</w:t>
            </w:r>
          </w:p>
          <w:p w14:paraId="03B38569">
            <w:pPr>
              <w:rPr>
                <w:rFonts w:ascii="仿宋" w:hAnsi="仿宋" w:eastAsia="仿宋" w:cs="仿宋"/>
                <w:color w:val="000000"/>
              </w:rPr>
            </w:pPr>
            <w:r>
              <w:rPr>
                <w:rFonts w:hint="eastAsia" w:ascii="仿宋" w:hAnsi="仿宋" w:eastAsia="仿宋" w:cs="仿宋"/>
                <w:color w:val="000000"/>
              </w:rPr>
              <w:t>（3）后续处置安排（如有）。</w:t>
            </w:r>
          </w:p>
        </w:tc>
      </w:tr>
    </w:tbl>
    <w:p w14:paraId="4EB4E2EC">
      <w:pPr>
        <w:spacing w:line="560" w:lineRule="exact"/>
        <w:rPr>
          <w:rFonts w:ascii="仿宋" w:hAnsi="仿宋" w:eastAsia="仿宋" w:cs="仿宋"/>
          <w:sz w:val="30"/>
          <w:szCs w:val="30"/>
        </w:rPr>
      </w:pPr>
    </w:p>
    <w:p w14:paraId="03767E73">
      <w:pPr>
        <w:rPr>
          <w:rFonts w:ascii="仿宋" w:hAnsi="仿宋" w:eastAsia="仿宋" w:cs="仿宋"/>
          <w:color w:val="000000"/>
        </w:rPr>
      </w:pPr>
    </w:p>
    <w:p w14:paraId="650BFD20">
      <w:pPr>
        <w:rPr>
          <w:rFonts w:ascii="仿宋" w:hAnsi="仿宋" w:eastAsia="仿宋" w:cs="仿宋"/>
          <w:color w:val="000000"/>
        </w:rPr>
      </w:pPr>
    </w:p>
    <w:p w14:paraId="0F3FCE7B">
      <w:pPr>
        <w:rPr>
          <w:rFonts w:ascii="仿宋" w:hAnsi="仿宋" w:eastAsia="仿宋" w:cs="仿宋"/>
          <w:color w:val="000000"/>
        </w:rPr>
      </w:pPr>
    </w:p>
    <w:sectPr>
      <w:footerReference r:id="rId6" w:type="default"/>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733DB78D-C40D-4D79-BC56-F217618436D7}"/>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2F2E">
    <w:pPr>
      <w:pStyle w:val="5"/>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30</w:t>
    </w:r>
    <w:r>
      <w:rPr>
        <w:rStyle w:val="15"/>
      </w:rPr>
      <w:fldChar w:fldCharType="end"/>
    </w:r>
  </w:p>
  <w:p w14:paraId="494E849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901C1">
    <w:pPr>
      <w:pStyle w:val="5"/>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24</w:t>
    </w:r>
    <w:r>
      <w:rPr>
        <w:rStyle w:val="15"/>
      </w:rPr>
      <w:fldChar w:fldCharType="end"/>
    </w:r>
  </w:p>
  <w:p w14:paraId="5FE2B27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99779"/>
    </w:sdtPr>
    <w:sdtContent>
      <w:p w14:paraId="0FE14A3A">
        <w:pPr>
          <w:pStyle w:val="5"/>
          <w:jc w:val="right"/>
        </w:pPr>
        <w:r>
          <w:fldChar w:fldCharType="begin"/>
        </w:r>
        <w:r>
          <w:instrText xml:space="preserve"> PAGE   \* MERGEFORMAT </w:instrText>
        </w:r>
        <w:r>
          <w:fldChar w:fldCharType="separate"/>
        </w:r>
        <w:r>
          <w:rPr>
            <w:lang w:val="zh-CN"/>
          </w:rPr>
          <w:t>34</w:t>
        </w:r>
        <w:r>
          <w:rPr>
            <w:lang w:val="zh-CN"/>
          </w:rPr>
          <w:fldChar w:fldCharType="end"/>
        </w:r>
      </w:p>
    </w:sdtContent>
  </w:sdt>
  <w:p w14:paraId="0DDC04C7">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99780"/>
    </w:sdtPr>
    <w:sdtContent>
      <w:p w14:paraId="726D8070">
        <w:pPr>
          <w:pStyle w:val="5"/>
        </w:pPr>
        <w:r>
          <w:fldChar w:fldCharType="begin"/>
        </w:r>
        <w:r>
          <w:instrText xml:space="preserve"> PAGE   \* MERGEFORMAT </w:instrText>
        </w:r>
        <w:r>
          <w:fldChar w:fldCharType="separate"/>
        </w:r>
        <w:r>
          <w:rPr>
            <w:lang w:val="zh-CN"/>
          </w:rPr>
          <w:t>34</w:t>
        </w:r>
        <w:r>
          <w:rPr>
            <w:lang w:val="zh-CN"/>
          </w:rPr>
          <w:fldChar w:fldCharType="end"/>
        </w:r>
      </w:p>
    </w:sdtContent>
  </w:sdt>
  <w:p w14:paraId="72645DED">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98">
    <w:p>
      <w:r>
        <w:separator/>
      </w:r>
    </w:p>
  </w:footnote>
  <w:footnote w:type="continuationSeparator" w:id="99">
    <w:p>
      <w:r>
        <w:continuationSeparator/>
      </w:r>
    </w:p>
  </w:footnote>
  <w:footnote w:id="0">
    <w:p w14:paraId="13E941E8">
      <w:pPr>
        <w:pStyle w:val="7"/>
        <w:rPr>
          <w:highlight w:val="none"/>
        </w:rPr>
      </w:pPr>
      <w:r>
        <w:rPr>
          <w:rStyle w:val="17"/>
          <w:highlight w:val="none"/>
        </w:rPr>
        <w:footnoteRef/>
      </w:r>
      <w:r>
        <w:rPr>
          <w:highlight w:val="none"/>
        </w:rPr>
        <w:t xml:space="preserve"> </w:t>
      </w:r>
      <w:bookmarkStart w:id="11" w:name="OLE_LINK2"/>
      <w:r>
        <w:rPr>
          <w:rFonts w:hint="eastAsia"/>
          <w:highlight w:val="none"/>
        </w:rPr>
        <w:t>若无特殊情况，资产回收现金流的更新预测逻辑应与初始发行时点保持一致</w:t>
      </w:r>
      <w:bookmarkEnd w:id="11"/>
      <w:r>
        <w:rPr>
          <w:rFonts w:hint="eastAsia"/>
          <w:highlight w:val="none"/>
        </w:rPr>
        <w:t>，</w:t>
      </w:r>
      <w:bookmarkStart w:id="12" w:name="OLE_LINK3"/>
      <w:r>
        <w:rPr>
          <w:rFonts w:hint="eastAsia"/>
          <w:highlight w:val="none"/>
        </w:rPr>
        <w:t>更新预测频率及现金流预测机构根据基础资产类型或参与机构需求确定</w:t>
      </w:r>
      <w:bookmarkEnd w:id="12"/>
      <w:r>
        <w:rPr>
          <w:rFonts w:hint="eastAsia"/>
          <w:highlight w:val="none"/>
        </w:rPr>
        <w:t>。</w:t>
      </w:r>
    </w:p>
  </w:footnote>
  <w:footnote w:id="1">
    <w:p w14:paraId="1DF92879">
      <w:pPr>
        <w:pStyle w:val="7"/>
        <w:snapToGrid w:val="0"/>
      </w:pPr>
      <w:r>
        <w:rPr>
          <w:rStyle w:val="17"/>
        </w:rPr>
        <w:footnoteRef/>
      </w:r>
      <w:r>
        <w:t xml:space="preserve"> </w:t>
      </w:r>
      <w:r>
        <w:rPr>
          <w:rFonts w:hint="eastAsia"/>
        </w:rPr>
        <w:t>本章参与机构信息受托机构可在注册申请报告、发行说明书中选择其一进行披露，原则上为了提高发行效率本章内容应在注册申请报告中披露，若注册环节时内容不确定可放到发行环节披露，其中有关受托机构的选任标准及程序和受托机构名称需要在注册环节披露；在发行环节发生变化的，需要在发行说明书中补充披露，在表格体系备注中说明，并将变化部分向监管机构报备。</w:t>
      </w:r>
    </w:p>
  </w:footnote>
  <w:footnote w:id="2">
    <w:p w14:paraId="286E48F1">
      <w:pPr>
        <w:pStyle w:val="7"/>
      </w:pPr>
      <w:r>
        <w:rPr>
          <w:rStyle w:val="17"/>
        </w:rPr>
        <w:footnoteRef/>
      </w:r>
      <w:r>
        <w:rPr>
          <w:rFonts w:hint="eastAsia"/>
        </w:rPr>
        <w:t>根据本次发行的不良贷款所属种类，披露相应种类的贷款管理办法摘要</w:t>
      </w:r>
    </w:p>
  </w:footnote>
  <w:footnote w:id="3">
    <w:p w14:paraId="5CC7BF52">
      <w:pPr>
        <w:pStyle w:val="7"/>
      </w:pPr>
      <w:r>
        <w:rPr>
          <w:rStyle w:val="17"/>
        </w:rPr>
        <w:footnoteRef/>
      </w:r>
      <w:r>
        <w:rPr>
          <w:rFonts w:hint="eastAsia"/>
        </w:rPr>
        <w:t>经营不足五年的，应提供自开始经营时的完整数据。</w:t>
      </w:r>
    </w:p>
  </w:footnote>
  <w:footnote w:id="4">
    <w:p w14:paraId="227BE0BA">
      <w:pPr>
        <w:pStyle w:val="7"/>
      </w:pPr>
      <w:r>
        <w:rPr>
          <w:rStyle w:val="17"/>
        </w:rPr>
        <w:footnoteRef/>
      </w:r>
      <w:r>
        <w:rPr>
          <w:rFonts w:hint="eastAsia"/>
        </w:rPr>
        <w:t>“相关”指提供的历史数据应与证券化的不良贷款具有一致或相似的特征，相关特征可包括贷款种类、区域分布、不良贷款来源等多个维度或部分维度。</w:t>
      </w:r>
    </w:p>
  </w:footnote>
  <w:footnote w:id="5">
    <w:p w14:paraId="60764C67">
      <w:pPr>
        <w:pStyle w:val="7"/>
      </w:pPr>
      <w:r>
        <w:rPr>
          <w:rStyle w:val="17"/>
        </w:rPr>
        <w:footnoteRef/>
      </w:r>
      <w:r>
        <w:rPr>
          <w:rFonts w:hint="eastAsia"/>
        </w:rPr>
        <w:t>提供不良率的计算公式。</w:t>
      </w:r>
    </w:p>
  </w:footnote>
  <w:footnote w:id="6">
    <w:p w14:paraId="6825CAB9">
      <w:pPr>
        <w:pStyle w:val="7"/>
      </w:pPr>
      <w:r>
        <w:rPr>
          <w:rStyle w:val="17"/>
        </w:rPr>
        <w:footnoteRef/>
      </w:r>
      <w:r>
        <w:rPr>
          <w:rFonts w:hint="eastAsia"/>
        </w:rPr>
        <w:t>如不适用，采用其他合理形式对不良贷款处置和回收数据表现进行披露。</w:t>
      </w:r>
    </w:p>
  </w:footnote>
  <w:footnote w:id="7">
    <w:p w14:paraId="6B2AAB8F">
      <w:pPr>
        <w:pStyle w:val="7"/>
      </w:pPr>
      <w:r>
        <w:rPr>
          <w:rStyle w:val="17"/>
        </w:rPr>
        <w:footnoteRef/>
      </w:r>
      <w:r>
        <w:rPr>
          <w:rFonts w:hint="eastAsia"/>
        </w:rPr>
        <w:t>本章交易结构信息受托机构可在注册申请报告、发行说明书中选择其一进行披露，原则上为了提高发行效率本章内容应在注册申请报告中披露，若注册环节时内容不确定可放到发行环节披露；在发行环节发生变化的，需要在发行说明书中补充披露，在表格体系备注中说明，并将变化部分向监管机构报备。</w:t>
      </w:r>
    </w:p>
  </w:footnote>
  <w:footnote w:id="8">
    <w:p w14:paraId="13B5A1E0">
      <w:pPr>
        <w:pStyle w:val="7"/>
      </w:pPr>
      <w:r>
        <w:rPr>
          <w:rStyle w:val="17"/>
        </w:rPr>
        <w:footnoteRef/>
      </w:r>
      <w:r>
        <w:rPr>
          <w:rFonts w:hint="eastAsia"/>
        </w:rPr>
        <w:t>若有未全部入池的资产，应披露相关信息，可包括相应资产的未入池未偿本金余额、抵质押物是否重合（若有重合的应披露相应抵质押物顺位）等情况。</w:t>
      </w:r>
    </w:p>
  </w:footnote>
  <w:footnote w:id="9">
    <w:p w14:paraId="7E5DBCB3">
      <w:pPr>
        <w:pStyle w:val="7"/>
      </w:pPr>
      <w:r>
        <w:rPr>
          <w:rStyle w:val="17"/>
        </w:rPr>
        <w:footnoteRef/>
      </w:r>
      <w:r>
        <w:rPr>
          <w:rFonts w:hint="eastAsia"/>
        </w:rPr>
        <w:t>提供回收率的计算公式。</w:t>
      </w:r>
    </w:p>
  </w:footnote>
  <w:footnote w:id="10">
    <w:p w14:paraId="36DB50FF">
      <w:pPr>
        <w:pStyle w:val="7"/>
      </w:pPr>
      <w:r>
        <w:rPr>
          <w:rStyle w:val="17"/>
        </w:rPr>
        <w:footnoteRef/>
      </w:r>
      <w:r>
        <w:rPr>
          <w:rFonts w:hint="eastAsia"/>
        </w:rPr>
        <w:t>包括资产证券化相关不良贷款类型项下于该月内成为不良的所有贷款，案例日期仅举例用，实际日期请根据项目实际情况确定。</w:t>
      </w:r>
    </w:p>
  </w:footnote>
  <w:footnote w:id="11">
    <w:p w14:paraId="24C6C5BC">
      <w:pPr>
        <w:pStyle w:val="7"/>
      </w:pPr>
      <w:r>
        <w:rPr>
          <w:rStyle w:val="17"/>
        </w:rPr>
        <w:footnoteRef/>
      </w:r>
      <w:r>
        <w:rPr>
          <w:rFonts w:hint="eastAsia"/>
        </w:rPr>
        <w:t>交易结构信息若固定不变可在注册时一次性披露，发行环节免于披露，若发行环节出现变动则需要重新补充披露，并就变化部分向监管机构报备。</w:t>
      </w:r>
    </w:p>
  </w:footnote>
  <w:footnote w:id="12">
    <w:p w14:paraId="3D282818">
      <w:pPr>
        <w:pStyle w:val="7"/>
      </w:pPr>
      <w:r>
        <w:rPr>
          <w:rStyle w:val="17"/>
        </w:rPr>
        <w:footnoteRef/>
      </w:r>
      <w:r>
        <w:rPr>
          <w:rFonts w:hint="eastAsia"/>
        </w:rPr>
        <w:t>原则上可在注册申请时披露，若发行环节有所更新可在此披露。</w:t>
      </w:r>
    </w:p>
  </w:footnote>
  <w:footnote w:id="13">
    <w:p w14:paraId="4C7E30FB">
      <w:pPr>
        <w:pStyle w:val="7"/>
      </w:pPr>
      <w:r>
        <w:rPr>
          <w:rStyle w:val="17"/>
        </w:rPr>
        <w:footnoteRef/>
      </w:r>
      <w:r>
        <w:rPr>
          <w:rFonts w:hint="eastAsia"/>
        </w:rPr>
        <w:t>原则上可在注册申请时披露，若发行环节有所更新可在此披露。</w:t>
      </w:r>
    </w:p>
  </w:footnote>
  <w:footnote w:id="14">
    <w:p w14:paraId="41AD826D">
      <w:pPr>
        <w:pStyle w:val="7"/>
      </w:pPr>
      <w:r>
        <w:rPr>
          <w:rStyle w:val="17"/>
        </w:rPr>
        <w:footnoteRef/>
      </w:r>
      <w:r>
        <w:rPr>
          <w:rFonts w:hint="eastAsia"/>
        </w:rPr>
        <w:t>各项目根据实际情况注明数值及单位。</w:t>
      </w:r>
    </w:p>
  </w:footnote>
  <w:footnote w:id="15">
    <w:p w14:paraId="22C1E726">
      <w:pPr>
        <w:pStyle w:val="7"/>
      </w:pPr>
      <w:r>
        <w:rPr>
          <w:rStyle w:val="17"/>
        </w:rPr>
        <w:footnoteRef/>
      </w:r>
      <w:r>
        <w:rPr>
          <w:rFonts w:hint="eastAsia"/>
        </w:rPr>
        <w:t>若单一借款人最高未偿本息余额占比小于</w:t>
      </w:r>
      <w:r>
        <w:t>1%</w:t>
      </w:r>
      <w:r>
        <w:rPr>
          <w:rFonts w:hint="eastAsia"/>
        </w:rPr>
        <w:t>可免于披露。</w:t>
      </w:r>
    </w:p>
  </w:footnote>
  <w:footnote w:id="16">
    <w:p w14:paraId="60033928">
      <w:pPr>
        <w:pStyle w:val="7"/>
      </w:pPr>
      <w:r>
        <w:rPr>
          <w:rStyle w:val="17"/>
        </w:rPr>
        <w:footnoteRef/>
      </w:r>
      <w:r>
        <w:rPr>
          <w:rFonts w:hint="eastAsia"/>
        </w:rPr>
        <w:t>说明贷款进入逾期起始时点的确定标准，按入池贷款未偿本息余额进行加权。</w:t>
      </w:r>
    </w:p>
  </w:footnote>
  <w:footnote w:id="17">
    <w:p w14:paraId="6078E9F3">
      <w:pPr>
        <w:pStyle w:val="7"/>
      </w:pPr>
      <w:r>
        <w:rPr>
          <w:rStyle w:val="17"/>
        </w:rPr>
        <w:footnoteRef/>
      </w:r>
      <w:r>
        <w:rPr>
          <w:rFonts w:hint="eastAsia"/>
        </w:rPr>
        <w:t>初始评估价值，指银行放贷时评估所得的抵质押物评估价值。若存在追加抵质押物或抵质押物已部分处置等情况，需加以说明。</w:t>
      </w:r>
    </w:p>
  </w:footnote>
  <w:footnote w:id="18">
    <w:p w14:paraId="7D930782">
      <w:pPr>
        <w:pStyle w:val="7"/>
        <w:rPr>
          <w:highlight w:val="none"/>
        </w:rPr>
      </w:pPr>
      <w:r>
        <w:rPr>
          <w:rStyle w:val="17"/>
          <w:highlight w:val="none"/>
        </w:rPr>
        <w:footnoteRef/>
      </w:r>
      <w:r>
        <w:rPr>
          <w:rFonts w:hint="eastAsia"/>
          <w:highlight w:val="none"/>
        </w:rPr>
        <w:t>当期评估价值，指截止初始起算日评估所得的抵质押物评估价值。若存在追加抵质押物或抵质押物已部分处置等情况，需加以说明。</w:t>
      </w:r>
    </w:p>
  </w:footnote>
  <w:footnote w:id="19">
    <w:p w14:paraId="147F1EA6">
      <w:pPr>
        <w:pStyle w:val="7"/>
      </w:pPr>
      <w:r>
        <w:rPr>
          <w:rStyle w:val="17"/>
          <w:highlight w:val="none"/>
        </w:rPr>
        <w:footnoteRef/>
      </w:r>
      <w:r>
        <w:rPr>
          <w:rFonts w:hint="eastAsia"/>
          <w:highlight w:val="none"/>
        </w:rPr>
        <w:t>初始抵押率=贷款发放日合同</w:t>
      </w:r>
      <w:r>
        <w:rPr>
          <w:rFonts w:hint="eastAsia"/>
        </w:rPr>
        <w:t>金额/抵（质）押物初始评估价值。</w:t>
      </w:r>
    </w:p>
  </w:footnote>
  <w:footnote w:id="20">
    <w:p w14:paraId="0F32F99A">
      <w:pPr>
        <w:pStyle w:val="7"/>
      </w:pPr>
      <w:r>
        <w:rPr>
          <w:rStyle w:val="17"/>
        </w:rPr>
        <w:footnoteRef/>
      </w:r>
      <w:r>
        <w:rPr>
          <w:rFonts w:hint="eastAsia"/>
        </w:rPr>
        <w:t>按入池贷款未偿本息余额进行加权。</w:t>
      </w:r>
    </w:p>
  </w:footnote>
  <w:footnote w:id="21">
    <w:p w14:paraId="4F1E9FE9">
      <w:pPr>
        <w:pStyle w:val="7"/>
      </w:pPr>
      <w:r>
        <w:rPr>
          <w:rStyle w:val="17"/>
        </w:rPr>
        <w:footnoteRef/>
      </w:r>
      <w:r>
        <w:rPr>
          <w:rFonts w:hint="eastAsia"/>
        </w:rPr>
        <w:t>按入池贷款未偿本息余额进行加权。</w:t>
      </w:r>
    </w:p>
  </w:footnote>
  <w:footnote w:id="22">
    <w:p w14:paraId="026384B7">
      <w:pPr>
        <w:pStyle w:val="7"/>
      </w:pPr>
      <w:r>
        <w:rPr>
          <w:rStyle w:val="17"/>
        </w:rPr>
        <w:footnoteRef/>
      </w:r>
      <w:r>
        <w:rPr>
          <w:rFonts w:hint="eastAsia"/>
        </w:rPr>
        <w:t>按入池贷款未偿本息余额进行加权。</w:t>
      </w:r>
    </w:p>
  </w:footnote>
  <w:footnote w:id="23">
    <w:p w14:paraId="3940B356">
      <w:pPr>
        <w:pStyle w:val="7"/>
      </w:pPr>
      <w:r>
        <w:rPr>
          <w:rStyle w:val="17"/>
        </w:rPr>
        <w:footnoteRef/>
      </w:r>
      <w:r>
        <w:rPr>
          <w:rFonts w:hint="eastAsia"/>
        </w:rPr>
        <w:t>F-8-1~F-8-4相关披露信息中，若入池资产为个人类贷款的，所采用的回收率预测评估方法无法提供以“预计回收金额及占比”为口径的部分相关分布信息，需解释说明。</w:t>
      </w:r>
    </w:p>
  </w:footnote>
  <w:footnote w:id="24">
    <w:p w14:paraId="37596F39">
      <w:pPr>
        <w:pStyle w:val="7"/>
      </w:pPr>
      <w:r>
        <w:rPr>
          <w:rStyle w:val="17"/>
        </w:rPr>
        <w:footnoteRef/>
      </w:r>
      <w:r>
        <w:rPr>
          <w:rFonts w:hint="eastAsia"/>
        </w:rPr>
        <w:t>披露入池未偿本息余额占比超过1%的二级分行，其余分行归入“其他”。</w:t>
      </w:r>
    </w:p>
  </w:footnote>
  <w:footnote w:id="25">
    <w:p w14:paraId="30FCBCE7">
      <w:pPr>
        <w:pStyle w:val="7"/>
      </w:pPr>
      <w:r>
        <w:rPr>
          <w:rStyle w:val="17"/>
        </w:rPr>
        <w:footnoteRef/>
      </w:r>
      <w:r>
        <w:rPr>
          <w:rFonts w:hint="eastAsia"/>
        </w:rPr>
        <w:t>包括法人、非法人、自然人、其他。</w:t>
      </w:r>
    </w:p>
  </w:footnote>
  <w:footnote w:id="26">
    <w:p w14:paraId="3A0C12F9">
      <w:pPr>
        <w:pStyle w:val="7"/>
      </w:pPr>
      <w:r>
        <w:rPr>
          <w:rStyle w:val="17"/>
        </w:rPr>
        <w:footnoteRef/>
      </w:r>
      <w:r>
        <w:rPr>
          <w:rFonts w:hint="eastAsia"/>
        </w:rPr>
        <w:t>披露入池未偿本息余额占比超过1%的地级市，其余地级市归入“其他”。</w:t>
      </w:r>
    </w:p>
  </w:footnote>
  <w:footnote w:id="27">
    <w:p w14:paraId="17BE5DBF">
      <w:pPr>
        <w:pStyle w:val="7"/>
      </w:pPr>
      <w:r>
        <w:rPr>
          <w:rStyle w:val="17"/>
        </w:rPr>
        <w:footnoteRef/>
      </w:r>
      <w:r>
        <w:rPr>
          <w:rFonts w:hint="eastAsia"/>
        </w:rPr>
        <w:t>未起诉、已判决、已起诉未判决。</w:t>
      </w:r>
    </w:p>
  </w:footnote>
  <w:footnote w:id="28">
    <w:p w14:paraId="03460D4E">
      <w:pPr>
        <w:pStyle w:val="7"/>
      </w:pPr>
      <w:r>
        <w:rPr>
          <w:rStyle w:val="17"/>
        </w:rPr>
        <w:footnoteRef/>
      </w:r>
      <w:r>
        <w:rPr>
          <w:rFonts w:hint="eastAsia"/>
        </w:rPr>
        <w:t>抵押率=初始起算日贷款未偿本金余额/入池时抵（质）押物评估价值，若入池时的抵质押物评估价值较难取得，可用抵（质）押物最近一次评估价值替代。</w:t>
      </w:r>
    </w:p>
  </w:footnote>
  <w:footnote w:id="29">
    <w:p w14:paraId="25E5BAF2">
      <w:pPr>
        <w:pStyle w:val="7"/>
      </w:pPr>
      <w:r>
        <w:rPr>
          <w:rStyle w:val="17"/>
        </w:rPr>
        <w:footnoteRef/>
      </w:r>
      <w:r>
        <w:rPr>
          <w:rFonts w:hint="eastAsia"/>
        </w:rPr>
        <w:t>披露入池未偿本息余额占比超过1%的地级市，其余地级市归入“其他”。</w:t>
      </w:r>
    </w:p>
  </w:footnote>
  <w:footnote w:id="30">
    <w:p w14:paraId="52A98252">
      <w:pPr>
        <w:pStyle w:val="7"/>
      </w:pPr>
      <w:r>
        <w:rPr>
          <w:rStyle w:val="17"/>
        </w:rPr>
        <w:footnoteRef/>
      </w:r>
      <w:r>
        <w:rPr>
          <w:rFonts w:hint="eastAsia"/>
        </w:rPr>
        <w:t>预告登记、正式登记、未登记、不适用。</w:t>
      </w:r>
    </w:p>
  </w:footnote>
  <w:footnote w:id="31">
    <w:p w14:paraId="1EEDE2B6">
      <w:pPr>
        <w:pStyle w:val="7"/>
      </w:pPr>
      <w:r>
        <w:rPr>
          <w:rStyle w:val="17"/>
        </w:rPr>
        <w:footnoteRef/>
      </w:r>
      <w:r>
        <w:rPr>
          <w:rFonts w:hint="eastAsia"/>
        </w:rPr>
        <w:t>若符合“入池贷款预计回收金额占比超过1%”的单一借款人数量超过20家，则按要求对占比前20家的借款人进行信息披露。</w:t>
      </w:r>
    </w:p>
  </w:footnote>
  <w:footnote w:id="32">
    <w:p w14:paraId="12FCC298">
      <w:pPr>
        <w:pStyle w:val="7"/>
      </w:pPr>
      <w:r>
        <w:rPr>
          <w:rStyle w:val="17"/>
        </w:rPr>
        <w:footnoteRef/>
      </w:r>
      <w:r>
        <w:rPr>
          <w:rFonts w:hint="eastAsia"/>
        </w:rPr>
        <w:t>此图仅作为案例参考，各项目可根据实际情况进行调整，原则上需说明机构间的关系。</w:t>
      </w:r>
    </w:p>
  </w:footnote>
  <w:footnote w:id="33">
    <w:p w14:paraId="73D8D114">
      <w:pPr>
        <w:pStyle w:val="7"/>
      </w:pPr>
      <w:r>
        <w:rPr>
          <w:rStyle w:val="17"/>
        </w:rPr>
        <w:footnoteRef/>
      </w:r>
      <w:r>
        <w:rPr>
          <w:rFonts w:hint="eastAsia"/>
        </w:rPr>
        <w:t>此图仅作为案例参考，各项目可根据实际情况进行调整，原则上需说明现金流分配顺序。</w:t>
      </w:r>
    </w:p>
  </w:footnote>
  <w:footnote w:id="34">
    <w:p w14:paraId="6EB660CB">
      <w:pPr>
        <w:pStyle w:val="7"/>
      </w:pPr>
      <w:r>
        <w:rPr>
          <w:rStyle w:val="17"/>
        </w:rPr>
        <w:footnoteRef/>
      </w:r>
      <w:r>
        <w:rPr>
          <w:rFonts w:hint="eastAsia"/>
        </w:rPr>
        <w:t>此日期设置为实际的初始起算日。</w:t>
      </w:r>
    </w:p>
  </w:footnote>
  <w:footnote w:id="35">
    <w:p w14:paraId="0EF5E57C">
      <w:pPr>
        <w:pStyle w:val="7"/>
      </w:pPr>
      <w:r>
        <w:rPr>
          <w:rStyle w:val="17"/>
        </w:rPr>
        <w:footnoteRef/>
      </w:r>
      <w:r>
        <w:rPr>
          <w:rFonts w:hint="eastAsia"/>
        </w:rPr>
        <w:t>按资产池预计的总回收期限进行详尽披露。</w:t>
      </w:r>
    </w:p>
  </w:footnote>
  <w:footnote w:id="36">
    <w:p w14:paraId="1BA2121B">
      <w:pPr>
        <w:pStyle w:val="7"/>
      </w:pPr>
      <w:r>
        <w:rPr>
          <w:rStyle w:val="17"/>
        </w:rPr>
        <w:footnoteRef/>
      </w:r>
      <w:r>
        <w:rPr>
          <w:rFonts w:hint="eastAsia"/>
        </w:rPr>
        <w:t>本表主要目的是披露资产池前</w:t>
      </w:r>
      <w:r>
        <w:t>20</w:t>
      </w:r>
      <w:r>
        <w:rPr>
          <w:rFonts w:hint="eastAsia"/>
        </w:rPr>
        <w:t>大回收贡献借款人主要回收来源估值的相关依据，因涉及内容信息角度，且不同资产池特征差异较大，实际披露时可根据项目的具体情况对表格样式进行调整或重新构造。</w:t>
      </w:r>
    </w:p>
  </w:footnote>
  <w:footnote w:id="37">
    <w:p w14:paraId="575CD4B9">
      <w:pPr>
        <w:pStyle w:val="7"/>
        <w:rPr>
          <w:highlight w:val="none"/>
        </w:rPr>
      </w:pPr>
      <w:r>
        <w:rPr>
          <w:rStyle w:val="17"/>
          <w:highlight w:val="none"/>
        </w:rPr>
        <w:footnoteRef/>
      </w:r>
      <w:r>
        <w:rPr>
          <w:rFonts w:hint="eastAsia"/>
          <w:highlight w:val="none"/>
        </w:rPr>
        <w:t>非证券兑付期仅需披露S-0、S-2-1、S-3-1、S-3-2</w:t>
      </w:r>
      <w:r>
        <w:rPr>
          <w:rFonts w:hint="eastAsia"/>
          <w:highlight w:val="none"/>
          <w:lang w:eastAsia="zh-CN"/>
        </w:rPr>
        <w:t>、</w:t>
      </w:r>
      <w:r>
        <w:rPr>
          <w:rFonts w:hint="eastAsia"/>
          <w:highlight w:val="none"/>
        </w:rPr>
        <w:t>S-3-</w:t>
      </w:r>
      <w:r>
        <w:rPr>
          <w:rFonts w:hint="eastAsia"/>
          <w:highlight w:val="none"/>
          <w:lang w:val="en-US" w:eastAsia="zh-CN"/>
        </w:rPr>
        <w:t>3</w:t>
      </w:r>
      <w:r>
        <w:rPr>
          <w:rFonts w:hint="eastAsia"/>
          <w:highlight w:val="none"/>
        </w:rPr>
        <w:t>。</w:t>
      </w:r>
    </w:p>
  </w:footnote>
  <w:footnote w:id="38">
    <w:p w14:paraId="5F8637FB">
      <w:pPr>
        <w:pStyle w:val="7"/>
        <w:rPr>
          <w:highlight w:val="none"/>
        </w:rPr>
      </w:pPr>
      <w:r>
        <w:rPr>
          <w:rStyle w:val="17"/>
          <w:highlight w:val="none"/>
        </w:rPr>
        <w:footnoteRef/>
      </w:r>
      <w:r>
        <w:rPr>
          <w:rFonts w:hint="eastAsia"/>
          <w:highlight w:val="none"/>
        </w:rPr>
        <w:t>证券兑付期披露的受托报告，“本报告期”、“本期”、“本次证券计息期”，均指上一支付日至本次支付日的期间；非证券兑付期仅需披露证券的信托设立日及本报告期（包括报告期初日期、报告期末日期），本报告期指上一核算日至本次核算日的期间。</w:t>
      </w:r>
    </w:p>
  </w:footnote>
  <w:footnote w:id="39">
    <w:p w14:paraId="4DE20267">
      <w:pPr>
        <w:pStyle w:val="7"/>
        <w:snapToGrid w:val="0"/>
        <w:rPr>
          <w:rFonts w:hint="eastAsia" w:eastAsia="宋体"/>
          <w:highlight w:val="none"/>
          <w:lang w:eastAsia="zh-CN"/>
        </w:rPr>
      </w:pPr>
      <w:r>
        <w:rPr>
          <w:rStyle w:val="17"/>
          <w:highlight w:val="none"/>
        </w:rPr>
        <w:footnoteRef/>
      </w:r>
      <w:r>
        <w:rPr>
          <w:highlight w:val="none"/>
        </w:rPr>
        <w:t xml:space="preserve"> </w:t>
      </w:r>
      <w:r>
        <w:rPr>
          <w:rFonts w:hint="eastAsia"/>
          <w:highlight w:val="none"/>
        </w:rPr>
        <w:t>当期有回购贷款的需要在附注中说明原因</w:t>
      </w:r>
      <w:r>
        <w:rPr>
          <w:rFonts w:hint="eastAsia"/>
          <w:highlight w:val="none"/>
          <w:lang w:eastAsia="zh-CN"/>
        </w:rPr>
        <w:t>。</w:t>
      </w:r>
    </w:p>
  </w:footnote>
  <w:footnote w:id="40">
    <w:p w14:paraId="74747728">
      <w:pPr>
        <w:pStyle w:val="7"/>
      </w:pPr>
      <w:r>
        <w:rPr>
          <w:rStyle w:val="17"/>
        </w:rPr>
        <w:footnoteRef/>
      </w:r>
      <w:r>
        <w:rPr>
          <w:rFonts w:hint="eastAsia"/>
        </w:rPr>
        <w:t>30/360或实际天数/实际天数等。</w:t>
      </w:r>
    </w:p>
  </w:footnote>
  <w:footnote w:id="41">
    <w:p w14:paraId="4776800C">
      <w:pPr>
        <w:pStyle w:val="7"/>
        <w:rPr>
          <w:highlight w:val="none"/>
        </w:rPr>
      </w:pPr>
      <w:r>
        <w:rPr>
          <w:rStyle w:val="17"/>
          <w:highlight w:val="none"/>
        </w:rPr>
        <w:footnoteRef/>
      </w:r>
      <w:r>
        <w:rPr>
          <w:rFonts w:hint="eastAsia"/>
          <w:highlight w:val="none"/>
        </w:rPr>
        <w:t>优先档证券预期到期日与发行说明书保持一致。</w:t>
      </w:r>
    </w:p>
  </w:footnote>
  <w:footnote w:id="42">
    <w:p w14:paraId="055AC423">
      <w:pPr>
        <w:pStyle w:val="7"/>
        <w:rPr>
          <w:highlight w:val="none"/>
        </w:rPr>
      </w:pPr>
      <w:r>
        <w:rPr>
          <w:rStyle w:val="17"/>
          <w:highlight w:val="none"/>
        </w:rPr>
        <w:footnoteRef/>
      </w:r>
      <w:r>
        <w:rPr>
          <w:rFonts w:hint="eastAsia"/>
          <w:highlight w:val="none"/>
        </w:rPr>
        <w:t>按照截止初始起算日所得的抵（质）押物评估价值进行披露。</w:t>
      </w:r>
    </w:p>
  </w:footnote>
  <w:footnote w:id="43">
    <w:p w14:paraId="6072F5B0">
      <w:pPr>
        <w:pStyle w:val="7"/>
        <w:rPr>
          <w:highlight w:val="none"/>
        </w:rPr>
      </w:pPr>
      <w:r>
        <w:rPr>
          <w:rStyle w:val="17"/>
          <w:highlight w:val="none"/>
        </w:rPr>
        <w:footnoteRef/>
      </w:r>
      <w:r>
        <w:rPr>
          <w:rFonts w:hint="eastAsia"/>
          <w:highlight w:val="none"/>
        </w:rPr>
        <w:t>建议贷款余额步长与发行说明书保持一致。</w:t>
      </w:r>
    </w:p>
  </w:footnote>
  <w:footnote w:id="44">
    <w:p w14:paraId="549E964E">
      <w:pPr>
        <w:pStyle w:val="7"/>
        <w:rPr>
          <w:highlight w:val="none"/>
        </w:rPr>
      </w:pPr>
      <w:r>
        <w:rPr>
          <w:rStyle w:val="17"/>
          <w:highlight w:val="none"/>
        </w:rPr>
        <w:footnoteRef/>
      </w:r>
      <w:r>
        <w:rPr>
          <w:rFonts w:hint="eastAsia"/>
          <w:highlight w:val="none"/>
        </w:rPr>
        <w:t>按照截止初始起算日所得的抵（质）押物评估价值进行披露。</w:t>
      </w:r>
    </w:p>
  </w:footnote>
  <w:footnote w:id="45">
    <w:p w14:paraId="355394D1">
      <w:pPr>
        <w:pStyle w:val="7"/>
      </w:pPr>
      <w:r>
        <w:rPr>
          <w:rStyle w:val="17"/>
        </w:rPr>
        <w:footnoteRef/>
      </w:r>
      <w:r>
        <w:t>贷款情况为</w:t>
      </w:r>
      <w:r>
        <w:rPr>
          <w:rFonts w:hint="eastAsia"/>
        </w:rPr>
        <w:t>截止本回收期末处于处置中或处置完毕的贷款状态情况</w:t>
      </w:r>
    </w:p>
  </w:footnote>
  <w:footnote w:id="46">
    <w:p w14:paraId="5F226CAB">
      <w:pPr>
        <w:pStyle w:val="7"/>
      </w:pPr>
      <w:r>
        <w:rPr>
          <w:rStyle w:val="17"/>
        </w:rPr>
        <w:footnoteRef/>
      </w:r>
      <w:r>
        <w:rPr>
          <w:rFonts w:hint="eastAsia"/>
        </w:rPr>
        <w:t>此日期为此受托报告出具日期所在的对应收款期。</w:t>
      </w:r>
    </w:p>
  </w:footnote>
  <w:footnote w:id="47">
    <w:p w14:paraId="617D2E86">
      <w:pPr>
        <w:pStyle w:val="7"/>
      </w:pPr>
      <w:r>
        <w:rPr>
          <w:rStyle w:val="17"/>
        </w:rPr>
        <w:footnoteRef/>
      </w:r>
      <w:r>
        <w:rPr>
          <w:rFonts w:hint="eastAsia"/>
        </w:rPr>
        <w:t>按资产池预计的总回收期限进行详尽披露。</w:t>
      </w:r>
    </w:p>
  </w:footnote>
  <w:footnote w:id="48">
    <w:p w14:paraId="1037B248">
      <w:pPr>
        <w:pStyle w:val="7"/>
      </w:pPr>
      <w:r>
        <w:rPr>
          <w:rStyle w:val="17"/>
        </w:rPr>
        <w:footnoteRef/>
      </w:r>
      <w:r>
        <w:rPr>
          <w:rFonts w:hint="eastAsia" w:ascii="宋体" w:hAnsi="宋体" w:eastAsia="宋体" w:cs="宋体"/>
          <w:color w:val="000000"/>
        </w:rPr>
        <w:t>报告期内若触发例如加速清偿事件、违约事件、权利完善事件、个别通知事件、资产赎回事件、清仓回购事件、丧失清偿能力事件、受托机构终止事件、重大不利变化事件、重大不利影响事件、受托人解任事件、贷款服务机构解任事件、资金保管机构解任事件、资产支持证券持有大会、</w:t>
      </w:r>
      <w:bookmarkStart w:id="13" w:name="OLE_LINK1"/>
      <w:r>
        <w:rPr>
          <w:rFonts w:hint="eastAsia" w:ascii="宋体" w:hAnsi="宋体" w:eastAsia="宋体" w:cs="宋体"/>
          <w:color w:val="000000"/>
        </w:rPr>
        <w:t>法定到期日延后、清算期延长</w:t>
      </w:r>
      <w:bookmarkEnd w:id="13"/>
      <w:r>
        <w:rPr>
          <w:rFonts w:hint="eastAsia" w:ascii="宋体" w:hAnsi="宋体" w:eastAsia="宋体" w:cs="宋体"/>
          <w:color w:val="000000"/>
        </w:rPr>
        <w:t>及其他影响证券年本息兑付或投资者利益的事项的（如负面的催收相关事项），需要在事件触发3个工作日内披露。不同项目设定的其他重大事件请依据此原则进行披露。</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20"/>
  <w:drawingGridVerticalSpacing w:val="163"/>
  <w:noPunctuationKerning w:val="1"/>
  <w:characterSpacingControl w:val="compressPunctuation"/>
  <w:noLineBreaksAfter w:lang="zh-CN" w:val="$([{£¥·‘“〈《「『【〔〖〝﹙﹛﹝＄（．［｛￡￥"/>
  <w:noLineBreaksBefore w:lang="zh-CN" w:val="!%),.:;&gt;?]}¢¨°·ˇˉ―‖’”…‰′″›℃∶、。〃〉》」』】〕〗〞︶︺︾﹀﹄﹚﹜﹞！＂％＇），．：；？］｀｜｝～￠"/>
  <w:footnotePr>
    <w:footnote w:id="98"/>
    <w:footnote w:id="99"/>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B79"/>
    <w:rsid w:val="00000E9C"/>
    <w:rsid w:val="00000FDC"/>
    <w:rsid w:val="000017A3"/>
    <w:rsid w:val="00002B0A"/>
    <w:rsid w:val="00003348"/>
    <w:rsid w:val="00004F3C"/>
    <w:rsid w:val="00005CDC"/>
    <w:rsid w:val="0000709E"/>
    <w:rsid w:val="00007A56"/>
    <w:rsid w:val="000103A7"/>
    <w:rsid w:val="000112F1"/>
    <w:rsid w:val="000117E0"/>
    <w:rsid w:val="00013963"/>
    <w:rsid w:val="00013F53"/>
    <w:rsid w:val="00014729"/>
    <w:rsid w:val="00014BAD"/>
    <w:rsid w:val="000174CB"/>
    <w:rsid w:val="00020161"/>
    <w:rsid w:val="000217C9"/>
    <w:rsid w:val="00023BFA"/>
    <w:rsid w:val="00024E85"/>
    <w:rsid w:val="00027C29"/>
    <w:rsid w:val="00027F83"/>
    <w:rsid w:val="000300A3"/>
    <w:rsid w:val="0003116B"/>
    <w:rsid w:val="0003326B"/>
    <w:rsid w:val="00034C5F"/>
    <w:rsid w:val="00036DD0"/>
    <w:rsid w:val="00036DDA"/>
    <w:rsid w:val="000370B6"/>
    <w:rsid w:val="000402AD"/>
    <w:rsid w:val="00041D8A"/>
    <w:rsid w:val="000427E9"/>
    <w:rsid w:val="0004377C"/>
    <w:rsid w:val="0004397D"/>
    <w:rsid w:val="00044878"/>
    <w:rsid w:val="000458C3"/>
    <w:rsid w:val="00047188"/>
    <w:rsid w:val="000476BC"/>
    <w:rsid w:val="000500A7"/>
    <w:rsid w:val="00062AB7"/>
    <w:rsid w:val="00063C1E"/>
    <w:rsid w:val="00063D48"/>
    <w:rsid w:val="000647AD"/>
    <w:rsid w:val="00064B25"/>
    <w:rsid w:val="000656C7"/>
    <w:rsid w:val="00065FE3"/>
    <w:rsid w:val="00071DA8"/>
    <w:rsid w:val="00072C2C"/>
    <w:rsid w:val="0007322F"/>
    <w:rsid w:val="00074A91"/>
    <w:rsid w:val="0007619D"/>
    <w:rsid w:val="00076255"/>
    <w:rsid w:val="00076ECD"/>
    <w:rsid w:val="00077B89"/>
    <w:rsid w:val="00080390"/>
    <w:rsid w:val="00080AF1"/>
    <w:rsid w:val="00080B72"/>
    <w:rsid w:val="000825DA"/>
    <w:rsid w:val="000839D8"/>
    <w:rsid w:val="00083EF1"/>
    <w:rsid w:val="00086024"/>
    <w:rsid w:val="000907D0"/>
    <w:rsid w:val="000909F1"/>
    <w:rsid w:val="0009164C"/>
    <w:rsid w:val="00092E72"/>
    <w:rsid w:val="0009335D"/>
    <w:rsid w:val="000962E0"/>
    <w:rsid w:val="00096BEF"/>
    <w:rsid w:val="00096CD7"/>
    <w:rsid w:val="00096D71"/>
    <w:rsid w:val="00096EED"/>
    <w:rsid w:val="000A06FC"/>
    <w:rsid w:val="000A094B"/>
    <w:rsid w:val="000A1196"/>
    <w:rsid w:val="000A2924"/>
    <w:rsid w:val="000A3EB8"/>
    <w:rsid w:val="000A4C24"/>
    <w:rsid w:val="000A619D"/>
    <w:rsid w:val="000A6B1A"/>
    <w:rsid w:val="000A73B6"/>
    <w:rsid w:val="000A7456"/>
    <w:rsid w:val="000A79DC"/>
    <w:rsid w:val="000B0A9A"/>
    <w:rsid w:val="000B2038"/>
    <w:rsid w:val="000B239C"/>
    <w:rsid w:val="000B48A3"/>
    <w:rsid w:val="000C1C20"/>
    <w:rsid w:val="000C3013"/>
    <w:rsid w:val="000C34E5"/>
    <w:rsid w:val="000C353D"/>
    <w:rsid w:val="000C4979"/>
    <w:rsid w:val="000C499F"/>
    <w:rsid w:val="000C64F3"/>
    <w:rsid w:val="000C76C0"/>
    <w:rsid w:val="000D124F"/>
    <w:rsid w:val="000D4BE3"/>
    <w:rsid w:val="000D7A21"/>
    <w:rsid w:val="000D7BC8"/>
    <w:rsid w:val="000D7DE7"/>
    <w:rsid w:val="000E11EE"/>
    <w:rsid w:val="000E262C"/>
    <w:rsid w:val="000E2EBE"/>
    <w:rsid w:val="000E3BDB"/>
    <w:rsid w:val="000E5841"/>
    <w:rsid w:val="000E64D3"/>
    <w:rsid w:val="000F038E"/>
    <w:rsid w:val="000F1131"/>
    <w:rsid w:val="000F2B64"/>
    <w:rsid w:val="000F2EF1"/>
    <w:rsid w:val="000F5E70"/>
    <w:rsid w:val="000F657A"/>
    <w:rsid w:val="000F669E"/>
    <w:rsid w:val="001001B7"/>
    <w:rsid w:val="00102DD9"/>
    <w:rsid w:val="00102DF4"/>
    <w:rsid w:val="00103071"/>
    <w:rsid w:val="0010414D"/>
    <w:rsid w:val="00106DF1"/>
    <w:rsid w:val="0011165B"/>
    <w:rsid w:val="001117B2"/>
    <w:rsid w:val="00113524"/>
    <w:rsid w:val="00113A46"/>
    <w:rsid w:val="00114E83"/>
    <w:rsid w:val="001157B5"/>
    <w:rsid w:val="00116426"/>
    <w:rsid w:val="001178B4"/>
    <w:rsid w:val="00121F40"/>
    <w:rsid w:val="001227CA"/>
    <w:rsid w:val="00123DFA"/>
    <w:rsid w:val="00123EB4"/>
    <w:rsid w:val="001242E2"/>
    <w:rsid w:val="00130A11"/>
    <w:rsid w:val="00130B60"/>
    <w:rsid w:val="00131BAF"/>
    <w:rsid w:val="0013390D"/>
    <w:rsid w:val="001347AA"/>
    <w:rsid w:val="00134BEC"/>
    <w:rsid w:val="0013501B"/>
    <w:rsid w:val="00135D26"/>
    <w:rsid w:val="001370DB"/>
    <w:rsid w:val="00137BB2"/>
    <w:rsid w:val="00140A5A"/>
    <w:rsid w:val="00140F6E"/>
    <w:rsid w:val="001423E5"/>
    <w:rsid w:val="00144D79"/>
    <w:rsid w:val="00145100"/>
    <w:rsid w:val="00145D38"/>
    <w:rsid w:val="00146674"/>
    <w:rsid w:val="001468CA"/>
    <w:rsid w:val="001471D4"/>
    <w:rsid w:val="00150A96"/>
    <w:rsid w:val="00152525"/>
    <w:rsid w:val="00153E3D"/>
    <w:rsid w:val="00155152"/>
    <w:rsid w:val="001572A4"/>
    <w:rsid w:val="001609BD"/>
    <w:rsid w:val="00160B8E"/>
    <w:rsid w:val="00162282"/>
    <w:rsid w:val="00162B4B"/>
    <w:rsid w:val="00164D4B"/>
    <w:rsid w:val="00165AAB"/>
    <w:rsid w:val="00165E54"/>
    <w:rsid w:val="00166BF7"/>
    <w:rsid w:val="00166D22"/>
    <w:rsid w:val="001703AE"/>
    <w:rsid w:val="0017055A"/>
    <w:rsid w:val="001708D2"/>
    <w:rsid w:val="00172471"/>
    <w:rsid w:val="00174851"/>
    <w:rsid w:val="0017489F"/>
    <w:rsid w:val="00176F38"/>
    <w:rsid w:val="00177805"/>
    <w:rsid w:val="00177CA5"/>
    <w:rsid w:val="00180B2D"/>
    <w:rsid w:val="00181A4A"/>
    <w:rsid w:val="00182C76"/>
    <w:rsid w:val="0018344A"/>
    <w:rsid w:val="00184503"/>
    <w:rsid w:val="0018513F"/>
    <w:rsid w:val="00192BF5"/>
    <w:rsid w:val="00192C78"/>
    <w:rsid w:val="001946F7"/>
    <w:rsid w:val="001A0E24"/>
    <w:rsid w:val="001A2033"/>
    <w:rsid w:val="001A30A8"/>
    <w:rsid w:val="001A54F6"/>
    <w:rsid w:val="001A7711"/>
    <w:rsid w:val="001B080A"/>
    <w:rsid w:val="001B0C86"/>
    <w:rsid w:val="001B2D34"/>
    <w:rsid w:val="001B4DC6"/>
    <w:rsid w:val="001B5A55"/>
    <w:rsid w:val="001B628D"/>
    <w:rsid w:val="001B7DAE"/>
    <w:rsid w:val="001C0D1B"/>
    <w:rsid w:val="001C2AE2"/>
    <w:rsid w:val="001C2E9A"/>
    <w:rsid w:val="001C4363"/>
    <w:rsid w:val="001C5126"/>
    <w:rsid w:val="001C7323"/>
    <w:rsid w:val="001D0445"/>
    <w:rsid w:val="001D0F40"/>
    <w:rsid w:val="001D1863"/>
    <w:rsid w:val="001D3907"/>
    <w:rsid w:val="001D42BF"/>
    <w:rsid w:val="001D44E6"/>
    <w:rsid w:val="001D4F89"/>
    <w:rsid w:val="001D5EDD"/>
    <w:rsid w:val="001D72A6"/>
    <w:rsid w:val="001E0243"/>
    <w:rsid w:val="001E031E"/>
    <w:rsid w:val="001E13E9"/>
    <w:rsid w:val="001E2CD6"/>
    <w:rsid w:val="001E6AB3"/>
    <w:rsid w:val="001E7326"/>
    <w:rsid w:val="001E7927"/>
    <w:rsid w:val="001F1529"/>
    <w:rsid w:val="001F5CB2"/>
    <w:rsid w:val="00200411"/>
    <w:rsid w:val="00201CEB"/>
    <w:rsid w:val="002035E3"/>
    <w:rsid w:val="00204400"/>
    <w:rsid w:val="0020611A"/>
    <w:rsid w:val="00206183"/>
    <w:rsid w:val="0020678C"/>
    <w:rsid w:val="00210F74"/>
    <w:rsid w:val="002119EE"/>
    <w:rsid w:val="00212659"/>
    <w:rsid w:val="00212C9C"/>
    <w:rsid w:val="00212FA1"/>
    <w:rsid w:val="00214B26"/>
    <w:rsid w:val="00216029"/>
    <w:rsid w:val="002245BC"/>
    <w:rsid w:val="002303A6"/>
    <w:rsid w:val="00230714"/>
    <w:rsid w:val="00230CF7"/>
    <w:rsid w:val="00230F0A"/>
    <w:rsid w:val="002316C2"/>
    <w:rsid w:val="002317C6"/>
    <w:rsid w:val="00231BFE"/>
    <w:rsid w:val="00232714"/>
    <w:rsid w:val="002330C8"/>
    <w:rsid w:val="0023460D"/>
    <w:rsid w:val="0023564D"/>
    <w:rsid w:val="0024146F"/>
    <w:rsid w:val="00241A58"/>
    <w:rsid w:val="0024243F"/>
    <w:rsid w:val="00242B50"/>
    <w:rsid w:val="0024626E"/>
    <w:rsid w:val="002507CB"/>
    <w:rsid w:val="0025175D"/>
    <w:rsid w:val="002517DB"/>
    <w:rsid w:val="00251E6C"/>
    <w:rsid w:val="0025277F"/>
    <w:rsid w:val="00252D85"/>
    <w:rsid w:val="00252E08"/>
    <w:rsid w:val="00254BD5"/>
    <w:rsid w:val="00255DDB"/>
    <w:rsid w:val="00256E9A"/>
    <w:rsid w:val="0025711D"/>
    <w:rsid w:val="002578C5"/>
    <w:rsid w:val="00257998"/>
    <w:rsid w:val="00257FE1"/>
    <w:rsid w:val="00261899"/>
    <w:rsid w:val="00265BA6"/>
    <w:rsid w:val="00265F2E"/>
    <w:rsid w:val="00266553"/>
    <w:rsid w:val="00267EF3"/>
    <w:rsid w:val="00271A69"/>
    <w:rsid w:val="00271DF9"/>
    <w:rsid w:val="002722B4"/>
    <w:rsid w:val="00272EEB"/>
    <w:rsid w:val="00273274"/>
    <w:rsid w:val="00274194"/>
    <w:rsid w:val="002746E9"/>
    <w:rsid w:val="0028013F"/>
    <w:rsid w:val="00281749"/>
    <w:rsid w:val="00285146"/>
    <w:rsid w:val="002877CE"/>
    <w:rsid w:val="002879F1"/>
    <w:rsid w:val="002906ED"/>
    <w:rsid w:val="00290B0F"/>
    <w:rsid w:val="00290DD9"/>
    <w:rsid w:val="00291E75"/>
    <w:rsid w:val="00292F3F"/>
    <w:rsid w:val="00293AD7"/>
    <w:rsid w:val="0029531B"/>
    <w:rsid w:val="002960C2"/>
    <w:rsid w:val="002969F1"/>
    <w:rsid w:val="00296FFD"/>
    <w:rsid w:val="002A06E5"/>
    <w:rsid w:val="002A15FE"/>
    <w:rsid w:val="002A3B82"/>
    <w:rsid w:val="002A476F"/>
    <w:rsid w:val="002A48DC"/>
    <w:rsid w:val="002A6AFC"/>
    <w:rsid w:val="002A6C4F"/>
    <w:rsid w:val="002A7A01"/>
    <w:rsid w:val="002A7C20"/>
    <w:rsid w:val="002B00D4"/>
    <w:rsid w:val="002B0AB9"/>
    <w:rsid w:val="002B2064"/>
    <w:rsid w:val="002B33E8"/>
    <w:rsid w:val="002B3CE1"/>
    <w:rsid w:val="002B3FBB"/>
    <w:rsid w:val="002B43EE"/>
    <w:rsid w:val="002B56EC"/>
    <w:rsid w:val="002B79F7"/>
    <w:rsid w:val="002C0E35"/>
    <w:rsid w:val="002C215A"/>
    <w:rsid w:val="002C26EB"/>
    <w:rsid w:val="002C6EE8"/>
    <w:rsid w:val="002C753A"/>
    <w:rsid w:val="002C770C"/>
    <w:rsid w:val="002D0916"/>
    <w:rsid w:val="002D0DE7"/>
    <w:rsid w:val="002D0F63"/>
    <w:rsid w:val="002D1153"/>
    <w:rsid w:val="002D3709"/>
    <w:rsid w:val="002D37A8"/>
    <w:rsid w:val="002D5BBB"/>
    <w:rsid w:val="002D65BA"/>
    <w:rsid w:val="002E01D6"/>
    <w:rsid w:val="002E057A"/>
    <w:rsid w:val="002E0E08"/>
    <w:rsid w:val="002E0F30"/>
    <w:rsid w:val="002E2168"/>
    <w:rsid w:val="002E6373"/>
    <w:rsid w:val="002E7BC1"/>
    <w:rsid w:val="002F3187"/>
    <w:rsid w:val="002F323E"/>
    <w:rsid w:val="002F4071"/>
    <w:rsid w:val="002F4B24"/>
    <w:rsid w:val="002F5A14"/>
    <w:rsid w:val="002F666F"/>
    <w:rsid w:val="002F7914"/>
    <w:rsid w:val="00300E10"/>
    <w:rsid w:val="0030106A"/>
    <w:rsid w:val="003017E2"/>
    <w:rsid w:val="00302BBC"/>
    <w:rsid w:val="0030475A"/>
    <w:rsid w:val="00305D9B"/>
    <w:rsid w:val="003077D5"/>
    <w:rsid w:val="00307DD8"/>
    <w:rsid w:val="00311B47"/>
    <w:rsid w:val="003133B3"/>
    <w:rsid w:val="00313F94"/>
    <w:rsid w:val="00314184"/>
    <w:rsid w:val="00314204"/>
    <w:rsid w:val="003147D6"/>
    <w:rsid w:val="003168B8"/>
    <w:rsid w:val="00321ECA"/>
    <w:rsid w:val="00323D94"/>
    <w:rsid w:val="00323F72"/>
    <w:rsid w:val="003253B8"/>
    <w:rsid w:val="003255FB"/>
    <w:rsid w:val="003257E9"/>
    <w:rsid w:val="003261B6"/>
    <w:rsid w:val="003264A0"/>
    <w:rsid w:val="00327509"/>
    <w:rsid w:val="00327567"/>
    <w:rsid w:val="003275F6"/>
    <w:rsid w:val="0032764C"/>
    <w:rsid w:val="0033010B"/>
    <w:rsid w:val="00332BE8"/>
    <w:rsid w:val="00332DC5"/>
    <w:rsid w:val="003331F4"/>
    <w:rsid w:val="0033388B"/>
    <w:rsid w:val="00335178"/>
    <w:rsid w:val="00335E9B"/>
    <w:rsid w:val="00340468"/>
    <w:rsid w:val="00342B42"/>
    <w:rsid w:val="003432C0"/>
    <w:rsid w:val="0034594E"/>
    <w:rsid w:val="00347C4D"/>
    <w:rsid w:val="0035103B"/>
    <w:rsid w:val="00351430"/>
    <w:rsid w:val="003521B9"/>
    <w:rsid w:val="00353B2D"/>
    <w:rsid w:val="0035517E"/>
    <w:rsid w:val="00356DD0"/>
    <w:rsid w:val="00361814"/>
    <w:rsid w:val="00362F3A"/>
    <w:rsid w:val="0036443B"/>
    <w:rsid w:val="00364739"/>
    <w:rsid w:val="00364894"/>
    <w:rsid w:val="00364E6E"/>
    <w:rsid w:val="0036603E"/>
    <w:rsid w:val="00367823"/>
    <w:rsid w:val="00370934"/>
    <w:rsid w:val="00370C49"/>
    <w:rsid w:val="00372701"/>
    <w:rsid w:val="00372768"/>
    <w:rsid w:val="00372D75"/>
    <w:rsid w:val="003731EE"/>
    <w:rsid w:val="003738B5"/>
    <w:rsid w:val="00375AF4"/>
    <w:rsid w:val="00375C04"/>
    <w:rsid w:val="00380E00"/>
    <w:rsid w:val="00382780"/>
    <w:rsid w:val="00383245"/>
    <w:rsid w:val="003841A9"/>
    <w:rsid w:val="00384363"/>
    <w:rsid w:val="00384A69"/>
    <w:rsid w:val="0038582D"/>
    <w:rsid w:val="003863CC"/>
    <w:rsid w:val="00392321"/>
    <w:rsid w:val="00395496"/>
    <w:rsid w:val="00396085"/>
    <w:rsid w:val="00397789"/>
    <w:rsid w:val="003A03E5"/>
    <w:rsid w:val="003A05F6"/>
    <w:rsid w:val="003A3B73"/>
    <w:rsid w:val="003A47A3"/>
    <w:rsid w:val="003A522D"/>
    <w:rsid w:val="003A5F3D"/>
    <w:rsid w:val="003A6A04"/>
    <w:rsid w:val="003B2496"/>
    <w:rsid w:val="003B274D"/>
    <w:rsid w:val="003B3925"/>
    <w:rsid w:val="003B4031"/>
    <w:rsid w:val="003B68B7"/>
    <w:rsid w:val="003B68F6"/>
    <w:rsid w:val="003C0493"/>
    <w:rsid w:val="003C066F"/>
    <w:rsid w:val="003C36C4"/>
    <w:rsid w:val="003D1C89"/>
    <w:rsid w:val="003D23B0"/>
    <w:rsid w:val="003D3659"/>
    <w:rsid w:val="003D39D7"/>
    <w:rsid w:val="003D3E30"/>
    <w:rsid w:val="003D5D7F"/>
    <w:rsid w:val="003D7329"/>
    <w:rsid w:val="003D78EC"/>
    <w:rsid w:val="003D7B29"/>
    <w:rsid w:val="003E035F"/>
    <w:rsid w:val="003E1F9E"/>
    <w:rsid w:val="003E234E"/>
    <w:rsid w:val="003E3323"/>
    <w:rsid w:val="003E3D03"/>
    <w:rsid w:val="003E42B4"/>
    <w:rsid w:val="003F0DA7"/>
    <w:rsid w:val="003F1A36"/>
    <w:rsid w:val="003F1EE3"/>
    <w:rsid w:val="003F24D9"/>
    <w:rsid w:val="003F2F53"/>
    <w:rsid w:val="003F39DE"/>
    <w:rsid w:val="003F3DF2"/>
    <w:rsid w:val="003F3F3B"/>
    <w:rsid w:val="003F5DC7"/>
    <w:rsid w:val="004011EE"/>
    <w:rsid w:val="00401B20"/>
    <w:rsid w:val="00404F04"/>
    <w:rsid w:val="004065CD"/>
    <w:rsid w:val="004065E4"/>
    <w:rsid w:val="00406AF2"/>
    <w:rsid w:val="00406F97"/>
    <w:rsid w:val="00407CB8"/>
    <w:rsid w:val="0041010F"/>
    <w:rsid w:val="00410330"/>
    <w:rsid w:val="00411252"/>
    <w:rsid w:val="00411EDC"/>
    <w:rsid w:val="00411EDF"/>
    <w:rsid w:val="00412109"/>
    <w:rsid w:val="004147FE"/>
    <w:rsid w:val="00415F61"/>
    <w:rsid w:val="00416829"/>
    <w:rsid w:val="004177D8"/>
    <w:rsid w:val="00422D09"/>
    <w:rsid w:val="0042308F"/>
    <w:rsid w:val="00423AE1"/>
    <w:rsid w:val="0042536E"/>
    <w:rsid w:val="004261B8"/>
    <w:rsid w:val="0042644D"/>
    <w:rsid w:val="00430BAA"/>
    <w:rsid w:val="004334D3"/>
    <w:rsid w:val="00433ECD"/>
    <w:rsid w:val="00434935"/>
    <w:rsid w:val="004366D0"/>
    <w:rsid w:val="0044264C"/>
    <w:rsid w:val="00442C6C"/>
    <w:rsid w:val="00443DF7"/>
    <w:rsid w:val="004476BF"/>
    <w:rsid w:val="004477B1"/>
    <w:rsid w:val="004507B8"/>
    <w:rsid w:val="00450BC9"/>
    <w:rsid w:val="004517C3"/>
    <w:rsid w:val="004526BA"/>
    <w:rsid w:val="00454887"/>
    <w:rsid w:val="00454D0E"/>
    <w:rsid w:val="004559B8"/>
    <w:rsid w:val="00462522"/>
    <w:rsid w:val="00462610"/>
    <w:rsid w:val="0046320F"/>
    <w:rsid w:val="004638D7"/>
    <w:rsid w:val="00464C98"/>
    <w:rsid w:val="00470264"/>
    <w:rsid w:val="00470848"/>
    <w:rsid w:val="00470DC3"/>
    <w:rsid w:val="004719FA"/>
    <w:rsid w:val="00471B06"/>
    <w:rsid w:val="00471F2E"/>
    <w:rsid w:val="0047235E"/>
    <w:rsid w:val="00472944"/>
    <w:rsid w:val="004733B9"/>
    <w:rsid w:val="00473407"/>
    <w:rsid w:val="0047353C"/>
    <w:rsid w:val="00474BD9"/>
    <w:rsid w:val="00476760"/>
    <w:rsid w:val="0048523E"/>
    <w:rsid w:val="004873BE"/>
    <w:rsid w:val="004875DB"/>
    <w:rsid w:val="00492995"/>
    <w:rsid w:val="0049376B"/>
    <w:rsid w:val="004949C2"/>
    <w:rsid w:val="004955A7"/>
    <w:rsid w:val="00495CEE"/>
    <w:rsid w:val="00497309"/>
    <w:rsid w:val="004A2197"/>
    <w:rsid w:val="004A23DF"/>
    <w:rsid w:val="004A23FB"/>
    <w:rsid w:val="004A3162"/>
    <w:rsid w:val="004A3BDA"/>
    <w:rsid w:val="004A4EB5"/>
    <w:rsid w:val="004A5117"/>
    <w:rsid w:val="004A6629"/>
    <w:rsid w:val="004B05C1"/>
    <w:rsid w:val="004B0E97"/>
    <w:rsid w:val="004B19FE"/>
    <w:rsid w:val="004B31D7"/>
    <w:rsid w:val="004B35B4"/>
    <w:rsid w:val="004B36FF"/>
    <w:rsid w:val="004B42FD"/>
    <w:rsid w:val="004C02F1"/>
    <w:rsid w:val="004C33B6"/>
    <w:rsid w:val="004C5C4B"/>
    <w:rsid w:val="004C69AF"/>
    <w:rsid w:val="004C7063"/>
    <w:rsid w:val="004D05C4"/>
    <w:rsid w:val="004D130F"/>
    <w:rsid w:val="004D186B"/>
    <w:rsid w:val="004D262A"/>
    <w:rsid w:val="004D2DD6"/>
    <w:rsid w:val="004D473B"/>
    <w:rsid w:val="004D7AAC"/>
    <w:rsid w:val="004D7CB9"/>
    <w:rsid w:val="004D7D83"/>
    <w:rsid w:val="004E07D2"/>
    <w:rsid w:val="004E114F"/>
    <w:rsid w:val="004E1564"/>
    <w:rsid w:val="004E1797"/>
    <w:rsid w:val="004E290C"/>
    <w:rsid w:val="004E2919"/>
    <w:rsid w:val="004F3BAC"/>
    <w:rsid w:val="004F46E0"/>
    <w:rsid w:val="004F5D71"/>
    <w:rsid w:val="00500E68"/>
    <w:rsid w:val="00501261"/>
    <w:rsid w:val="00501DF8"/>
    <w:rsid w:val="005024FA"/>
    <w:rsid w:val="005040A4"/>
    <w:rsid w:val="00504B25"/>
    <w:rsid w:val="0050647F"/>
    <w:rsid w:val="00506926"/>
    <w:rsid w:val="0050740A"/>
    <w:rsid w:val="00507E78"/>
    <w:rsid w:val="0051249B"/>
    <w:rsid w:val="00513A5C"/>
    <w:rsid w:val="005155A1"/>
    <w:rsid w:val="00520A76"/>
    <w:rsid w:val="00520BA8"/>
    <w:rsid w:val="00521D5A"/>
    <w:rsid w:val="005227B0"/>
    <w:rsid w:val="00523C1E"/>
    <w:rsid w:val="00523FA1"/>
    <w:rsid w:val="00524A84"/>
    <w:rsid w:val="00524B14"/>
    <w:rsid w:val="005277CE"/>
    <w:rsid w:val="005278B2"/>
    <w:rsid w:val="00532A23"/>
    <w:rsid w:val="0053373E"/>
    <w:rsid w:val="00534A6F"/>
    <w:rsid w:val="00534E8E"/>
    <w:rsid w:val="005355E1"/>
    <w:rsid w:val="005359F5"/>
    <w:rsid w:val="00535F88"/>
    <w:rsid w:val="005365CB"/>
    <w:rsid w:val="00540141"/>
    <w:rsid w:val="00542C61"/>
    <w:rsid w:val="00542EBC"/>
    <w:rsid w:val="00543A73"/>
    <w:rsid w:val="00544F30"/>
    <w:rsid w:val="0054501E"/>
    <w:rsid w:val="0054583C"/>
    <w:rsid w:val="0054623B"/>
    <w:rsid w:val="00546B8A"/>
    <w:rsid w:val="005477D0"/>
    <w:rsid w:val="00550212"/>
    <w:rsid w:val="005503AD"/>
    <w:rsid w:val="005504AD"/>
    <w:rsid w:val="005504B2"/>
    <w:rsid w:val="00554292"/>
    <w:rsid w:val="00555F49"/>
    <w:rsid w:val="00555FCC"/>
    <w:rsid w:val="005565EE"/>
    <w:rsid w:val="00556CC6"/>
    <w:rsid w:val="00560B5C"/>
    <w:rsid w:val="005660CD"/>
    <w:rsid w:val="0057032A"/>
    <w:rsid w:val="00570598"/>
    <w:rsid w:val="00571512"/>
    <w:rsid w:val="0057179E"/>
    <w:rsid w:val="00573BCC"/>
    <w:rsid w:val="00573EC4"/>
    <w:rsid w:val="005742BF"/>
    <w:rsid w:val="00574E2A"/>
    <w:rsid w:val="00577942"/>
    <w:rsid w:val="00577BF8"/>
    <w:rsid w:val="00580EF7"/>
    <w:rsid w:val="00583D6F"/>
    <w:rsid w:val="0058435E"/>
    <w:rsid w:val="00591229"/>
    <w:rsid w:val="00591D61"/>
    <w:rsid w:val="00592410"/>
    <w:rsid w:val="005929D5"/>
    <w:rsid w:val="00595F9B"/>
    <w:rsid w:val="005A0C36"/>
    <w:rsid w:val="005A1010"/>
    <w:rsid w:val="005A2A12"/>
    <w:rsid w:val="005A6753"/>
    <w:rsid w:val="005A78B5"/>
    <w:rsid w:val="005A7FB0"/>
    <w:rsid w:val="005B0A5C"/>
    <w:rsid w:val="005B12EB"/>
    <w:rsid w:val="005B13BB"/>
    <w:rsid w:val="005B388D"/>
    <w:rsid w:val="005B4212"/>
    <w:rsid w:val="005B5074"/>
    <w:rsid w:val="005B7389"/>
    <w:rsid w:val="005B7849"/>
    <w:rsid w:val="005C2358"/>
    <w:rsid w:val="005C5135"/>
    <w:rsid w:val="005C51D0"/>
    <w:rsid w:val="005C6E68"/>
    <w:rsid w:val="005D07B6"/>
    <w:rsid w:val="005D0B8F"/>
    <w:rsid w:val="005D0D55"/>
    <w:rsid w:val="005D1179"/>
    <w:rsid w:val="005D2CA6"/>
    <w:rsid w:val="005D4254"/>
    <w:rsid w:val="005D42A9"/>
    <w:rsid w:val="005D7CF4"/>
    <w:rsid w:val="005E2072"/>
    <w:rsid w:val="005E42E6"/>
    <w:rsid w:val="005E5FD3"/>
    <w:rsid w:val="005E6398"/>
    <w:rsid w:val="005F0E69"/>
    <w:rsid w:val="005F12BD"/>
    <w:rsid w:val="005F1FD8"/>
    <w:rsid w:val="005F3C7F"/>
    <w:rsid w:val="005F4334"/>
    <w:rsid w:val="005F44E2"/>
    <w:rsid w:val="005F4828"/>
    <w:rsid w:val="005F492C"/>
    <w:rsid w:val="005F4B6C"/>
    <w:rsid w:val="005F507D"/>
    <w:rsid w:val="005F6A12"/>
    <w:rsid w:val="005F7F11"/>
    <w:rsid w:val="00603F3C"/>
    <w:rsid w:val="00605714"/>
    <w:rsid w:val="0060590E"/>
    <w:rsid w:val="00607495"/>
    <w:rsid w:val="006079E1"/>
    <w:rsid w:val="00607F83"/>
    <w:rsid w:val="0061021C"/>
    <w:rsid w:val="0061280C"/>
    <w:rsid w:val="00613C55"/>
    <w:rsid w:val="00614448"/>
    <w:rsid w:val="00616DD9"/>
    <w:rsid w:val="00623CA5"/>
    <w:rsid w:val="0062631F"/>
    <w:rsid w:val="006303DE"/>
    <w:rsid w:val="00630C4A"/>
    <w:rsid w:val="00631548"/>
    <w:rsid w:val="00631975"/>
    <w:rsid w:val="006323CA"/>
    <w:rsid w:val="00632C10"/>
    <w:rsid w:val="00632D02"/>
    <w:rsid w:val="00632E54"/>
    <w:rsid w:val="00632F03"/>
    <w:rsid w:val="00633C26"/>
    <w:rsid w:val="00633EDA"/>
    <w:rsid w:val="00634BA9"/>
    <w:rsid w:val="00635A24"/>
    <w:rsid w:val="00635A2B"/>
    <w:rsid w:val="00636BE5"/>
    <w:rsid w:val="00636D30"/>
    <w:rsid w:val="00637EE9"/>
    <w:rsid w:val="00641A91"/>
    <w:rsid w:val="00641C98"/>
    <w:rsid w:val="006426FC"/>
    <w:rsid w:val="006447DA"/>
    <w:rsid w:val="00645B8E"/>
    <w:rsid w:val="00647AED"/>
    <w:rsid w:val="006519A8"/>
    <w:rsid w:val="006539A3"/>
    <w:rsid w:val="006556A7"/>
    <w:rsid w:val="00655D77"/>
    <w:rsid w:val="00660272"/>
    <w:rsid w:val="00662A75"/>
    <w:rsid w:val="00666E35"/>
    <w:rsid w:val="00672B23"/>
    <w:rsid w:val="00673AD8"/>
    <w:rsid w:val="00674C3E"/>
    <w:rsid w:val="00675377"/>
    <w:rsid w:val="0067581F"/>
    <w:rsid w:val="00675D01"/>
    <w:rsid w:val="00676EE3"/>
    <w:rsid w:val="00680768"/>
    <w:rsid w:val="00681D47"/>
    <w:rsid w:val="00681E59"/>
    <w:rsid w:val="0068270E"/>
    <w:rsid w:val="0068317B"/>
    <w:rsid w:val="006848B0"/>
    <w:rsid w:val="00684E87"/>
    <w:rsid w:val="00686CFB"/>
    <w:rsid w:val="00686DFB"/>
    <w:rsid w:val="006876FC"/>
    <w:rsid w:val="00691B25"/>
    <w:rsid w:val="00695287"/>
    <w:rsid w:val="00696D49"/>
    <w:rsid w:val="006A07DD"/>
    <w:rsid w:val="006A2CCB"/>
    <w:rsid w:val="006A36CB"/>
    <w:rsid w:val="006A3A47"/>
    <w:rsid w:val="006A3F80"/>
    <w:rsid w:val="006A6CED"/>
    <w:rsid w:val="006B0CC4"/>
    <w:rsid w:val="006B207A"/>
    <w:rsid w:val="006B32EE"/>
    <w:rsid w:val="006B3CCF"/>
    <w:rsid w:val="006B5590"/>
    <w:rsid w:val="006B5EFF"/>
    <w:rsid w:val="006B7B67"/>
    <w:rsid w:val="006B7ED1"/>
    <w:rsid w:val="006C173D"/>
    <w:rsid w:val="006C211F"/>
    <w:rsid w:val="006C5DB6"/>
    <w:rsid w:val="006C7A3A"/>
    <w:rsid w:val="006D0356"/>
    <w:rsid w:val="006D098F"/>
    <w:rsid w:val="006D11BF"/>
    <w:rsid w:val="006D1760"/>
    <w:rsid w:val="006D1B87"/>
    <w:rsid w:val="006D1BE7"/>
    <w:rsid w:val="006D1C9C"/>
    <w:rsid w:val="006D3366"/>
    <w:rsid w:val="006D3FD6"/>
    <w:rsid w:val="006D4B97"/>
    <w:rsid w:val="006D6055"/>
    <w:rsid w:val="006D6750"/>
    <w:rsid w:val="006D6D4A"/>
    <w:rsid w:val="006E0CBD"/>
    <w:rsid w:val="006E172E"/>
    <w:rsid w:val="006E21CA"/>
    <w:rsid w:val="006E3627"/>
    <w:rsid w:val="006E47FE"/>
    <w:rsid w:val="006E4B5F"/>
    <w:rsid w:val="006E4ED9"/>
    <w:rsid w:val="006E5D8E"/>
    <w:rsid w:val="006F0FEC"/>
    <w:rsid w:val="006F2D46"/>
    <w:rsid w:val="006F39B7"/>
    <w:rsid w:val="006F490B"/>
    <w:rsid w:val="006F6386"/>
    <w:rsid w:val="006F7374"/>
    <w:rsid w:val="00703493"/>
    <w:rsid w:val="007034AB"/>
    <w:rsid w:val="00703A12"/>
    <w:rsid w:val="00706341"/>
    <w:rsid w:val="00707903"/>
    <w:rsid w:val="0071006B"/>
    <w:rsid w:val="00710A79"/>
    <w:rsid w:val="007111A0"/>
    <w:rsid w:val="0071199B"/>
    <w:rsid w:val="00711A69"/>
    <w:rsid w:val="00711C08"/>
    <w:rsid w:val="00712D3A"/>
    <w:rsid w:val="00713A9A"/>
    <w:rsid w:val="00713E4C"/>
    <w:rsid w:val="0071491B"/>
    <w:rsid w:val="007156E2"/>
    <w:rsid w:val="007157DE"/>
    <w:rsid w:val="00716462"/>
    <w:rsid w:val="007173C9"/>
    <w:rsid w:val="007177C5"/>
    <w:rsid w:val="00717D60"/>
    <w:rsid w:val="007237F7"/>
    <w:rsid w:val="00725220"/>
    <w:rsid w:val="00725762"/>
    <w:rsid w:val="00727DD4"/>
    <w:rsid w:val="00727F4A"/>
    <w:rsid w:val="0073321B"/>
    <w:rsid w:val="00735AB4"/>
    <w:rsid w:val="00740D79"/>
    <w:rsid w:val="007417B4"/>
    <w:rsid w:val="00741DBA"/>
    <w:rsid w:val="00742CD3"/>
    <w:rsid w:val="007432C1"/>
    <w:rsid w:val="0074511A"/>
    <w:rsid w:val="0074671C"/>
    <w:rsid w:val="00746A61"/>
    <w:rsid w:val="0075019A"/>
    <w:rsid w:val="00753C36"/>
    <w:rsid w:val="00754CBA"/>
    <w:rsid w:val="007566B9"/>
    <w:rsid w:val="00756CBE"/>
    <w:rsid w:val="00756E53"/>
    <w:rsid w:val="00756FC4"/>
    <w:rsid w:val="00756FED"/>
    <w:rsid w:val="0075779D"/>
    <w:rsid w:val="00761043"/>
    <w:rsid w:val="00761C28"/>
    <w:rsid w:val="00763A54"/>
    <w:rsid w:val="00763F5D"/>
    <w:rsid w:val="00764D77"/>
    <w:rsid w:val="00765838"/>
    <w:rsid w:val="00766A0E"/>
    <w:rsid w:val="00766B64"/>
    <w:rsid w:val="00767A63"/>
    <w:rsid w:val="007721A9"/>
    <w:rsid w:val="0077383F"/>
    <w:rsid w:val="00774FC5"/>
    <w:rsid w:val="00776618"/>
    <w:rsid w:val="0077669F"/>
    <w:rsid w:val="00776C99"/>
    <w:rsid w:val="00776EF0"/>
    <w:rsid w:val="00777292"/>
    <w:rsid w:val="00782AF0"/>
    <w:rsid w:val="00784355"/>
    <w:rsid w:val="007844C8"/>
    <w:rsid w:val="00784F82"/>
    <w:rsid w:val="0078708C"/>
    <w:rsid w:val="007876D4"/>
    <w:rsid w:val="007905AF"/>
    <w:rsid w:val="007906CD"/>
    <w:rsid w:val="00790B93"/>
    <w:rsid w:val="007919F5"/>
    <w:rsid w:val="00792A30"/>
    <w:rsid w:val="00793EA6"/>
    <w:rsid w:val="007946C0"/>
    <w:rsid w:val="00794780"/>
    <w:rsid w:val="00794BF3"/>
    <w:rsid w:val="00796FE2"/>
    <w:rsid w:val="00797271"/>
    <w:rsid w:val="007A0E84"/>
    <w:rsid w:val="007A1A8D"/>
    <w:rsid w:val="007A2F15"/>
    <w:rsid w:val="007A3DCB"/>
    <w:rsid w:val="007A3DCF"/>
    <w:rsid w:val="007A49D2"/>
    <w:rsid w:val="007A4E72"/>
    <w:rsid w:val="007A5D5E"/>
    <w:rsid w:val="007B0413"/>
    <w:rsid w:val="007B223F"/>
    <w:rsid w:val="007B505C"/>
    <w:rsid w:val="007B530C"/>
    <w:rsid w:val="007C157F"/>
    <w:rsid w:val="007C2A73"/>
    <w:rsid w:val="007C31E1"/>
    <w:rsid w:val="007C393F"/>
    <w:rsid w:val="007C3960"/>
    <w:rsid w:val="007C51DC"/>
    <w:rsid w:val="007C529C"/>
    <w:rsid w:val="007C52E3"/>
    <w:rsid w:val="007C547C"/>
    <w:rsid w:val="007C646E"/>
    <w:rsid w:val="007D010A"/>
    <w:rsid w:val="007D18F7"/>
    <w:rsid w:val="007D257B"/>
    <w:rsid w:val="007D370E"/>
    <w:rsid w:val="007D609C"/>
    <w:rsid w:val="007E1D79"/>
    <w:rsid w:val="007E2CB1"/>
    <w:rsid w:val="007E31D1"/>
    <w:rsid w:val="007E3394"/>
    <w:rsid w:val="007E49EA"/>
    <w:rsid w:val="007E5755"/>
    <w:rsid w:val="007E62BF"/>
    <w:rsid w:val="007E783C"/>
    <w:rsid w:val="007F031E"/>
    <w:rsid w:val="007F1D34"/>
    <w:rsid w:val="007F3E21"/>
    <w:rsid w:val="008023DA"/>
    <w:rsid w:val="0080558A"/>
    <w:rsid w:val="008064F3"/>
    <w:rsid w:val="008065BA"/>
    <w:rsid w:val="00806E78"/>
    <w:rsid w:val="00807053"/>
    <w:rsid w:val="00811604"/>
    <w:rsid w:val="008120C3"/>
    <w:rsid w:val="00814402"/>
    <w:rsid w:val="0081730A"/>
    <w:rsid w:val="008176B5"/>
    <w:rsid w:val="00820A19"/>
    <w:rsid w:val="00821332"/>
    <w:rsid w:val="00822EF2"/>
    <w:rsid w:val="00825E36"/>
    <w:rsid w:val="00826E34"/>
    <w:rsid w:val="008301A3"/>
    <w:rsid w:val="0083073D"/>
    <w:rsid w:val="00830976"/>
    <w:rsid w:val="008312EA"/>
    <w:rsid w:val="008314FD"/>
    <w:rsid w:val="00835100"/>
    <w:rsid w:val="00836FFE"/>
    <w:rsid w:val="00840FF0"/>
    <w:rsid w:val="008417FF"/>
    <w:rsid w:val="00842C0B"/>
    <w:rsid w:val="008430AB"/>
    <w:rsid w:val="00843237"/>
    <w:rsid w:val="00844239"/>
    <w:rsid w:val="00844834"/>
    <w:rsid w:val="00846612"/>
    <w:rsid w:val="00846735"/>
    <w:rsid w:val="00846C35"/>
    <w:rsid w:val="008470D5"/>
    <w:rsid w:val="00850B04"/>
    <w:rsid w:val="00850B34"/>
    <w:rsid w:val="008510A5"/>
    <w:rsid w:val="00853663"/>
    <w:rsid w:val="008545C1"/>
    <w:rsid w:val="00854772"/>
    <w:rsid w:val="00857151"/>
    <w:rsid w:val="00860C70"/>
    <w:rsid w:val="00861C4A"/>
    <w:rsid w:val="0086401C"/>
    <w:rsid w:val="008645EB"/>
    <w:rsid w:val="00865346"/>
    <w:rsid w:val="00865610"/>
    <w:rsid w:val="00867514"/>
    <w:rsid w:val="00867AAF"/>
    <w:rsid w:val="00872609"/>
    <w:rsid w:val="008768E8"/>
    <w:rsid w:val="00880241"/>
    <w:rsid w:val="00884E15"/>
    <w:rsid w:val="0088555B"/>
    <w:rsid w:val="00886C79"/>
    <w:rsid w:val="008909B8"/>
    <w:rsid w:val="00891F34"/>
    <w:rsid w:val="00893243"/>
    <w:rsid w:val="00894FA8"/>
    <w:rsid w:val="00896459"/>
    <w:rsid w:val="00896FC0"/>
    <w:rsid w:val="008A0CC9"/>
    <w:rsid w:val="008A0E29"/>
    <w:rsid w:val="008A0F72"/>
    <w:rsid w:val="008A5FE5"/>
    <w:rsid w:val="008A6A55"/>
    <w:rsid w:val="008B0513"/>
    <w:rsid w:val="008B07B5"/>
    <w:rsid w:val="008B0EB9"/>
    <w:rsid w:val="008B32B9"/>
    <w:rsid w:val="008B3B0D"/>
    <w:rsid w:val="008B56DB"/>
    <w:rsid w:val="008B5772"/>
    <w:rsid w:val="008B6941"/>
    <w:rsid w:val="008B7AF8"/>
    <w:rsid w:val="008C0A66"/>
    <w:rsid w:val="008C1855"/>
    <w:rsid w:val="008C30A3"/>
    <w:rsid w:val="008C316D"/>
    <w:rsid w:val="008C34A0"/>
    <w:rsid w:val="008C6C44"/>
    <w:rsid w:val="008D01A9"/>
    <w:rsid w:val="008D28CA"/>
    <w:rsid w:val="008D28CB"/>
    <w:rsid w:val="008D3A4E"/>
    <w:rsid w:val="008D3BC5"/>
    <w:rsid w:val="008D5646"/>
    <w:rsid w:val="008D5B49"/>
    <w:rsid w:val="008D67DD"/>
    <w:rsid w:val="008E0700"/>
    <w:rsid w:val="008E1761"/>
    <w:rsid w:val="008E1AC1"/>
    <w:rsid w:val="008E30EC"/>
    <w:rsid w:val="008E3B22"/>
    <w:rsid w:val="008E3EA1"/>
    <w:rsid w:val="008E43E1"/>
    <w:rsid w:val="008E5558"/>
    <w:rsid w:val="008E5BC2"/>
    <w:rsid w:val="008E6396"/>
    <w:rsid w:val="008F445D"/>
    <w:rsid w:val="008F4FD7"/>
    <w:rsid w:val="008F6007"/>
    <w:rsid w:val="008F6493"/>
    <w:rsid w:val="008F6F94"/>
    <w:rsid w:val="00901202"/>
    <w:rsid w:val="00901885"/>
    <w:rsid w:val="00902290"/>
    <w:rsid w:val="0090275C"/>
    <w:rsid w:val="00902AFB"/>
    <w:rsid w:val="00902B60"/>
    <w:rsid w:val="00907E67"/>
    <w:rsid w:val="00911671"/>
    <w:rsid w:val="00911A14"/>
    <w:rsid w:val="00912208"/>
    <w:rsid w:val="00912308"/>
    <w:rsid w:val="00915D2F"/>
    <w:rsid w:val="00916B79"/>
    <w:rsid w:val="00916F0D"/>
    <w:rsid w:val="00917D85"/>
    <w:rsid w:val="00920268"/>
    <w:rsid w:val="00921026"/>
    <w:rsid w:val="00921DA0"/>
    <w:rsid w:val="00924EF0"/>
    <w:rsid w:val="00931ED3"/>
    <w:rsid w:val="00931F25"/>
    <w:rsid w:val="00931F4C"/>
    <w:rsid w:val="00932563"/>
    <w:rsid w:val="009327F1"/>
    <w:rsid w:val="00933803"/>
    <w:rsid w:val="00934B6D"/>
    <w:rsid w:val="00936BA5"/>
    <w:rsid w:val="00937962"/>
    <w:rsid w:val="00937FAA"/>
    <w:rsid w:val="00940A38"/>
    <w:rsid w:val="00940ABE"/>
    <w:rsid w:val="00943DDD"/>
    <w:rsid w:val="00943FAC"/>
    <w:rsid w:val="00944B49"/>
    <w:rsid w:val="009511C9"/>
    <w:rsid w:val="0095136D"/>
    <w:rsid w:val="009519B9"/>
    <w:rsid w:val="00951CF8"/>
    <w:rsid w:val="00952067"/>
    <w:rsid w:val="00953916"/>
    <w:rsid w:val="00956980"/>
    <w:rsid w:val="0096051E"/>
    <w:rsid w:val="0096181A"/>
    <w:rsid w:val="00962D4B"/>
    <w:rsid w:val="009630AE"/>
    <w:rsid w:val="00963850"/>
    <w:rsid w:val="00963DAE"/>
    <w:rsid w:val="009646AC"/>
    <w:rsid w:val="009672D0"/>
    <w:rsid w:val="009674D3"/>
    <w:rsid w:val="00972288"/>
    <w:rsid w:val="00972306"/>
    <w:rsid w:val="00972A3B"/>
    <w:rsid w:val="00973DEA"/>
    <w:rsid w:val="00977C68"/>
    <w:rsid w:val="009801CE"/>
    <w:rsid w:val="009804F6"/>
    <w:rsid w:val="009819E3"/>
    <w:rsid w:val="0098362F"/>
    <w:rsid w:val="0098476E"/>
    <w:rsid w:val="009850F3"/>
    <w:rsid w:val="00985AF6"/>
    <w:rsid w:val="00987215"/>
    <w:rsid w:val="009874B4"/>
    <w:rsid w:val="00987B17"/>
    <w:rsid w:val="00990268"/>
    <w:rsid w:val="00990D4A"/>
    <w:rsid w:val="00991DAC"/>
    <w:rsid w:val="00992816"/>
    <w:rsid w:val="00993242"/>
    <w:rsid w:val="00994041"/>
    <w:rsid w:val="00994D82"/>
    <w:rsid w:val="0099675C"/>
    <w:rsid w:val="009977C7"/>
    <w:rsid w:val="009A025C"/>
    <w:rsid w:val="009A02F7"/>
    <w:rsid w:val="009A0316"/>
    <w:rsid w:val="009A0D7F"/>
    <w:rsid w:val="009A1639"/>
    <w:rsid w:val="009A6A22"/>
    <w:rsid w:val="009A774E"/>
    <w:rsid w:val="009B0D6F"/>
    <w:rsid w:val="009B3404"/>
    <w:rsid w:val="009B3531"/>
    <w:rsid w:val="009B580B"/>
    <w:rsid w:val="009B5C83"/>
    <w:rsid w:val="009B5F4A"/>
    <w:rsid w:val="009B65D2"/>
    <w:rsid w:val="009B7A27"/>
    <w:rsid w:val="009C1279"/>
    <w:rsid w:val="009C2B62"/>
    <w:rsid w:val="009C3ECC"/>
    <w:rsid w:val="009C4196"/>
    <w:rsid w:val="009C4DE2"/>
    <w:rsid w:val="009C5DFF"/>
    <w:rsid w:val="009C5E2E"/>
    <w:rsid w:val="009C7514"/>
    <w:rsid w:val="009D14BF"/>
    <w:rsid w:val="009D18A7"/>
    <w:rsid w:val="009D360E"/>
    <w:rsid w:val="009D3DAA"/>
    <w:rsid w:val="009D492D"/>
    <w:rsid w:val="009D55D4"/>
    <w:rsid w:val="009D583F"/>
    <w:rsid w:val="009D636A"/>
    <w:rsid w:val="009E2BC5"/>
    <w:rsid w:val="009E3CF9"/>
    <w:rsid w:val="009E3F79"/>
    <w:rsid w:val="009E6FD3"/>
    <w:rsid w:val="009F0209"/>
    <w:rsid w:val="009F0429"/>
    <w:rsid w:val="009F1636"/>
    <w:rsid w:val="009F3452"/>
    <w:rsid w:val="009F5622"/>
    <w:rsid w:val="009F60D6"/>
    <w:rsid w:val="009F66E2"/>
    <w:rsid w:val="00A00CD6"/>
    <w:rsid w:val="00A01F14"/>
    <w:rsid w:val="00A0221B"/>
    <w:rsid w:val="00A048C3"/>
    <w:rsid w:val="00A04C2E"/>
    <w:rsid w:val="00A054C6"/>
    <w:rsid w:val="00A069FF"/>
    <w:rsid w:val="00A071E9"/>
    <w:rsid w:val="00A12A1B"/>
    <w:rsid w:val="00A13EEA"/>
    <w:rsid w:val="00A146BF"/>
    <w:rsid w:val="00A15440"/>
    <w:rsid w:val="00A17C80"/>
    <w:rsid w:val="00A208AF"/>
    <w:rsid w:val="00A21D8F"/>
    <w:rsid w:val="00A21DA0"/>
    <w:rsid w:val="00A22FD1"/>
    <w:rsid w:val="00A24E35"/>
    <w:rsid w:val="00A270AF"/>
    <w:rsid w:val="00A27AF2"/>
    <w:rsid w:val="00A27FEF"/>
    <w:rsid w:val="00A312F0"/>
    <w:rsid w:val="00A32F50"/>
    <w:rsid w:val="00A34226"/>
    <w:rsid w:val="00A351A5"/>
    <w:rsid w:val="00A36618"/>
    <w:rsid w:val="00A40482"/>
    <w:rsid w:val="00A409F9"/>
    <w:rsid w:val="00A40AF7"/>
    <w:rsid w:val="00A4189A"/>
    <w:rsid w:val="00A423E2"/>
    <w:rsid w:val="00A426FA"/>
    <w:rsid w:val="00A4339F"/>
    <w:rsid w:val="00A43AD4"/>
    <w:rsid w:val="00A43F71"/>
    <w:rsid w:val="00A44014"/>
    <w:rsid w:val="00A45704"/>
    <w:rsid w:val="00A46F5B"/>
    <w:rsid w:val="00A4797E"/>
    <w:rsid w:val="00A47D15"/>
    <w:rsid w:val="00A504FE"/>
    <w:rsid w:val="00A512C0"/>
    <w:rsid w:val="00A519DE"/>
    <w:rsid w:val="00A5212F"/>
    <w:rsid w:val="00A522E4"/>
    <w:rsid w:val="00A53B66"/>
    <w:rsid w:val="00A551D1"/>
    <w:rsid w:val="00A574CC"/>
    <w:rsid w:val="00A57AC0"/>
    <w:rsid w:val="00A61716"/>
    <w:rsid w:val="00A61EC6"/>
    <w:rsid w:val="00A6233A"/>
    <w:rsid w:val="00A66488"/>
    <w:rsid w:val="00A674F3"/>
    <w:rsid w:val="00A67CE0"/>
    <w:rsid w:val="00A706BA"/>
    <w:rsid w:val="00A75552"/>
    <w:rsid w:val="00A81BE4"/>
    <w:rsid w:val="00A83A92"/>
    <w:rsid w:val="00A907E5"/>
    <w:rsid w:val="00A90811"/>
    <w:rsid w:val="00A9090F"/>
    <w:rsid w:val="00A90B9C"/>
    <w:rsid w:val="00A91F67"/>
    <w:rsid w:val="00A92149"/>
    <w:rsid w:val="00A96D02"/>
    <w:rsid w:val="00AA0E0C"/>
    <w:rsid w:val="00AA1B89"/>
    <w:rsid w:val="00AA27A5"/>
    <w:rsid w:val="00AA33C6"/>
    <w:rsid w:val="00AA4DEA"/>
    <w:rsid w:val="00AA5EE1"/>
    <w:rsid w:val="00AA63FE"/>
    <w:rsid w:val="00AA66DE"/>
    <w:rsid w:val="00AA6EA6"/>
    <w:rsid w:val="00AA7F1F"/>
    <w:rsid w:val="00AB027F"/>
    <w:rsid w:val="00AB0972"/>
    <w:rsid w:val="00AB0C67"/>
    <w:rsid w:val="00AB39BC"/>
    <w:rsid w:val="00AB4A69"/>
    <w:rsid w:val="00AC0AD3"/>
    <w:rsid w:val="00AC0B57"/>
    <w:rsid w:val="00AC1846"/>
    <w:rsid w:val="00AC1EC7"/>
    <w:rsid w:val="00AC2221"/>
    <w:rsid w:val="00AC4BEA"/>
    <w:rsid w:val="00AC4D9E"/>
    <w:rsid w:val="00AC63C5"/>
    <w:rsid w:val="00AC73A3"/>
    <w:rsid w:val="00AD0BB3"/>
    <w:rsid w:val="00AD0FA7"/>
    <w:rsid w:val="00AD2E11"/>
    <w:rsid w:val="00AD2F19"/>
    <w:rsid w:val="00AD5B7F"/>
    <w:rsid w:val="00AE08AC"/>
    <w:rsid w:val="00AE2180"/>
    <w:rsid w:val="00AE259F"/>
    <w:rsid w:val="00AE28E8"/>
    <w:rsid w:val="00AE2AF3"/>
    <w:rsid w:val="00AE2BCF"/>
    <w:rsid w:val="00AE3A7B"/>
    <w:rsid w:val="00AE62D8"/>
    <w:rsid w:val="00AE6387"/>
    <w:rsid w:val="00AE6FF7"/>
    <w:rsid w:val="00AE7209"/>
    <w:rsid w:val="00AE739D"/>
    <w:rsid w:val="00AE79BE"/>
    <w:rsid w:val="00AF0204"/>
    <w:rsid w:val="00AF0574"/>
    <w:rsid w:val="00AF0F24"/>
    <w:rsid w:val="00AF151F"/>
    <w:rsid w:val="00AF17F1"/>
    <w:rsid w:val="00AF19B7"/>
    <w:rsid w:val="00AF343E"/>
    <w:rsid w:val="00AF411B"/>
    <w:rsid w:val="00B00A3E"/>
    <w:rsid w:val="00B00F0D"/>
    <w:rsid w:val="00B0125F"/>
    <w:rsid w:val="00B01D50"/>
    <w:rsid w:val="00B04296"/>
    <w:rsid w:val="00B04A51"/>
    <w:rsid w:val="00B05AEB"/>
    <w:rsid w:val="00B110D3"/>
    <w:rsid w:val="00B1523F"/>
    <w:rsid w:val="00B15FD4"/>
    <w:rsid w:val="00B17415"/>
    <w:rsid w:val="00B17D8A"/>
    <w:rsid w:val="00B2133A"/>
    <w:rsid w:val="00B216AD"/>
    <w:rsid w:val="00B21701"/>
    <w:rsid w:val="00B2182D"/>
    <w:rsid w:val="00B218F5"/>
    <w:rsid w:val="00B233CF"/>
    <w:rsid w:val="00B235AA"/>
    <w:rsid w:val="00B241CD"/>
    <w:rsid w:val="00B242F6"/>
    <w:rsid w:val="00B337C2"/>
    <w:rsid w:val="00B358CC"/>
    <w:rsid w:val="00B36F3D"/>
    <w:rsid w:val="00B36FF2"/>
    <w:rsid w:val="00B37CCB"/>
    <w:rsid w:val="00B42274"/>
    <w:rsid w:val="00B433E0"/>
    <w:rsid w:val="00B443AE"/>
    <w:rsid w:val="00B4551C"/>
    <w:rsid w:val="00B47FE1"/>
    <w:rsid w:val="00B5128F"/>
    <w:rsid w:val="00B52774"/>
    <w:rsid w:val="00B54646"/>
    <w:rsid w:val="00B55730"/>
    <w:rsid w:val="00B55CA7"/>
    <w:rsid w:val="00B565F2"/>
    <w:rsid w:val="00B56FEF"/>
    <w:rsid w:val="00B575AD"/>
    <w:rsid w:val="00B576BF"/>
    <w:rsid w:val="00B577DD"/>
    <w:rsid w:val="00B60901"/>
    <w:rsid w:val="00B612FF"/>
    <w:rsid w:val="00B6168D"/>
    <w:rsid w:val="00B61F1F"/>
    <w:rsid w:val="00B638FF"/>
    <w:rsid w:val="00B65D60"/>
    <w:rsid w:val="00B662D6"/>
    <w:rsid w:val="00B66D5E"/>
    <w:rsid w:val="00B6750D"/>
    <w:rsid w:val="00B67700"/>
    <w:rsid w:val="00B706E7"/>
    <w:rsid w:val="00B7123F"/>
    <w:rsid w:val="00B716EC"/>
    <w:rsid w:val="00B71936"/>
    <w:rsid w:val="00B71DD3"/>
    <w:rsid w:val="00B72DD7"/>
    <w:rsid w:val="00B7451C"/>
    <w:rsid w:val="00B74CAF"/>
    <w:rsid w:val="00B75B07"/>
    <w:rsid w:val="00B761DD"/>
    <w:rsid w:val="00B76216"/>
    <w:rsid w:val="00B76518"/>
    <w:rsid w:val="00B771D0"/>
    <w:rsid w:val="00B77CBB"/>
    <w:rsid w:val="00B82AF6"/>
    <w:rsid w:val="00B83267"/>
    <w:rsid w:val="00B833F4"/>
    <w:rsid w:val="00B83753"/>
    <w:rsid w:val="00B84522"/>
    <w:rsid w:val="00B903F1"/>
    <w:rsid w:val="00B935E8"/>
    <w:rsid w:val="00B972AF"/>
    <w:rsid w:val="00B97A8D"/>
    <w:rsid w:val="00BA1F84"/>
    <w:rsid w:val="00BA3BD5"/>
    <w:rsid w:val="00BA4283"/>
    <w:rsid w:val="00BA47E9"/>
    <w:rsid w:val="00BA5E7F"/>
    <w:rsid w:val="00BA750E"/>
    <w:rsid w:val="00BB2990"/>
    <w:rsid w:val="00BB2E1A"/>
    <w:rsid w:val="00BB3E6D"/>
    <w:rsid w:val="00BB3E82"/>
    <w:rsid w:val="00BB6696"/>
    <w:rsid w:val="00BB7E0D"/>
    <w:rsid w:val="00BC034B"/>
    <w:rsid w:val="00BC2991"/>
    <w:rsid w:val="00BC4B52"/>
    <w:rsid w:val="00BC4D7D"/>
    <w:rsid w:val="00BC5B3E"/>
    <w:rsid w:val="00BC7771"/>
    <w:rsid w:val="00BD0756"/>
    <w:rsid w:val="00BD1EF4"/>
    <w:rsid w:val="00BD3428"/>
    <w:rsid w:val="00BD3596"/>
    <w:rsid w:val="00BD429B"/>
    <w:rsid w:val="00BD60E3"/>
    <w:rsid w:val="00BD6DBE"/>
    <w:rsid w:val="00BE0D4A"/>
    <w:rsid w:val="00BE102C"/>
    <w:rsid w:val="00BE1779"/>
    <w:rsid w:val="00BE3412"/>
    <w:rsid w:val="00BE7730"/>
    <w:rsid w:val="00BF0C14"/>
    <w:rsid w:val="00BF31B4"/>
    <w:rsid w:val="00BF63F4"/>
    <w:rsid w:val="00BF717B"/>
    <w:rsid w:val="00BF75FA"/>
    <w:rsid w:val="00C01304"/>
    <w:rsid w:val="00C0178A"/>
    <w:rsid w:val="00C02915"/>
    <w:rsid w:val="00C04484"/>
    <w:rsid w:val="00C0650E"/>
    <w:rsid w:val="00C06776"/>
    <w:rsid w:val="00C07360"/>
    <w:rsid w:val="00C07C96"/>
    <w:rsid w:val="00C113FB"/>
    <w:rsid w:val="00C144FE"/>
    <w:rsid w:val="00C14783"/>
    <w:rsid w:val="00C1598A"/>
    <w:rsid w:val="00C16776"/>
    <w:rsid w:val="00C17310"/>
    <w:rsid w:val="00C17B54"/>
    <w:rsid w:val="00C17ED8"/>
    <w:rsid w:val="00C20169"/>
    <w:rsid w:val="00C25D2D"/>
    <w:rsid w:val="00C266A8"/>
    <w:rsid w:val="00C26BF2"/>
    <w:rsid w:val="00C27016"/>
    <w:rsid w:val="00C27FBE"/>
    <w:rsid w:val="00C31520"/>
    <w:rsid w:val="00C33F82"/>
    <w:rsid w:val="00C33FFC"/>
    <w:rsid w:val="00C34130"/>
    <w:rsid w:val="00C346C6"/>
    <w:rsid w:val="00C34C15"/>
    <w:rsid w:val="00C3502C"/>
    <w:rsid w:val="00C379CF"/>
    <w:rsid w:val="00C37FAC"/>
    <w:rsid w:val="00C40C60"/>
    <w:rsid w:val="00C444C4"/>
    <w:rsid w:val="00C4701B"/>
    <w:rsid w:val="00C4734D"/>
    <w:rsid w:val="00C47490"/>
    <w:rsid w:val="00C47E64"/>
    <w:rsid w:val="00C50112"/>
    <w:rsid w:val="00C50FCE"/>
    <w:rsid w:val="00C53D84"/>
    <w:rsid w:val="00C5471A"/>
    <w:rsid w:val="00C55274"/>
    <w:rsid w:val="00C56CEC"/>
    <w:rsid w:val="00C574C5"/>
    <w:rsid w:val="00C61164"/>
    <w:rsid w:val="00C6141E"/>
    <w:rsid w:val="00C61C04"/>
    <w:rsid w:val="00C633F0"/>
    <w:rsid w:val="00C64657"/>
    <w:rsid w:val="00C64839"/>
    <w:rsid w:val="00C666E7"/>
    <w:rsid w:val="00C715A7"/>
    <w:rsid w:val="00C72AB2"/>
    <w:rsid w:val="00C72C1A"/>
    <w:rsid w:val="00C74F79"/>
    <w:rsid w:val="00C75B49"/>
    <w:rsid w:val="00C80CB5"/>
    <w:rsid w:val="00C81B55"/>
    <w:rsid w:val="00C83FDC"/>
    <w:rsid w:val="00C8454F"/>
    <w:rsid w:val="00C84C3B"/>
    <w:rsid w:val="00C90BF3"/>
    <w:rsid w:val="00C910DE"/>
    <w:rsid w:val="00C91698"/>
    <w:rsid w:val="00C957F6"/>
    <w:rsid w:val="00C96E79"/>
    <w:rsid w:val="00C9769B"/>
    <w:rsid w:val="00CA06F4"/>
    <w:rsid w:val="00CA2504"/>
    <w:rsid w:val="00CA3237"/>
    <w:rsid w:val="00CA4377"/>
    <w:rsid w:val="00CA6A53"/>
    <w:rsid w:val="00CA7C59"/>
    <w:rsid w:val="00CB0327"/>
    <w:rsid w:val="00CB1197"/>
    <w:rsid w:val="00CB4EEE"/>
    <w:rsid w:val="00CB57BA"/>
    <w:rsid w:val="00CB5969"/>
    <w:rsid w:val="00CB5D94"/>
    <w:rsid w:val="00CC02AE"/>
    <w:rsid w:val="00CC148C"/>
    <w:rsid w:val="00CC4209"/>
    <w:rsid w:val="00CC78B4"/>
    <w:rsid w:val="00CD11BE"/>
    <w:rsid w:val="00CD1C30"/>
    <w:rsid w:val="00CD4474"/>
    <w:rsid w:val="00CD595A"/>
    <w:rsid w:val="00CD5B1A"/>
    <w:rsid w:val="00CD706E"/>
    <w:rsid w:val="00CE077E"/>
    <w:rsid w:val="00CE1080"/>
    <w:rsid w:val="00CE3EE4"/>
    <w:rsid w:val="00CE49F8"/>
    <w:rsid w:val="00CE4D6E"/>
    <w:rsid w:val="00CE4F0E"/>
    <w:rsid w:val="00CE5440"/>
    <w:rsid w:val="00CE6379"/>
    <w:rsid w:val="00CE77B4"/>
    <w:rsid w:val="00CE7CE3"/>
    <w:rsid w:val="00CF1CF8"/>
    <w:rsid w:val="00CF2781"/>
    <w:rsid w:val="00CF27F8"/>
    <w:rsid w:val="00CF2E08"/>
    <w:rsid w:val="00CF3605"/>
    <w:rsid w:val="00CF37A1"/>
    <w:rsid w:val="00CF49B4"/>
    <w:rsid w:val="00CF50F2"/>
    <w:rsid w:val="00CF54EF"/>
    <w:rsid w:val="00CF57CB"/>
    <w:rsid w:val="00CF7645"/>
    <w:rsid w:val="00CF7D2B"/>
    <w:rsid w:val="00D00AD3"/>
    <w:rsid w:val="00D00E34"/>
    <w:rsid w:val="00D01600"/>
    <w:rsid w:val="00D0252C"/>
    <w:rsid w:val="00D02FCA"/>
    <w:rsid w:val="00D035C1"/>
    <w:rsid w:val="00D039AF"/>
    <w:rsid w:val="00D05B73"/>
    <w:rsid w:val="00D05DA1"/>
    <w:rsid w:val="00D05E9F"/>
    <w:rsid w:val="00D07E99"/>
    <w:rsid w:val="00D1033A"/>
    <w:rsid w:val="00D11264"/>
    <w:rsid w:val="00D118B8"/>
    <w:rsid w:val="00D12059"/>
    <w:rsid w:val="00D120A8"/>
    <w:rsid w:val="00D1224A"/>
    <w:rsid w:val="00D1467E"/>
    <w:rsid w:val="00D17391"/>
    <w:rsid w:val="00D1794D"/>
    <w:rsid w:val="00D2239C"/>
    <w:rsid w:val="00D23036"/>
    <w:rsid w:val="00D2352A"/>
    <w:rsid w:val="00D23966"/>
    <w:rsid w:val="00D23B06"/>
    <w:rsid w:val="00D240E2"/>
    <w:rsid w:val="00D26840"/>
    <w:rsid w:val="00D26BEA"/>
    <w:rsid w:val="00D27C84"/>
    <w:rsid w:val="00D31AD8"/>
    <w:rsid w:val="00D3325C"/>
    <w:rsid w:val="00D34B82"/>
    <w:rsid w:val="00D359EE"/>
    <w:rsid w:val="00D36807"/>
    <w:rsid w:val="00D3683D"/>
    <w:rsid w:val="00D41646"/>
    <w:rsid w:val="00D42614"/>
    <w:rsid w:val="00D428FB"/>
    <w:rsid w:val="00D44798"/>
    <w:rsid w:val="00D45307"/>
    <w:rsid w:val="00D459F4"/>
    <w:rsid w:val="00D50CAC"/>
    <w:rsid w:val="00D51FE2"/>
    <w:rsid w:val="00D53773"/>
    <w:rsid w:val="00D53DED"/>
    <w:rsid w:val="00D544C4"/>
    <w:rsid w:val="00D54F57"/>
    <w:rsid w:val="00D553E4"/>
    <w:rsid w:val="00D5557D"/>
    <w:rsid w:val="00D55AB9"/>
    <w:rsid w:val="00D55BF7"/>
    <w:rsid w:val="00D55D28"/>
    <w:rsid w:val="00D564E1"/>
    <w:rsid w:val="00D60CB6"/>
    <w:rsid w:val="00D61235"/>
    <w:rsid w:val="00D61A15"/>
    <w:rsid w:val="00D62BDD"/>
    <w:rsid w:val="00D62EC3"/>
    <w:rsid w:val="00D63648"/>
    <w:rsid w:val="00D642DD"/>
    <w:rsid w:val="00D648BE"/>
    <w:rsid w:val="00D65474"/>
    <w:rsid w:val="00D670A4"/>
    <w:rsid w:val="00D67278"/>
    <w:rsid w:val="00D67FBA"/>
    <w:rsid w:val="00D7055D"/>
    <w:rsid w:val="00D72B96"/>
    <w:rsid w:val="00D7431C"/>
    <w:rsid w:val="00D74401"/>
    <w:rsid w:val="00D746ED"/>
    <w:rsid w:val="00D749C8"/>
    <w:rsid w:val="00D76FC9"/>
    <w:rsid w:val="00D77B79"/>
    <w:rsid w:val="00D77B95"/>
    <w:rsid w:val="00D801B1"/>
    <w:rsid w:val="00D806FE"/>
    <w:rsid w:val="00D809F3"/>
    <w:rsid w:val="00D8169C"/>
    <w:rsid w:val="00D81F10"/>
    <w:rsid w:val="00D82193"/>
    <w:rsid w:val="00D82271"/>
    <w:rsid w:val="00D82920"/>
    <w:rsid w:val="00D82B5C"/>
    <w:rsid w:val="00D82B99"/>
    <w:rsid w:val="00D835E6"/>
    <w:rsid w:val="00D840BF"/>
    <w:rsid w:val="00D879E3"/>
    <w:rsid w:val="00D87B91"/>
    <w:rsid w:val="00D87D47"/>
    <w:rsid w:val="00D9021D"/>
    <w:rsid w:val="00D915DE"/>
    <w:rsid w:val="00D92C5D"/>
    <w:rsid w:val="00D9509C"/>
    <w:rsid w:val="00D96449"/>
    <w:rsid w:val="00D97F75"/>
    <w:rsid w:val="00DA0511"/>
    <w:rsid w:val="00DA1E9E"/>
    <w:rsid w:val="00DA2A06"/>
    <w:rsid w:val="00DA3580"/>
    <w:rsid w:val="00DA5194"/>
    <w:rsid w:val="00DA79E8"/>
    <w:rsid w:val="00DB16B1"/>
    <w:rsid w:val="00DB3036"/>
    <w:rsid w:val="00DB3F27"/>
    <w:rsid w:val="00DB5EF7"/>
    <w:rsid w:val="00DB7BEF"/>
    <w:rsid w:val="00DC0026"/>
    <w:rsid w:val="00DC0C5E"/>
    <w:rsid w:val="00DC1572"/>
    <w:rsid w:val="00DC2157"/>
    <w:rsid w:val="00DC2257"/>
    <w:rsid w:val="00DC4065"/>
    <w:rsid w:val="00DC47BE"/>
    <w:rsid w:val="00DC4A63"/>
    <w:rsid w:val="00DD0663"/>
    <w:rsid w:val="00DD0F91"/>
    <w:rsid w:val="00DD2E59"/>
    <w:rsid w:val="00DD355A"/>
    <w:rsid w:val="00DD41BB"/>
    <w:rsid w:val="00DD43C0"/>
    <w:rsid w:val="00DD4DA8"/>
    <w:rsid w:val="00DE0565"/>
    <w:rsid w:val="00DE0EB0"/>
    <w:rsid w:val="00DE0F7A"/>
    <w:rsid w:val="00DE0FF7"/>
    <w:rsid w:val="00DE2C14"/>
    <w:rsid w:val="00DE6641"/>
    <w:rsid w:val="00DE671F"/>
    <w:rsid w:val="00DE7940"/>
    <w:rsid w:val="00DF3772"/>
    <w:rsid w:val="00DF43E8"/>
    <w:rsid w:val="00DF46D0"/>
    <w:rsid w:val="00DF5222"/>
    <w:rsid w:val="00DF5803"/>
    <w:rsid w:val="00DF5E53"/>
    <w:rsid w:val="00DF7442"/>
    <w:rsid w:val="00DF7C9B"/>
    <w:rsid w:val="00E018AD"/>
    <w:rsid w:val="00E02BBD"/>
    <w:rsid w:val="00E02E93"/>
    <w:rsid w:val="00E03089"/>
    <w:rsid w:val="00E0472F"/>
    <w:rsid w:val="00E048F9"/>
    <w:rsid w:val="00E0533B"/>
    <w:rsid w:val="00E07286"/>
    <w:rsid w:val="00E11026"/>
    <w:rsid w:val="00E114AB"/>
    <w:rsid w:val="00E116C9"/>
    <w:rsid w:val="00E136A8"/>
    <w:rsid w:val="00E13D68"/>
    <w:rsid w:val="00E13DAB"/>
    <w:rsid w:val="00E13F07"/>
    <w:rsid w:val="00E15068"/>
    <w:rsid w:val="00E20C53"/>
    <w:rsid w:val="00E2196D"/>
    <w:rsid w:val="00E21E36"/>
    <w:rsid w:val="00E23017"/>
    <w:rsid w:val="00E242D8"/>
    <w:rsid w:val="00E26150"/>
    <w:rsid w:val="00E27545"/>
    <w:rsid w:val="00E27628"/>
    <w:rsid w:val="00E27E33"/>
    <w:rsid w:val="00E30152"/>
    <w:rsid w:val="00E302A3"/>
    <w:rsid w:val="00E31114"/>
    <w:rsid w:val="00E312B7"/>
    <w:rsid w:val="00E32453"/>
    <w:rsid w:val="00E32A61"/>
    <w:rsid w:val="00E343A7"/>
    <w:rsid w:val="00E36942"/>
    <w:rsid w:val="00E37139"/>
    <w:rsid w:val="00E40776"/>
    <w:rsid w:val="00E41398"/>
    <w:rsid w:val="00E45FDA"/>
    <w:rsid w:val="00E4790B"/>
    <w:rsid w:val="00E47B6D"/>
    <w:rsid w:val="00E5083A"/>
    <w:rsid w:val="00E519F7"/>
    <w:rsid w:val="00E51E9F"/>
    <w:rsid w:val="00E52C83"/>
    <w:rsid w:val="00E52D79"/>
    <w:rsid w:val="00E53B74"/>
    <w:rsid w:val="00E56C55"/>
    <w:rsid w:val="00E573CA"/>
    <w:rsid w:val="00E5741D"/>
    <w:rsid w:val="00E57E99"/>
    <w:rsid w:val="00E60AE2"/>
    <w:rsid w:val="00E60D28"/>
    <w:rsid w:val="00E61525"/>
    <w:rsid w:val="00E617D4"/>
    <w:rsid w:val="00E6452E"/>
    <w:rsid w:val="00E66768"/>
    <w:rsid w:val="00E67811"/>
    <w:rsid w:val="00E704C3"/>
    <w:rsid w:val="00E71B22"/>
    <w:rsid w:val="00E72294"/>
    <w:rsid w:val="00E7306F"/>
    <w:rsid w:val="00E73218"/>
    <w:rsid w:val="00E75358"/>
    <w:rsid w:val="00E76865"/>
    <w:rsid w:val="00E770D7"/>
    <w:rsid w:val="00E83DE1"/>
    <w:rsid w:val="00E86011"/>
    <w:rsid w:val="00E90A1D"/>
    <w:rsid w:val="00E91A10"/>
    <w:rsid w:val="00E91A52"/>
    <w:rsid w:val="00E9280A"/>
    <w:rsid w:val="00E93D9E"/>
    <w:rsid w:val="00E94F8C"/>
    <w:rsid w:val="00E95325"/>
    <w:rsid w:val="00E95464"/>
    <w:rsid w:val="00E95BA5"/>
    <w:rsid w:val="00E96570"/>
    <w:rsid w:val="00E96902"/>
    <w:rsid w:val="00E97245"/>
    <w:rsid w:val="00EA049E"/>
    <w:rsid w:val="00EA20B8"/>
    <w:rsid w:val="00EA232F"/>
    <w:rsid w:val="00EA2817"/>
    <w:rsid w:val="00EA34E7"/>
    <w:rsid w:val="00EA380D"/>
    <w:rsid w:val="00EA49D3"/>
    <w:rsid w:val="00EA535F"/>
    <w:rsid w:val="00EA66B5"/>
    <w:rsid w:val="00EA720D"/>
    <w:rsid w:val="00EA7467"/>
    <w:rsid w:val="00EB08B0"/>
    <w:rsid w:val="00EB2A96"/>
    <w:rsid w:val="00EB3551"/>
    <w:rsid w:val="00EB42BD"/>
    <w:rsid w:val="00EB4D33"/>
    <w:rsid w:val="00EB6616"/>
    <w:rsid w:val="00EC27B0"/>
    <w:rsid w:val="00EC3168"/>
    <w:rsid w:val="00EC40DC"/>
    <w:rsid w:val="00EC4344"/>
    <w:rsid w:val="00EC5742"/>
    <w:rsid w:val="00EC68A2"/>
    <w:rsid w:val="00EC79A3"/>
    <w:rsid w:val="00EC7ABC"/>
    <w:rsid w:val="00EC7B9A"/>
    <w:rsid w:val="00ED0AE5"/>
    <w:rsid w:val="00ED2C41"/>
    <w:rsid w:val="00ED5A17"/>
    <w:rsid w:val="00ED64A9"/>
    <w:rsid w:val="00ED6D39"/>
    <w:rsid w:val="00EE3433"/>
    <w:rsid w:val="00EE5702"/>
    <w:rsid w:val="00EF0A94"/>
    <w:rsid w:val="00EF3EEB"/>
    <w:rsid w:val="00EF3FE1"/>
    <w:rsid w:val="00EF5503"/>
    <w:rsid w:val="00EF6E5C"/>
    <w:rsid w:val="00EF7B74"/>
    <w:rsid w:val="00F02703"/>
    <w:rsid w:val="00F02F6B"/>
    <w:rsid w:val="00F03037"/>
    <w:rsid w:val="00F03EE1"/>
    <w:rsid w:val="00F0416F"/>
    <w:rsid w:val="00F050D1"/>
    <w:rsid w:val="00F05E23"/>
    <w:rsid w:val="00F0668C"/>
    <w:rsid w:val="00F06A84"/>
    <w:rsid w:val="00F071F9"/>
    <w:rsid w:val="00F1122C"/>
    <w:rsid w:val="00F12AAD"/>
    <w:rsid w:val="00F137C0"/>
    <w:rsid w:val="00F145D9"/>
    <w:rsid w:val="00F1538A"/>
    <w:rsid w:val="00F21841"/>
    <w:rsid w:val="00F23600"/>
    <w:rsid w:val="00F24D76"/>
    <w:rsid w:val="00F260DA"/>
    <w:rsid w:val="00F26516"/>
    <w:rsid w:val="00F268D3"/>
    <w:rsid w:val="00F271F6"/>
    <w:rsid w:val="00F30EF0"/>
    <w:rsid w:val="00F31CAB"/>
    <w:rsid w:val="00F326A0"/>
    <w:rsid w:val="00F3408E"/>
    <w:rsid w:val="00F35D44"/>
    <w:rsid w:val="00F36AC7"/>
    <w:rsid w:val="00F40115"/>
    <w:rsid w:val="00F40803"/>
    <w:rsid w:val="00F42095"/>
    <w:rsid w:val="00F428EF"/>
    <w:rsid w:val="00F435E1"/>
    <w:rsid w:val="00F45A16"/>
    <w:rsid w:val="00F46411"/>
    <w:rsid w:val="00F5248D"/>
    <w:rsid w:val="00F52B3E"/>
    <w:rsid w:val="00F54387"/>
    <w:rsid w:val="00F545BA"/>
    <w:rsid w:val="00F5612D"/>
    <w:rsid w:val="00F57F89"/>
    <w:rsid w:val="00F60066"/>
    <w:rsid w:val="00F6329C"/>
    <w:rsid w:val="00F63561"/>
    <w:rsid w:val="00F64882"/>
    <w:rsid w:val="00F66B28"/>
    <w:rsid w:val="00F67653"/>
    <w:rsid w:val="00F707AD"/>
    <w:rsid w:val="00F710F1"/>
    <w:rsid w:val="00F71C08"/>
    <w:rsid w:val="00F72AF8"/>
    <w:rsid w:val="00F72E73"/>
    <w:rsid w:val="00F7323D"/>
    <w:rsid w:val="00F73655"/>
    <w:rsid w:val="00F757BB"/>
    <w:rsid w:val="00F76152"/>
    <w:rsid w:val="00F8242E"/>
    <w:rsid w:val="00F82DD4"/>
    <w:rsid w:val="00F83E34"/>
    <w:rsid w:val="00F83F6D"/>
    <w:rsid w:val="00F8495C"/>
    <w:rsid w:val="00F8517F"/>
    <w:rsid w:val="00F851F0"/>
    <w:rsid w:val="00F85846"/>
    <w:rsid w:val="00F85854"/>
    <w:rsid w:val="00F85BD8"/>
    <w:rsid w:val="00F90E63"/>
    <w:rsid w:val="00F910A6"/>
    <w:rsid w:val="00F91D45"/>
    <w:rsid w:val="00F93414"/>
    <w:rsid w:val="00F94302"/>
    <w:rsid w:val="00F94A16"/>
    <w:rsid w:val="00F97411"/>
    <w:rsid w:val="00FA0983"/>
    <w:rsid w:val="00FA124D"/>
    <w:rsid w:val="00FA18BB"/>
    <w:rsid w:val="00FA2DF1"/>
    <w:rsid w:val="00FA7B23"/>
    <w:rsid w:val="00FB0FAD"/>
    <w:rsid w:val="00FB2C54"/>
    <w:rsid w:val="00FB32EA"/>
    <w:rsid w:val="00FB533E"/>
    <w:rsid w:val="00FB658F"/>
    <w:rsid w:val="00FB70CA"/>
    <w:rsid w:val="00FB768A"/>
    <w:rsid w:val="00FB79F8"/>
    <w:rsid w:val="00FC18C4"/>
    <w:rsid w:val="00FC2087"/>
    <w:rsid w:val="00FC3043"/>
    <w:rsid w:val="00FC4E6C"/>
    <w:rsid w:val="00FC4EC3"/>
    <w:rsid w:val="00FC4F1A"/>
    <w:rsid w:val="00FC597E"/>
    <w:rsid w:val="00FC5F61"/>
    <w:rsid w:val="00FD0707"/>
    <w:rsid w:val="00FD1B8B"/>
    <w:rsid w:val="00FD427D"/>
    <w:rsid w:val="00FD51A5"/>
    <w:rsid w:val="00FD5628"/>
    <w:rsid w:val="00FD6837"/>
    <w:rsid w:val="00FD6BE4"/>
    <w:rsid w:val="00FE0226"/>
    <w:rsid w:val="00FE07EA"/>
    <w:rsid w:val="00FE1C7D"/>
    <w:rsid w:val="00FE512D"/>
    <w:rsid w:val="00FE5700"/>
    <w:rsid w:val="00FE5AB9"/>
    <w:rsid w:val="00FE5F18"/>
    <w:rsid w:val="00FE6785"/>
    <w:rsid w:val="00FE695C"/>
    <w:rsid w:val="00FF1EC5"/>
    <w:rsid w:val="00FF2B01"/>
    <w:rsid w:val="00FF314E"/>
    <w:rsid w:val="00FF37B5"/>
    <w:rsid w:val="00FF4DDD"/>
    <w:rsid w:val="00FF4EB1"/>
    <w:rsid w:val="00FF5315"/>
    <w:rsid w:val="00FF5F7B"/>
    <w:rsid w:val="00FF66E2"/>
    <w:rsid w:val="00FF6880"/>
    <w:rsid w:val="00FF6CBE"/>
    <w:rsid w:val="00FF763E"/>
    <w:rsid w:val="01101675"/>
    <w:rsid w:val="01636493"/>
    <w:rsid w:val="021900C6"/>
    <w:rsid w:val="02B36C65"/>
    <w:rsid w:val="02E81C7C"/>
    <w:rsid w:val="03FB4A9A"/>
    <w:rsid w:val="04550447"/>
    <w:rsid w:val="04855A62"/>
    <w:rsid w:val="059A237E"/>
    <w:rsid w:val="07F8740F"/>
    <w:rsid w:val="08AB21C5"/>
    <w:rsid w:val="090B2D56"/>
    <w:rsid w:val="096F2984"/>
    <w:rsid w:val="0A5B110C"/>
    <w:rsid w:val="0ABE091A"/>
    <w:rsid w:val="0D5915D3"/>
    <w:rsid w:val="0F1E33DD"/>
    <w:rsid w:val="0F806AB4"/>
    <w:rsid w:val="0FCE5B43"/>
    <w:rsid w:val="11444D29"/>
    <w:rsid w:val="119B09E6"/>
    <w:rsid w:val="11A570A5"/>
    <w:rsid w:val="120A7B03"/>
    <w:rsid w:val="12B32FBA"/>
    <w:rsid w:val="1720607C"/>
    <w:rsid w:val="17CF7216"/>
    <w:rsid w:val="183259C7"/>
    <w:rsid w:val="18BD1CAC"/>
    <w:rsid w:val="18FF0FE0"/>
    <w:rsid w:val="1C7C69D5"/>
    <w:rsid w:val="1E9E0CB6"/>
    <w:rsid w:val="1F791A01"/>
    <w:rsid w:val="1FB75686"/>
    <w:rsid w:val="1FBD181D"/>
    <w:rsid w:val="223905D4"/>
    <w:rsid w:val="223B5657"/>
    <w:rsid w:val="23A14082"/>
    <w:rsid w:val="25900E53"/>
    <w:rsid w:val="26DA6067"/>
    <w:rsid w:val="26DE6BC4"/>
    <w:rsid w:val="273F4FDD"/>
    <w:rsid w:val="27BB4869"/>
    <w:rsid w:val="283650C4"/>
    <w:rsid w:val="292D52C5"/>
    <w:rsid w:val="292E13C1"/>
    <w:rsid w:val="29906558"/>
    <w:rsid w:val="2CA77070"/>
    <w:rsid w:val="2D510F8C"/>
    <w:rsid w:val="2DD7437E"/>
    <w:rsid w:val="2E51289E"/>
    <w:rsid w:val="30A457B2"/>
    <w:rsid w:val="32982B79"/>
    <w:rsid w:val="32A12FBA"/>
    <w:rsid w:val="34210257"/>
    <w:rsid w:val="357F4ABD"/>
    <w:rsid w:val="36F5DF78"/>
    <w:rsid w:val="391F5A58"/>
    <w:rsid w:val="395C1320"/>
    <w:rsid w:val="3A1A0DFE"/>
    <w:rsid w:val="3A877C70"/>
    <w:rsid w:val="3B3A6800"/>
    <w:rsid w:val="3B4C0F20"/>
    <w:rsid w:val="3BAB20EB"/>
    <w:rsid w:val="3C1E46D5"/>
    <w:rsid w:val="3C710F99"/>
    <w:rsid w:val="3DDB604C"/>
    <w:rsid w:val="3F6030D9"/>
    <w:rsid w:val="409C78B3"/>
    <w:rsid w:val="423A6A2E"/>
    <w:rsid w:val="444E3F5B"/>
    <w:rsid w:val="46362EF9"/>
    <w:rsid w:val="479B5547"/>
    <w:rsid w:val="47AD71EA"/>
    <w:rsid w:val="48272AF9"/>
    <w:rsid w:val="484336AB"/>
    <w:rsid w:val="48662544"/>
    <w:rsid w:val="48AC2FFE"/>
    <w:rsid w:val="49BE304E"/>
    <w:rsid w:val="49E55776"/>
    <w:rsid w:val="4C511522"/>
    <w:rsid w:val="4CD528C6"/>
    <w:rsid w:val="4DB86B9D"/>
    <w:rsid w:val="4F2D489C"/>
    <w:rsid w:val="50F200A8"/>
    <w:rsid w:val="535E6EA2"/>
    <w:rsid w:val="54AC528B"/>
    <w:rsid w:val="54EB256F"/>
    <w:rsid w:val="558566DB"/>
    <w:rsid w:val="55996B95"/>
    <w:rsid w:val="55A310E6"/>
    <w:rsid w:val="55D01A8A"/>
    <w:rsid w:val="57871EF7"/>
    <w:rsid w:val="57DB6FF3"/>
    <w:rsid w:val="59492F3D"/>
    <w:rsid w:val="594D1692"/>
    <w:rsid w:val="59CF1E43"/>
    <w:rsid w:val="5BCF30FD"/>
    <w:rsid w:val="5C765BE9"/>
    <w:rsid w:val="5CAA64C6"/>
    <w:rsid w:val="5D5C103F"/>
    <w:rsid w:val="5DC72608"/>
    <w:rsid w:val="5DF70D68"/>
    <w:rsid w:val="60C226B7"/>
    <w:rsid w:val="62FB2C75"/>
    <w:rsid w:val="637C5473"/>
    <w:rsid w:val="641D5E82"/>
    <w:rsid w:val="64264FEA"/>
    <w:rsid w:val="643F60B5"/>
    <w:rsid w:val="655E7C3B"/>
    <w:rsid w:val="65C027C6"/>
    <w:rsid w:val="65E676F8"/>
    <w:rsid w:val="664273B3"/>
    <w:rsid w:val="67D0314A"/>
    <w:rsid w:val="67F0CBCF"/>
    <w:rsid w:val="6A3F387A"/>
    <w:rsid w:val="6AD050CC"/>
    <w:rsid w:val="6B424106"/>
    <w:rsid w:val="6BF3AB63"/>
    <w:rsid w:val="6CFB475C"/>
    <w:rsid w:val="6F03756C"/>
    <w:rsid w:val="6F3B4F58"/>
    <w:rsid w:val="6F542C5A"/>
    <w:rsid w:val="6F951E56"/>
    <w:rsid w:val="700D2ACD"/>
    <w:rsid w:val="7187709C"/>
    <w:rsid w:val="735F4F4A"/>
    <w:rsid w:val="74EB2BB7"/>
    <w:rsid w:val="76CF6733"/>
    <w:rsid w:val="777FA569"/>
    <w:rsid w:val="77A9205D"/>
    <w:rsid w:val="77CA5691"/>
    <w:rsid w:val="786D039C"/>
    <w:rsid w:val="78C43EAD"/>
    <w:rsid w:val="79734051"/>
    <w:rsid w:val="799B4150"/>
    <w:rsid w:val="7AAF4FA3"/>
    <w:rsid w:val="7AF07461"/>
    <w:rsid w:val="7BF3B5B3"/>
    <w:rsid w:val="7DA4210F"/>
    <w:rsid w:val="7DF7751C"/>
    <w:rsid w:val="7FAFC078"/>
    <w:rsid w:val="7FFF0038"/>
    <w:rsid w:val="CB979921"/>
    <w:rsid w:val="CDFF2AB9"/>
    <w:rsid w:val="DDF750E5"/>
    <w:rsid w:val="DFFFB1EE"/>
    <w:rsid w:val="EF6FB71D"/>
    <w:rsid w:val="EFAEF806"/>
    <w:rsid w:val="F6F62173"/>
    <w:rsid w:val="F75E47A1"/>
    <w:rsid w:val="F9F9A6F4"/>
    <w:rsid w:val="FDED35EA"/>
    <w:rsid w:val="FEEE7D82"/>
    <w:rsid w:val="FFE70C2C"/>
    <w:rsid w:val="FFFF2B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qFormat="1" w:unhideWhenUsed="0" w:uiPriority="99" w:semiHidden="0" w:name="footnote reference"/>
    <w:lsdException w:qFormat="1" w:unhideWhenUsed="0" w:uiPriority="99" w:name="annotation reference"/>
    <w:lsdException w:uiPriority="0" w:name="line number"/>
    <w:lsdException w:qFormat="1" w:unhideWhenUsed="0" w:uiPriority="99" w:semiHidden="0" w:name="page number"/>
    <w:lsdException w:qFormat="1" w:uiPriority="0" w:name="endnote reference"/>
    <w:lsdException w:qFormat="1"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ocked="1"/>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qFormat/>
    <w:uiPriority w:val="99"/>
  </w:style>
  <w:style w:type="paragraph" w:styleId="3">
    <w:name w:val="endnote text"/>
    <w:basedOn w:val="1"/>
    <w:link w:val="27"/>
    <w:semiHidden/>
    <w:unhideWhenUsed/>
    <w:qFormat/>
    <w:uiPriority w:val="0"/>
    <w:pPr>
      <w:snapToGrid w:val="0"/>
    </w:pPr>
  </w:style>
  <w:style w:type="paragraph" w:styleId="4">
    <w:name w:val="Balloon Text"/>
    <w:basedOn w:val="1"/>
    <w:link w:val="25"/>
    <w:semiHidden/>
    <w:qFormat/>
    <w:uiPriority w:val="99"/>
    <w:rPr>
      <w:sz w:val="18"/>
      <w:szCs w:val="18"/>
    </w:rPr>
  </w:style>
  <w:style w:type="paragraph" w:styleId="5">
    <w:name w:val="footer"/>
    <w:basedOn w:val="1"/>
    <w:link w:val="23"/>
    <w:qFormat/>
    <w:uiPriority w:val="99"/>
    <w:pPr>
      <w:tabs>
        <w:tab w:val="center" w:pos="4153"/>
        <w:tab w:val="right" w:pos="8306"/>
      </w:tabs>
      <w:snapToGrid w:val="0"/>
    </w:pPr>
    <w:rPr>
      <w:sz w:val="18"/>
      <w:szCs w:val="18"/>
    </w:rPr>
  </w:style>
  <w:style w:type="paragraph" w:styleId="6">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4"/>
    <w:qFormat/>
    <w:uiPriority w:val="99"/>
    <w:pPr>
      <w:snapToGrid w:val="0"/>
    </w:pPr>
    <w:rPr>
      <w:sz w:val="18"/>
      <w:szCs w:val="18"/>
    </w:rPr>
  </w:style>
  <w:style w:type="paragraph" w:styleId="8">
    <w:name w:val="Normal (Web)"/>
    <w:basedOn w:val="1"/>
    <w:semiHidden/>
    <w:unhideWhenUsed/>
    <w:qFormat/>
    <w:uiPriority w:val="99"/>
    <w:pPr>
      <w:spacing w:before="100" w:beforeAutospacing="1" w:after="100" w:afterAutospacing="1"/>
    </w:pPr>
    <w:rPr>
      <w:rFonts w:ascii="宋体" w:hAnsi="宋体" w:cs="宋体"/>
    </w:rPr>
  </w:style>
  <w:style w:type="paragraph" w:styleId="9">
    <w:name w:val="annotation subject"/>
    <w:basedOn w:val="2"/>
    <w:next w:val="2"/>
    <w:link w:val="26"/>
    <w:semiHidden/>
    <w:qFormat/>
    <w:uiPriority w:val="99"/>
    <w:rPr>
      <w:b/>
      <w:bCs/>
    </w:rPr>
  </w:style>
  <w:style w:type="table" w:styleId="11">
    <w:name w:val="Table Grid"/>
    <w:basedOn w:val="10"/>
    <w:unhideWhenUsed/>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rFonts w:cs="Times New Roman"/>
      <w:b/>
      <w:bCs/>
    </w:rPr>
  </w:style>
  <w:style w:type="character" w:styleId="14">
    <w:name w:val="endnote reference"/>
    <w:semiHidden/>
    <w:unhideWhenUsed/>
    <w:qFormat/>
    <w:uiPriority w:val="0"/>
    <w:rPr>
      <w:vertAlign w:val="superscript"/>
    </w:rPr>
  </w:style>
  <w:style w:type="character" w:styleId="15">
    <w:name w:val="page number"/>
    <w:qFormat/>
    <w:uiPriority w:val="99"/>
    <w:rPr>
      <w:rFonts w:cs="Times New Roman"/>
    </w:rPr>
  </w:style>
  <w:style w:type="character" w:styleId="16">
    <w:name w:val="annotation reference"/>
    <w:basedOn w:val="12"/>
    <w:semiHidden/>
    <w:qFormat/>
    <w:uiPriority w:val="99"/>
    <w:rPr>
      <w:rFonts w:cs="Times New Roman"/>
      <w:sz w:val="21"/>
      <w:szCs w:val="21"/>
    </w:rPr>
  </w:style>
  <w:style w:type="character" w:styleId="17">
    <w:name w:val="footnote reference"/>
    <w:qFormat/>
    <w:uiPriority w:val="99"/>
    <w:rPr>
      <w:rFonts w:cs="Times New Roman"/>
      <w:vertAlign w:val="superscript"/>
    </w:rPr>
  </w:style>
  <w:style w:type="paragraph" w:customStyle="1" w:styleId="18">
    <w:name w:val="修订1"/>
    <w:semiHidden/>
    <w:qFormat/>
    <w:uiPriority w:val="99"/>
    <w:rPr>
      <w:rFonts w:ascii="Times New Roman" w:hAnsi="Times New Roman" w:eastAsia="宋体" w:cs="Times New Roman"/>
      <w:sz w:val="24"/>
      <w:szCs w:val="24"/>
      <w:lang w:val="en-US" w:eastAsia="zh-CN" w:bidi="ar-SA"/>
    </w:rPr>
  </w:style>
  <w:style w:type="paragraph" w:customStyle="1" w:styleId="19">
    <w:name w:val="列出段落1"/>
    <w:basedOn w:val="1"/>
    <w:qFormat/>
    <w:uiPriority w:val="99"/>
    <w:pPr>
      <w:ind w:firstLine="420" w:firstLineChars="200"/>
    </w:pPr>
  </w:style>
  <w:style w:type="paragraph" w:customStyle="1" w:styleId="20">
    <w:name w:val="列出段落2"/>
    <w:basedOn w:val="1"/>
    <w:qFormat/>
    <w:uiPriority w:val="34"/>
    <w:pPr>
      <w:ind w:firstLine="420" w:firstLineChars="200"/>
    </w:pPr>
  </w:style>
  <w:style w:type="character" w:customStyle="1" w:styleId="21">
    <w:name w:val="批注文字 Char"/>
    <w:link w:val="2"/>
    <w:qFormat/>
    <w:locked/>
    <w:uiPriority w:val="99"/>
    <w:rPr>
      <w:rFonts w:ascii="Times New Roman" w:hAnsi="Times New Roman" w:eastAsia="宋体" w:cs="Times New Roman"/>
      <w:kern w:val="0"/>
      <w:sz w:val="24"/>
      <w:szCs w:val="24"/>
    </w:rPr>
  </w:style>
  <w:style w:type="character" w:customStyle="1" w:styleId="22">
    <w:name w:val="页眉 Char"/>
    <w:link w:val="6"/>
    <w:qFormat/>
    <w:locked/>
    <w:uiPriority w:val="99"/>
    <w:rPr>
      <w:rFonts w:ascii="Times New Roman" w:hAnsi="Times New Roman" w:eastAsia="宋体" w:cs="Times New Roman"/>
      <w:kern w:val="0"/>
      <w:sz w:val="18"/>
      <w:szCs w:val="18"/>
    </w:rPr>
  </w:style>
  <w:style w:type="character" w:customStyle="1" w:styleId="23">
    <w:name w:val="页脚 Char"/>
    <w:link w:val="5"/>
    <w:qFormat/>
    <w:locked/>
    <w:uiPriority w:val="99"/>
    <w:rPr>
      <w:rFonts w:ascii="Times New Roman" w:hAnsi="Times New Roman" w:eastAsia="宋体" w:cs="Times New Roman"/>
      <w:kern w:val="0"/>
      <w:sz w:val="18"/>
      <w:szCs w:val="18"/>
    </w:rPr>
  </w:style>
  <w:style w:type="character" w:customStyle="1" w:styleId="24">
    <w:name w:val="脚注文本 Char"/>
    <w:link w:val="7"/>
    <w:qFormat/>
    <w:locked/>
    <w:uiPriority w:val="99"/>
    <w:rPr>
      <w:rFonts w:ascii="Times New Roman" w:hAnsi="Times New Roman" w:eastAsia="宋体" w:cs="Times New Roman"/>
      <w:kern w:val="0"/>
      <w:sz w:val="18"/>
      <w:szCs w:val="18"/>
    </w:rPr>
  </w:style>
  <w:style w:type="character" w:customStyle="1" w:styleId="25">
    <w:name w:val="批注框文本 Char"/>
    <w:link w:val="4"/>
    <w:semiHidden/>
    <w:qFormat/>
    <w:locked/>
    <w:uiPriority w:val="99"/>
    <w:rPr>
      <w:rFonts w:ascii="Times New Roman" w:hAnsi="Times New Roman" w:eastAsia="宋体" w:cs="Times New Roman"/>
      <w:kern w:val="0"/>
      <w:sz w:val="18"/>
      <w:szCs w:val="18"/>
    </w:rPr>
  </w:style>
  <w:style w:type="character" w:customStyle="1" w:styleId="26">
    <w:name w:val="批注主题 Char"/>
    <w:link w:val="9"/>
    <w:semiHidden/>
    <w:qFormat/>
    <w:locked/>
    <w:uiPriority w:val="99"/>
    <w:rPr>
      <w:rFonts w:ascii="Times New Roman" w:hAnsi="Times New Roman" w:eastAsia="宋体" w:cs="Times New Roman"/>
      <w:b/>
      <w:bCs/>
      <w:kern w:val="0"/>
      <w:sz w:val="24"/>
      <w:szCs w:val="24"/>
    </w:rPr>
  </w:style>
  <w:style w:type="character" w:customStyle="1" w:styleId="27">
    <w:name w:val="尾注文本 Char"/>
    <w:basedOn w:val="12"/>
    <w:link w:val="3"/>
    <w:semiHidden/>
    <w:qFormat/>
    <w:uiPriority w:val="0"/>
    <w:rPr>
      <w:rFonts w:ascii="Times New Roman" w:hAnsi="Times New Roman" w:cs="Times New Roman"/>
      <w:sz w:val="24"/>
      <w:szCs w:val="24"/>
    </w:rPr>
  </w:style>
  <w:style w:type="paragraph" w:customStyle="1" w:styleId="28">
    <w:name w:val="修订2"/>
    <w:hidden/>
    <w:semiHidden/>
    <w:qFormat/>
    <w:uiPriority w:val="99"/>
    <w:rPr>
      <w:rFonts w:ascii="Times New Roman" w:hAnsi="Times New Roman" w:eastAsia="宋体" w:cs="Times New Roman"/>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Footnote Text Char"/>
    <w:semiHidden/>
    <w:qFormat/>
    <w:locked/>
    <w:uiPriority w:val="99"/>
    <w:rPr>
      <w:rFonts w:ascii="Times New Roman" w:hAnsi="Times New Roman" w:eastAsia="宋体" w:cs="Times New Roman"/>
      <w:kern w:val="0"/>
      <w:sz w:val="18"/>
      <w:szCs w:val="18"/>
    </w:rPr>
  </w:style>
  <w:style w:type="character" w:customStyle="1" w:styleId="31">
    <w:name w:val="font21"/>
    <w:basedOn w:val="12"/>
    <w:qFormat/>
    <w:uiPriority w:val="0"/>
    <w:rPr>
      <w:rFonts w:hint="eastAsia" w:ascii="宋体" w:hAnsi="宋体" w:eastAsia="宋体"/>
      <w:b/>
      <w:bCs/>
      <w:color w:val="000000"/>
      <w:sz w:val="24"/>
      <w:szCs w:val="24"/>
      <w:u w:val="none"/>
    </w:rPr>
  </w:style>
  <w:style w:type="paragraph" w:customStyle="1" w:styleId="32">
    <w:name w:val="修订3"/>
    <w:hidden/>
    <w:unhideWhenUsed/>
    <w:qFormat/>
    <w:uiPriority w:val="99"/>
    <w:rPr>
      <w:rFonts w:ascii="Times New Roman" w:hAnsi="Times New Roman" w:eastAsia="宋体" w:cs="Times New Roman"/>
      <w:sz w:val="24"/>
      <w:szCs w:val="24"/>
      <w:lang w:val="en-US" w:eastAsia="zh-CN" w:bidi="ar-SA"/>
    </w:rPr>
  </w:style>
  <w:style w:type="paragraph" w:customStyle="1" w:styleId="33">
    <w:name w:val="修订4"/>
    <w:hidden/>
    <w:unhideWhenUsed/>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SelectedStyle="\APA.XSL"/>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cdbfce74-91d2-4d0d-a8a1-bdce1835a1fb</errorID>
      <errorWord xmlns="http://schemas.wps.cn/vas-ai-hub/contract-review">〔2015〕第7号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〔2015〕7号</item>
      </candidateList>
      <explain xmlns="http://schemas.wps.cn/vas-ai-hub/contract-review">发文字号格式错误。</explain>
      <paraID xmlns="http://schemas.wps.cn/vas-ai-hub/contract-review">5924CE1F</paraID>
      <start xmlns="http://schemas.wps.cn/vas-ai-hub/contract-review">102</start>
      <end xmlns="http://schemas.wps.cn/vas-ai-hub/contract-review">111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2d308bbe-e202-4e2c-bc51-fa8900a212e4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307771B3</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3cdf1a9d-0cf5-40fd-b457-454c6605288b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38363CC4</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88de96ad-a869-44ef-b74d-03decbb7a21c</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3DF25124</paraID>
      <start xmlns="http://schemas.wps.cn/vas-ai-hub/contract-review">93</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9245e7e6-a03f-4b3a-8ee5-451f7e962418</errorID>
      <errorWord xmlns="http://schemas.wps.cn/vas-ai-hub/contract-review">〔2015〕第7号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〔2015〕7号</item>
      </candidateList>
      <explain xmlns="http://schemas.wps.cn/vas-ai-hub/contract-review">发文字号格式错误。</explain>
      <paraID xmlns="http://schemas.wps.cn/vas-ai-hub/contract-review">51DE028D</paraID>
      <start xmlns="http://schemas.wps.cn/vas-ai-hub/contract-review">88</start>
      <end xmlns="http://schemas.wps.cn/vas-ai-hub/contract-review">97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4ff93753-ccf4-412d-bd41-1a4cc5614828</errorID>
      <errorWord xmlns="http://schemas.wps.cn/vas-ai-hub/contract-review">[2022]</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〔2022〕</item>
      </candidateList>
      <explain xmlns="http://schemas.wps.cn/vas-ai-hub/contract-review"/>
      <paraID xmlns="http://schemas.wps.cn/vas-ai-hub/contract-review">51DE028D</paraID>
      <start xmlns="http://schemas.wps.cn/vas-ai-hub/contract-review">139</start>
      <end xmlns="http://schemas.wps.cn/vas-ai-hub/contract-review">145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da2f20e4-9c43-4f2a-b89b-68765cc24814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665BAE87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b91d125c-0013-4ce7-ae4c-f31aa531aed1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480A0DA2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886e2449-5fca-4439-a948-e1c92a3038f8</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700CD8D2</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6b54e349-6bb6-42d0-b401-a09fa4ae5c37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644BD1FA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939a1c74-ad3a-4ead-aa5e-d4f8b358a5b0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4C89448A</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3a8dce82-fac5-45da-a661-1d8416da9f3e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51F9CBA3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61bd739e-0b9f-4575-b349-a57408984e6a</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410DD4C8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21aed20f-8097-4a95-838e-3357e7e83a1a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35FDDEAC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e5112877-9bed-4479-b5ed-124c761a3f1c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58379FE0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31746bd9-5eb6-49cf-97dd-2faf82f21e31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22FAFE01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8f84eee9-1ac5-42fd-ab16-5203f5c7fc95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13F89570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b499f0f8-9735-417c-8a26-0c7c39ddec82</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〈动〉牵涉到；关联到：案子～好几个人｜这个问题～面很广。</explain>
      <paraID xmlns="http://schemas.wps.cn/vas-ai-hub/contract-review">13F89570</paraID>
      <start xmlns="http://schemas.wps.cn/vas-ai-hub/contract-review">44</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e370372d-3bbd-4283-b7df-806e9635be6a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4137EB37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83accb80-8d83-47d3-a7d0-93bee734911b</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〈动〉牵涉到；关联到：案子～好几个人｜这个问题～面很广。</explain>
      <paraID xmlns="http://schemas.wps.cn/vas-ai-hub/contract-review">4137EB37</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69d42e7b-690f-4952-9c34-0274c64f1d2c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27E2A337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235f9db8-a648-4dda-8806-b1a3acdfe1f2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2E4760A8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5cce4742-22ab-4436-88e2-b069d6675ed2</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 CA1C785</paraID>
      <start xmlns="http://schemas.wps.cn/vas-ai-hub/contract-review">92</start>
      <end xmlns="http://schemas.wps.cn/vas-ai-hub/contract-review">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1660365e-ddcc-4c9b-9610-371644f7f20f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4240E1C8</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46016a6a-26bf-4747-9310-e592407fa3af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4240E1C8</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60f7656e-1451-43d3-a8a7-c6f528bd2693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4591B7E9</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10da8d5c-604f-4225-a778-a768d02862b2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4591B7E9</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841f1553-5202-48bb-a9ad-a318b9a5550d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392F7B3B</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7a2ed0e7-48a1-413f-8b52-52c6039be1dd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5F1EEC1D</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57cba5ae-a465-4bb3-ba47-7c12602afeec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5F1EEC1D</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b3265eb6-b92a-488e-8faa-0915da7359f6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46ED7280</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d5480e9a-57ce-4f30-9b90-08d4fe345a9b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46ED7280</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5adc14e0-ba37-449a-9465-43c7419d524c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149D8064</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15aa54c9-917c-46d2-8e06-f22223a7a10f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149D8064</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d19a62bc-85a3-41c7-bcac-3d76f7d301ee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1C159972</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3f02eeac-a730-41be-9319-1d605aba3fbe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1C159972</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3f5d9923-2f68-4556-8882-3ba2fab4d26a</errorID>
      <errorWord xmlns="http://schemas.wps.cn/vas-ai-hub/contract-review">、以及</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，以及</item>
      </candidateList>
      <explain xmlns="http://schemas.wps.cn/vas-ai-hub/contract-review">连接词前后不宜使用顿号，建议使用逗号。</explain>
      <paraID xmlns="http://schemas.wps.cn/vas-ai-hub/contract-review">1C159972</paraID>
      <start xmlns="http://schemas.wps.cn/vas-ai-hub/contract-review">45</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47def9b2-05d4-49cc-a859-733582295897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717EB407</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46625be6-153c-403a-8344-b53b82a61524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717EB407</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e91e1e13-5c0f-4005-a017-4b4357ac5421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5B258C1</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cc988330-24eb-4cb1-8556-4ec5dffa03bb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5B258C1</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e83a8c7a-d866-4dfd-b942-9d98b6aa6145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55B1C0FE</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5479d282-5998-484c-9172-0652bc55a931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55B1C0FE</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f7c9cfbe-a9f0-4294-9282-f7c14f631995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15524CC2</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6f191f0b-562f-451c-be56-6f263aff3417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15524CC2</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e10267de-432c-437b-93e5-e8cee13b7985</errorID>
      <errorWord xmlns="http://schemas.wps.cn/vas-ai-hub/contract-review">但是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但</item>
      </candidateList>
      <explain xmlns="http://schemas.wps.cn/vas-ai-hub/contract-review">❶〈副〉只；仅仅：～愿如此｜不求有功，～求无过｜辽阔的原野上，～见麦浪随风起伏。❷〈连〉但是：屋子小，～挺干净｜工作虽然忙，～一点也没放松学习。❸（Dàn）〈名〉姓。</explain>
      <paraID xmlns="http://schemas.wps.cn/vas-ai-hub/contract-review">5C962320</paraID>
      <start xmlns="http://schemas.wps.cn/vas-ai-hub/contract-review">77</start>
      <end xmlns="http://schemas.wps.cn/vas-ai-hub/contract-review">78</end>
      <status xmlns="http://schemas.wps.cn/vas-ai-hub/contract-review">modified</status>
      <modifiedWord xmlns="http://schemas.wps.cn/vas-ai-hub/contract-review">但</modifiedWord>
      <trackRevisions xmlns="http://schemas.wps.cn/vas-ai-hub/contract-review">false</trackRevisions>
    </reviewItem>
    <reviewItem xmlns="http://schemas.wps.cn/vas-ai-hub/contract-review">
      <errorID xmlns="http://schemas.wps.cn/vas-ai-hub/contract-review">bbc41d5f-bcd4-4579-af07-d7ea9d44f307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7832D976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f1be4bd5-8d41-4ea3-b555-6d94a6800742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7832D976</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2097776b-aae9-4141-a435-f45033e1bc00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A16339E</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cd230415-49be-4963-aa63-a7ef45d7fd97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A16339E</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1dd5188e-a5e7-4be1-a1aa-6a6ff898e286</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〈动〉牵涉到；关联到：案子～好几个人｜这个问题～面很广。</explain>
      <paraID xmlns="http://schemas.wps.cn/vas-ai-hub/contract-review">3DBB086D</paraID>
      <start xmlns="http://schemas.wps.cn/vas-ai-hub/contract-review">39</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9e726243-6040-449a-964f-07f0cec74165</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〈动〉牵涉到；关联到：案子～好几个人｜这个问题～面很广。</explain>
      <paraID xmlns="http://schemas.wps.cn/vas-ai-hub/contract-review">3671F980</paraID>
      <start xmlns="http://schemas.wps.cn/vas-ai-hub/contract-review">79</start>
      <end xmlns="http://schemas.wps.cn/vas-ai-hub/contract-review">82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150c2129-c02d-4108-a352-b3858788a95b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475C5DC4</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4d4807b6-51f2-4d14-aea4-d5ce52b48979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475C5DC4</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9bf88a2c-3b10-437f-886a-ebbe5501e431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340FBF3E</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3420aa30-13bb-45cb-a71f-729a81444ae1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340FBF3E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4fa28e0c-9ed8-47e1-9b48-893afc5073d1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22957D7C</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3f542b6b-3e01-4bec-9b33-c94436d988ca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2EC23DE</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518c48bb-512c-4d2f-90ac-fda4a7836ede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2EC23DE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4fb9e3f4-ed75-4bdf-94c1-216b6cba838b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3DC1383D</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7dcff016-e7ee-4770-83cb-52ea370c7d5d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3DC1383D</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2af7d391-30a9-4a15-a1f1-d9d7a506f52e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6FC4038C</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65795226-bc1e-44fd-bbe3-6c03b6c677af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6FC4038C</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985d9883-7fd3-4bf0-a18e-49c658c3d9e7</errorID>
      <errorWord xmlns="http://schemas.wps.cn/vas-ai-hub/contract-review">免于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免予</item>
      </candidateList>
      <explain xmlns="http://schemas.wps.cn/vas-ai-hub/contract-review">存在发音相同字词的误用。</explain>
      <paraID xmlns="http://schemas.wps.cn/vas-ai-hub/contract-review">249B399B</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4adbaf8c-9665-4137-bc98-41ec20d2d3dc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284C8C93</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b40d4596-e840-4f1b-987a-7aaeb5f39a9a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284C8C93</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aacfdd77-314f-4557-886b-31dc1bbeb77a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7CC9563</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9ff99800-b129-47a8-af95-7103d2cd21d3</errorID>
      <errorWord xmlns="http://schemas.wps.cn/vas-ai-hub/contract-review">免于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免予</item>
      </candidateList>
      <explain xmlns="http://schemas.wps.cn/vas-ai-hub/contract-review">存在发音相同字词的误用。</explain>
      <paraID xmlns="http://schemas.wps.cn/vas-ai-hub/contract-review">62D23265</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f40eb9f7-147a-4b01-8a30-3487db84b188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2146CE33</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efb5ec1a-37eb-4a63-b916-79d2b1fa1217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2146CE33</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ed90b554-2e97-435c-82d5-c8ca937b6eac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7292F747</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d04e5078-717d-42fd-aa4c-6eb9ebe114b1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7292F747</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78d3736a-9961-4be9-9b45-480f62d429ec</errorID>
      <errorWord xmlns="http://schemas.wps.cn/vas-ai-hub/contract-review">包括但不限于持有人大会的组成</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包括但不限于持有人大会</item>
      </candidateList>
      <explain xmlns="http://schemas.wps.cn/vas-ai-hub/contract-review"/>
      <paraID xmlns="http://schemas.wps.cn/vas-ai-hub/contract-review">7292F747</paraID>
      <start xmlns="http://schemas.wps.cn/vas-ai-hub/contract-review">21</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08dd6cb4-7ec5-4826-b6c6-f134d66f9099</errorID>
      <errorWord xmlns="http://schemas.wps.cn/vas-ai-hub/contract-review">免于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免予</item>
      </candidateList>
      <explain xmlns="http://schemas.wps.cn/vas-ai-hub/contract-review">存在发音相同字词的误用。</explain>
      <paraID xmlns="http://schemas.wps.cn/vas-ai-hub/contract-review"> 2C1EB70</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9124a696-0168-4438-944d-d475ada6ab3a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item>
      </candidateList>
      <explain xmlns="http://schemas.wps.cn/vas-ai-hub/contract-review"/>
      <paraID xmlns="http://schemas.wps.cn/vas-ai-hub/contract-review">7E77E3AA</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43dd8abd-a681-417a-9305-5b48ffea679a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7962F9C6</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149d9c38-e6dd-4f34-bc66-ef2fac489f10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7962F9C6</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b31e83af-0526-48cf-85f7-e329e85cf6d5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4F28A59E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e39b7dda-8edd-44f4-a9c5-bc73448ac31d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4F28A59E</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ecf0b6b6-da7c-4773-bcb9-cd9e1484b011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4F28A59E</paraID>
      <start xmlns="http://schemas.wps.cn/vas-ai-hub/contract-review">61</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2baf43da-4184-4b7c-be16-14d0dadf69e8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4F28A59E</paraID>
      <start xmlns="http://schemas.wps.cn/vas-ai-hub/contract-review">70</start>
      <end xmlns="http://schemas.wps.cn/vas-ai-hub/contract-review">73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147675c7-5c70-4fb6-b083-472d075eec62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61BAAB9D</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0fadab8c-8fd4-4b2e-b319-691981803b22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61BAAB9D</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a556f2cc-ca59-4bab-b77f-8ce7aec3a3a5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6D142DE7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26a12bbd-4800-40e3-8ff3-19adf630f522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6D142DE7</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0006b663-a637-4c5d-9969-fff59261050b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6D142DE7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d321b81e-076c-40cc-a38b-88148249d3fc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7B5814E5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929b33bb-3075-42bf-9d54-5bfcc0c32214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7B5814E5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8bcd7265-1ef1-445d-b94e-55ff653ed519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2FF0A545</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aec3b775-511e-405e-9174-448ff1341799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2FF0A545</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9c3d2a2a-ac06-4ed3-9fc7-7b680b03493e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2986B08E</paraID>
      <start xmlns="http://schemas.wps.cn/vas-ai-hub/contract-review">13</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e1cd9e50-cf22-48db-b847-9fc3287957a8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2986B08E</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4bbcd736-7dac-4932-8f68-ef4b40c9c7cd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4D3E1D92</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44015c95-adc1-414c-8129-0959b2761611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4D3E1D92</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469b18cb-7cf5-4409-a90d-4adb4e4c1ff8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18DF2360</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68a17085-0185-4c3d-b469-bb8652081e18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18DF2360</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91525245-3418-4d34-bec4-5540265d0013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605FE1CF</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b51fc847-028f-4ea0-885b-08635c0085ff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605FE1CF</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7842bdb0-6399-4c26-9c03-0c328305b959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372E724A</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1810d725-0618-473f-8070-b00ff6785abb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372E724A</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c33f5f46-3bb8-4b6e-aca9-8263b6988e52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3B99389B</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beafccd2-fc27-424e-8efb-c88803993fe3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3B99389B</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df0eb05c-d3f7-4c2d-ae4b-41ec55a5434b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58CE4F17</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07d549d4-3e5f-49bb-a758-cbb8553ec297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58CE4F17</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9f0e44e8-c469-4378-8794-1f35fdb93c0c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63F1E8E2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776519a2-658c-42d8-bf47-ebc87ea13782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63F1E8E2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46d3cdf5-41bd-4623-9bb4-bfadef722f47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5F959BE0</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964f89e3-bf1c-4d38-b40a-f060be2a0427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2F390F42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4a89d443-725a-4ce0-b9b1-1802aaf210a5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6D2E1451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a81ae715-57b5-4b63-85b7-7cff88c5f3b5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12C7698E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21128cae-c10f-4f3c-b3fb-fadcc1da9762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1D9E3775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c1378686-25ac-4cdd-b307-962c494fd5f3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56881A88</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13e5f9ec-8d2f-4b43-9856-e4c72e16badd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56881A88</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554ed63e-e660-43c7-a287-586680149fc4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653D40B1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d2547f6b-afc4-4200-b249-7bc33233d089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653D40B1</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79039ffc-3623-4ef1-8e7d-f018d5d2144c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42844726</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9f34f55a-f261-462f-81a8-79bc76048b72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42844726</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a98a303d-1325-4ad7-a6ce-d8e4735bbaad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50639B88</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27cf8a03-7992-4a88-a089-0d2c2f4fda3b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50639B88</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61baf064-d6ea-47e8-9d99-973eb408b4a6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5CE9CB05</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e665ad60-7fd0-4cb0-bae9-b1dbbc878525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5CE9CB05</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05d21599-4db4-4135-a528-cc69d74525c4</errorID>
      <errorWord xmlns="http://schemas.wps.cn/vas-ai-hub/contract-review">截止本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截止到本</item>
      </candidateList>
      <explain xmlns="http://schemas.wps.cn/vas-ai-hub/contract-review"/>
      <paraID xmlns="http://schemas.wps.cn/vas-ai-hub/contract-review"> B2F8091</paraID>
      <start xmlns="http://schemas.wps.cn/vas-ai-hub/contract-review">40</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1b560d6a-4a4a-4e79-85c7-04eaaa8a7ba6</errorID>
      <errorWord xmlns="http://schemas.wps.cn/vas-ai-hub/contract-review">截止本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截止到本</item>
      </candidateList>
      <explain xmlns="http://schemas.wps.cn/vas-ai-hub/contract-review"/>
      <paraID xmlns="http://schemas.wps.cn/vas-ai-hub/contract-review">78C531AD</paraID>
      <start xmlns="http://schemas.wps.cn/vas-ai-hub/contract-review">10</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a6397368-d504-4a46-992b-9c317a3e4d10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2EF5623C</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5b87a489-ddec-460e-8b47-b30ea13f291b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2EF5623C</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55493636-fbf1-4e6c-9c38-c5442e40ff0b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64AED636</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111d4151-44ad-45e4-ba7e-7d18a33ac3c8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64AED636</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c5a6d2c0-a7e4-4e03-ba52-84ef34155a7c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215E2AD3</paraID>
      <start xmlns="http://schemas.wps.cn/vas-ai-hub/contract-review">6</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2ceebbb2-d117-4776-8c83-fe7400dfe37e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215E2AD3</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43692543-7d1b-4295-988f-e84878bc7f76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74A6AB92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76ec1e41-cc81-402c-9ac4-8a8908ad810d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74A6AB92</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a594c333-7438-4685-ae97-a047b1d6a0f5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3314D05C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88ae53d8-6d28-41fe-82a7-0e5879ee3a57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3314D05C</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baac6f7c-6e30-49da-8933-6f16620ba509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22C9A70D</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bf614812-c078-4828-a317-eee60918b86e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2923C532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2c687d5a-8ebd-4156-b8f6-8404c4d28ece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2923C532</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27cbe6cf-3ac8-4137-86c4-c54d110a6727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658AB183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f7edea6e-b1a6-4a48-a80b-48a401b6b916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658AB183</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9872ac4c-feef-4c4c-af1d-ff5bdee74924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5C0BD875</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035ecdfc-2301-47eb-bc02-7b230f22c7e8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6B85A766</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8244087b-b7d2-4cea-8f9c-fa0a8fc858b8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1BB6686B</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e0ea5038-2c8a-4aae-a8b0-89afd297c697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606F18ED</paraID>
      <start xmlns="http://schemas.wps.cn/vas-ai-hub/contract-review">22</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d77f0196-7d4c-4ca5-980c-51e78fc9f136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606F18ED</paraID>
      <start xmlns="http://schemas.wps.cn/vas-ai-hub/contract-review">31</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a7e8109f-5f80-4898-bf0a-104ac9c3bb68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46E58F94</paraID>
      <start xmlns="http://schemas.wps.cn/vas-ai-hub/contract-review">19</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9a229d23-c581-4776-9a86-e42fa9d45b0d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46E58F94</paraID>
      <start xmlns="http://schemas.wps.cn/vas-ai-hub/contract-review">26</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6d339b12-7c1e-4d7b-9703-ad8621ef3407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46E58F94</paraID>
      <start xmlns="http://schemas.wps.cn/vas-ai-hub/contract-review">33</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9426f93a-06c8-40a2-9232-09957b537507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4B72C11D</paraID>
      <start xmlns="http://schemas.wps.cn/vas-ai-hub/contract-review">18</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852929D0-C9FD-4875-A7A9-34DE2938958A}">
  <ds:schemaRefs/>
</ds:datastoreItem>
</file>

<file path=customXml/itemProps2.xml><?xml version="1.0" encoding="utf-8"?>
<ds:datastoreItem xmlns:ds="http://schemas.openxmlformats.org/officeDocument/2006/customXml" ds:itemID="{6ddfbbf1-f1de-4b1c-bfcc-73a363ab18c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569</Words>
  <Characters>575</Characters>
  <Lines>168</Lines>
  <Paragraphs>47</Paragraphs>
  <TotalTime>32</TotalTime>
  <ScaleCrop>false</ScaleCrop>
  <LinksUpToDate>false</LinksUpToDate>
  <CharactersWithSpaces>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2026-04-17T18:54:00Z</dcterms:created>
  <dc:creator>pengzhanze</dc:creator>
  <cp:lastModifiedBy>宋博韬</cp:lastModifiedBy>
  <cp:lastPrinted>2025-12-27T00:33:00Z</cp:lastPrinted>
  <dcterms:modified xsi:type="dcterms:W3CDTF">2026-10-21T01:24:01Z</dcterms:modified>
  <dc:title>个人汽车贷款资产支持证券信息披露指引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eyJoZGlkIjoiZmU1MWFmNzk2YWNmMjI5MDk4YWY4MmQzMGQ4M2Q0ZmMiLCJ1c2VySWQiOiIxNzE4OTA1NzEwIn0=</vt:lpwstr>
  </property>
  <property fmtid="{D5CDD505-2E9C-101B-9397-08002B2CF9AE}" pid="4" name="ICV">
    <vt:lpwstr>134A9BE96DD149D2A8264FDDBB0EDEBF_13</vt:lpwstr>
  </property>
</Properties>
</file>