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1F" w:rsidRPr="00E957D8" w:rsidRDefault="00D44D1F" w:rsidP="00D44D1F">
      <w:pPr>
        <w:spacing w:line="560" w:lineRule="exact"/>
        <w:jc w:val="center"/>
        <w:rPr>
          <w:rFonts w:asciiTheme="majorEastAsia" w:eastAsiaTheme="majorEastAsia" w:hAnsiTheme="majorEastAsia" w:cs="宋体"/>
          <w:b/>
          <w:bCs/>
          <w:sz w:val="30"/>
          <w:szCs w:val="30"/>
        </w:rPr>
      </w:pPr>
      <w:bookmarkStart w:id="0" w:name="_GoBack"/>
      <w:bookmarkEnd w:id="0"/>
      <w:r>
        <w:rPr>
          <w:rFonts w:asciiTheme="majorEastAsia" w:eastAsiaTheme="majorEastAsia" w:hAnsiTheme="majorEastAsia" w:cs="宋体" w:hint="eastAsia"/>
          <w:b/>
          <w:bCs/>
          <w:sz w:val="30"/>
          <w:szCs w:val="30"/>
        </w:rPr>
        <w:t>二级市场交易信用衍生品培训班</w:t>
      </w:r>
      <w:r w:rsidRPr="00E957D8">
        <w:rPr>
          <w:rFonts w:asciiTheme="majorEastAsia" w:eastAsiaTheme="majorEastAsia" w:hAnsiTheme="majorEastAsia" w:cs="宋体" w:hint="eastAsia"/>
          <w:b/>
          <w:bCs/>
          <w:sz w:val="30"/>
          <w:szCs w:val="30"/>
        </w:rPr>
        <w:t>（</w:t>
      </w:r>
      <w:r>
        <w:rPr>
          <w:rFonts w:asciiTheme="majorEastAsia" w:eastAsiaTheme="majorEastAsia" w:hAnsiTheme="majorEastAsia" w:cs="宋体" w:hint="eastAsia"/>
          <w:b/>
          <w:bCs/>
          <w:sz w:val="30"/>
          <w:szCs w:val="30"/>
        </w:rPr>
        <w:t>第五期</w:t>
      </w:r>
      <w:r w:rsidRPr="00E957D8">
        <w:rPr>
          <w:rFonts w:asciiTheme="majorEastAsia" w:eastAsiaTheme="majorEastAsia" w:hAnsiTheme="majorEastAsia" w:cs="宋体" w:hint="eastAsia"/>
          <w:b/>
          <w:bCs/>
          <w:sz w:val="30"/>
          <w:szCs w:val="30"/>
        </w:rPr>
        <w:t>）</w:t>
      </w:r>
    </w:p>
    <w:p w:rsidR="00D44D1F" w:rsidRPr="005A4CC3" w:rsidRDefault="00D44D1F" w:rsidP="00D44D1F">
      <w:pPr>
        <w:spacing w:line="560" w:lineRule="exact"/>
        <w:jc w:val="center"/>
        <w:rPr>
          <w:rFonts w:asciiTheme="majorEastAsia" w:eastAsiaTheme="majorEastAsia" w:hAnsiTheme="majorEastAsia" w:cs="宋体"/>
          <w:b/>
          <w:bCs/>
          <w:sz w:val="30"/>
          <w:szCs w:val="30"/>
        </w:rPr>
      </w:pPr>
      <w:r w:rsidRPr="00E957D8">
        <w:rPr>
          <w:rFonts w:asciiTheme="majorEastAsia" w:eastAsiaTheme="majorEastAsia" w:hAnsiTheme="majorEastAsia" w:cs="宋体" w:hint="eastAsia"/>
          <w:b/>
          <w:bCs/>
          <w:sz w:val="30"/>
          <w:szCs w:val="30"/>
        </w:rPr>
        <w:t>课程安排</w:t>
      </w:r>
    </w:p>
    <w:p w:rsidR="00D44D1F" w:rsidRDefault="00D44D1F" w:rsidP="00D44D1F">
      <w:pPr>
        <w:spacing w:line="560" w:lineRule="exact"/>
        <w:jc w:val="center"/>
        <w:rPr>
          <w:rFonts w:asciiTheme="majorEastAsia" w:eastAsiaTheme="majorEastAsia" w:hAnsiTheme="majorEastAsia" w:cs="宋体"/>
          <w:b/>
          <w:bCs/>
          <w:sz w:val="36"/>
          <w:szCs w:val="36"/>
        </w:rPr>
      </w:pPr>
    </w:p>
    <w:tbl>
      <w:tblPr>
        <w:tblW w:w="12060" w:type="dxa"/>
        <w:jc w:val="center"/>
        <w:tblLook w:val="04A0"/>
      </w:tblPr>
      <w:tblGrid>
        <w:gridCol w:w="820"/>
        <w:gridCol w:w="1080"/>
        <w:gridCol w:w="3580"/>
        <w:gridCol w:w="5200"/>
        <w:gridCol w:w="1380"/>
      </w:tblGrid>
      <w:tr w:rsidR="00D44D1F" w:rsidTr="001821A7">
        <w:trPr>
          <w:trHeight w:val="55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b/>
                <w:color w:val="000000"/>
                <w:kern w:val="0"/>
                <w:sz w:val="22"/>
              </w:rPr>
            </w:pPr>
            <w:r>
              <w:rPr>
                <w:rFonts w:ascii="仿宋_GB2312" w:eastAsia="仿宋_GB2312" w:hAnsi="等线" w:cs="宋体" w:hint="eastAsia"/>
                <w:b/>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b/>
                <w:color w:val="000000"/>
                <w:kern w:val="0"/>
                <w:sz w:val="22"/>
              </w:rPr>
            </w:pPr>
            <w:r>
              <w:rPr>
                <w:rFonts w:ascii="仿宋_GB2312" w:eastAsia="仿宋_GB2312" w:hAnsi="等线" w:cs="宋体" w:hint="eastAsia"/>
                <w:b/>
                <w:color w:val="000000"/>
                <w:kern w:val="0"/>
                <w:sz w:val="22"/>
              </w:rPr>
              <w:t>时长</w:t>
            </w:r>
          </w:p>
        </w:tc>
        <w:tc>
          <w:tcPr>
            <w:tcW w:w="35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b/>
                <w:color w:val="000000"/>
                <w:kern w:val="0"/>
                <w:sz w:val="22"/>
              </w:rPr>
            </w:pPr>
            <w:r>
              <w:rPr>
                <w:rFonts w:ascii="仿宋_GB2312" w:eastAsia="仿宋_GB2312" w:hAnsi="等线" w:cs="宋体" w:hint="eastAsia"/>
                <w:b/>
                <w:color w:val="000000"/>
                <w:kern w:val="0"/>
                <w:sz w:val="22"/>
              </w:rPr>
              <w:t>课程名称</w:t>
            </w:r>
          </w:p>
        </w:tc>
        <w:tc>
          <w:tcPr>
            <w:tcW w:w="520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b/>
                <w:color w:val="000000"/>
                <w:kern w:val="0"/>
                <w:sz w:val="22"/>
              </w:rPr>
            </w:pPr>
            <w:r>
              <w:rPr>
                <w:rFonts w:ascii="仿宋_GB2312" w:eastAsia="仿宋_GB2312" w:hAnsi="等线" w:cs="宋体" w:hint="eastAsia"/>
                <w:b/>
                <w:color w:val="000000"/>
                <w:kern w:val="0"/>
                <w:sz w:val="22"/>
              </w:rPr>
              <w:t>课程内容</w:t>
            </w:r>
          </w:p>
        </w:tc>
        <w:tc>
          <w:tcPr>
            <w:tcW w:w="13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b/>
                <w:color w:val="000000"/>
                <w:kern w:val="0"/>
                <w:sz w:val="22"/>
              </w:rPr>
            </w:pPr>
            <w:r>
              <w:rPr>
                <w:rFonts w:ascii="仿宋_GB2312" w:eastAsia="仿宋_GB2312" w:hAnsi="等线" w:cs="宋体" w:hint="eastAsia"/>
                <w:b/>
                <w:color w:val="000000"/>
                <w:kern w:val="0"/>
                <w:sz w:val="22"/>
              </w:rPr>
              <w:t>具体讲师</w:t>
            </w:r>
          </w:p>
        </w:tc>
      </w:tr>
      <w:tr w:rsidR="00D44D1F" w:rsidTr="001821A7">
        <w:trPr>
          <w:trHeight w:val="1410"/>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国际信用衍生产品市场发展动态</w:t>
            </w:r>
          </w:p>
        </w:tc>
        <w:tc>
          <w:tcPr>
            <w:tcW w:w="520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仿宋_GB2312" w:cs="仿宋_GB2312" w:hint="eastAsia"/>
                <w:color w:val="000000"/>
                <w:kern w:val="0"/>
                <w:sz w:val="22"/>
              </w:rPr>
              <w:t>本课程介绍国际信用衍生产品市场发展动态，包括信用衍生品内含、作用、发展历史脉络，信用衍生品市场现状，包括按参考实体行业、评级、合约期限、合约种类介绍市场特点以及信用衍生品市场主要参与者情况</w:t>
            </w:r>
            <w:r>
              <w:rPr>
                <w:rFonts w:ascii="仿宋_GB2312" w:eastAsia="仿宋_GB2312" w:hAnsi="等线" w:cs="宋体" w:hint="eastAsia"/>
                <w:color w:val="000000"/>
                <w:kern w:val="0"/>
                <w:sz w:val="22"/>
              </w:rPr>
              <w:t>。</w:t>
            </w:r>
          </w:p>
        </w:tc>
        <w:tc>
          <w:tcPr>
            <w:tcW w:w="13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交易规范部  </w:t>
            </w:r>
          </w:p>
        </w:tc>
      </w:tr>
      <w:tr w:rsidR="00D44D1F" w:rsidTr="001821A7">
        <w:trPr>
          <w:trHeight w:val="112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color w:val="000000"/>
                <w:kern w:val="0"/>
                <w:sz w:val="22"/>
              </w:rPr>
              <w:t>信用风险缓释工具产品简介</w:t>
            </w:r>
          </w:p>
        </w:tc>
        <w:tc>
          <w:tcPr>
            <w:tcW w:w="520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向市场参与者介绍信用风险缓释工具（</w:t>
            </w:r>
            <w:r w:rsidRPr="00BC44A8">
              <w:rPr>
                <w:rFonts w:ascii="仿宋_GB2312" w:eastAsia="仿宋_GB2312" w:hAnsi="等线" w:cs="宋体"/>
                <w:color w:val="000000"/>
                <w:kern w:val="0"/>
                <w:sz w:val="22"/>
              </w:rPr>
              <w:t>CRM</w:t>
            </w:r>
            <w:r w:rsidRPr="00BC44A8">
              <w:rPr>
                <w:rFonts w:ascii="仿宋_GB2312" w:eastAsia="仿宋_GB2312" w:hAnsi="等线" w:cs="宋体" w:hint="eastAsia"/>
                <w:color w:val="000000"/>
                <w:kern w:val="0"/>
                <w:sz w:val="22"/>
              </w:rPr>
              <w:t>）产品，包括发展历程、发展思路、制度框架、产品特色交易要素、基础产品结构。</w:t>
            </w:r>
          </w:p>
        </w:tc>
        <w:tc>
          <w:tcPr>
            <w:tcW w:w="1380" w:type="dxa"/>
            <w:tcBorders>
              <w:top w:val="nil"/>
              <w:left w:val="nil"/>
              <w:bottom w:val="single" w:sz="4" w:space="0" w:color="auto"/>
              <w:right w:val="single" w:sz="4" w:space="0" w:color="auto"/>
            </w:tcBorders>
            <w:shd w:val="clear" w:color="000000" w:fill="FFFFFF"/>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 xml:space="preserve">交易规范部  </w:t>
            </w:r>
          </w:p>
        </w:tc>
      </w:tr>
      <w:tr w:rsidR="00D44D1F" w:rsidTr="001821A7">
        <w:trPr>
          <w:trHeight w:val="1101"/>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信用风险缓释工具资质备案与交易备案</w:t>
            </w:r>
          </w:p>
        </w:tc>
        <w:tc>
          <w:tcPr>
            <w:tcW w:w="520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向市场参与者介绍我国信用风险缓释工具市场入市备案及交易备案流程，为其参与银行间市场信用风险缓释工具业务提供实务操作方面的信息参考。</w:t>
            </w:r>
          </w:p>
        </w:tc>
        <w:tc>
          <w:tcPr>
            <w:tcW w:w="1380" w:type="dxa"/>
            <w:tcBorders>
              <w:top w:val="nil"/>
              <w:left w:val="nil"/>
              <w:bottom w:val="single" w:sz="4" w:space="0" w:color="auto"/>
              <w:right w:val="single" w:sz="4" w:space="0" w:color="auto"/>
            </w:tcBorders>
            <w:shd w:val="clear" w:color="000000" w:fill="FFFFFF"/>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 xml:space="preserve">交易规范部  </w:t>
            </w:r>
          </w:p>
        </w:tc>
      </w:tr>
      <w:tr w:rsidR="00D44D1F" w:rsidTr="001821A7">
        <w:trPr>
          <w:trHeight w:val="112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凭证类信用风险缓释工具信息披露与报备</w:t>
            </w:r>
          </w:p>
        </w:tc>
        <w:tc>
          <w:tcPr>
            <w:tcW w:w="5200" w:type="dxa"/>
            <w:tcBorders>
              <w:top w:val="nil"/>
              <w:left w:val="nil"/>
              <w:bottom w:val="single" w:sz="4" w:space="0" w:color="auto"/>
              <w:right w:val="single" w:sz="4" w:space="0" w:color="auto"/>
            </w:tcBorders>
            <w:shd w:val="clear" w:color="auto" w:fill="auto"/>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本课程基于《银行间市场信用风险缓释工具试点业务规则》、《信用风险缓释凭证业务指引》和《关于银行间市场凭证类信用风险缓释工具信息披露有关事项的通知》等制度，从实操角度对凭证类信用风险缓释工具的信息披露流程和操作细节进行讲解，帮助市场参与者直观的了解信息披露的全过程并开展相关业务。</w:t>
            </w:r>
          </w:p>
        </w:tc>
        <w:tc>
          <w:tcPr>
            <w:tcW w:w="1380" w:type="dxa"/>
            <w:tcBorders>
              <w:top w:val="nil"/>
              <w:left w:val="nil"/>
              <w:bottom w:val="single" w:sz="4" w:space="0" w:color="auto"/>
              <w:right w:val="single" w:sz="4" w:space="0" w:color="auto"/>
            </w:tcBorders>
            <w:shd w:val="clear" w:color="000000" w:fill="FFFFFF"/>
            <w:vAlign w:val="center"/>
          </w:tcPr>
          <w:p w:rsidR="00D44D1F" w:rsidRPr="00BC44A8" w:rsidRDefault="00D44D1F" w:rsidP="001821A7">
            <w:pPr>
              <w:widowControl/>
              <w:jc w:val="center"/>
              <w:rPr>
                <w:rFonts w:ascii="仿宋_GB2312" w:eastAsia="仿宋_GB2312" w:hAnsi="等线" w:cs="宋体"/>
                <w:color w:val="000000"/>
                <w:kern w:val="0"/>
                <w:sz w:val="22"/>
              </w:rPr>
            </w:pPr>
            <w:r w:rsidRPr="00BC44A8">
              <w:rPr>
                <w:rFonts w:ascii="仿宋_GB2312" w:eastAsia="仿宋_GB2312" w:hAnsi="等线" w:cs="宋体" w:hint="eastAsia"/>
                <w:color w:val="000000"/>
                <w:kern w:val="0"/>
                <w:sz w:val="22"/>
              </w:rPr>
              <w:t>交易规范部</w:t>
            </w:r>
          </w:p>
        </w:tc>
      </w:tr>
      <w:tr w:rsidR="00D44D1F" w:rsidTr="001821A7">
        <w:trPr>
          <w:trHeight w:val="112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Pr="00A27DDA" w:rsidRDefault="00D44D1F" w:rsidP="001821A7">
            <w:pPr>
              <w:widowControl/>
              <w:jc w:val="center"/>
              <w:rPr>
                <w:rFonts w:ascii="仿宋_GB2312" w:eastAsia="仿宋_GB2312" w:hAnsi="等线" w:cs="宋体"/>
                <w:color w:val="000000"/>
                <w:kern w:val="0"/>
                <w:sz w:val="22"/>
              </w:rPr>
            </w:pPr>
            <w:r w:rsidRPr="00A27DDA">
              <w:rPr>
                <w:rFonts w:ascii="仿宋_GB2312" w:eastAsia="仿宋_GB2312" w:hAnsi="等线" w:cs="宋体" w:hint="eastAsia"/>
                <w:color w:val="000000"/>
                <w:kern w:val="0"/>
                <w:sz w:val="22"/>
              </w:rPr>
              <w:lastRenderedPageBreak/>
              <w:t>5</w:t>
            </w:r>
          </w:p>
        </w:tc>
        <w:tc>
          <w:tcPr>
            <w:tcW w:w="1080" w:type="dxa"/>
            <w:tcBorders>
              <w:top w:val="nil"/>
              <w:left w:val="nil"/>
              <w:bottom w:val="single" w:sz="4" w:space="0" w:color="auto"/>
              <w:right w:val="single" w:sz="4" w:space="0" w:color="auto"/>
            </w:tcBorders>
            <w:shd w:val="clear" w:color="auto" w:fill="auto"/>
            <w:vAlign w:val="center"/>
          </w:tcPr>
          <w:p w:rsidR="00D44D1F" w:rsidRPr="00A27DDA" w:rsidRDefault="00D44D1F" w:rsidP="001821A7">
            <w:pPr>
              <w:widowControl/>
              <w:jc w:val="center"/>
              <w:rPr>
                <w:rFonts w:ascii="仿宋_GB2312" w:eastAsia="仿宋_GB2312" w:hAnsi="等线" w:cs="宋体"/>
                <w:color w:val="000000"/>
                <w:kern w:val="0"/>
                <w:sz w:val="22"/>
              </w:rPr>
            </w:pPr>
            <w:r w:rsidRPr="00A27DDA">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tcPr>
          <w:p w:rsidR="00D44D1F" w:rsidRPr="00A27DDA" w:rsidRDefault="00D44D1F" w:rsidP="001821A7">
            <w:pPr>
              <w:widowControl/>
              <w:jc w:val="center"/>
              <w:rPr>
                <w:rFonts w:ascii="仿宋_GB2312" w:eastAsia="仿宋_GB2312" w:hAnsi="等线" w:cs="宋体"/>
                <w:color w:val="000000"/>
                <w:kern w:val="0"/>
                <w:sz w:val="22"/>
              </w:rPr>
            </w:pPr>
            <w:r w:rsidRPr="00A27DDA">
              <w:rPr>
                <w:rFonts w:ascii="仿宋_GB2312" w:eastAsia="仿宋_GB2312" w:hAnsi="等线" w:cs="宋体" w:hint="eastAsia"/>
                <w:color w:val="000000"/>
                <w:kern w:val="0"/>
                <w:sz w:val="22"/>
              </w:rPr>
              <w:t>CLN产品简介及应用</w:t>
            </w:r>
          </w:p>
        </w:tc>
        <w:tc>
          <w:tcPr>
            <w:tcW w:w="5200" w:type="dxa"/>
            <w:tcBorders>
              <w:top w:val="nil"/>
              <w:left w:val="nil"/>
              <w:bottom w:val="single" w:sz="4" w:space="0" w:color="auto"/>
              <w:right w:val="single" w:sz="4" w:space="0" w:color="auto"/>
            </w:tcBorders>
            <w:shd w:val="clear" w:color="auto" w:fill="auto"/>
            <w:vAlign w:val="center"/>
          </w:tcPr>
          <w:p w:rsidR="00D44D1F" w:rsidRPr="00A27DDA" w:rsidRDefault="00D44D1F" w:rsidP="001821A7">
            <w:pPr>
              <w:widowControl/>
              <w:jc w:val="center"/>
              <w:rPr>
                <w:rFonts w:ascii="仿宋_GB2312" w:eastAsia="仿宋_GB2312" w:hAnsi="等线" w:cs="宋体"/>
                <w:color w:val="000000"/>
                <w:kern w:val="0"/>
                <w:sz w:val="22"/>
              </w:rPr>
            </w:pPr>
            <w:r w:rsidRPr="00A27DDA">
              <w:rPr>
                <w:rFonts w:ascii="仿宋_GB2312" w:eastAsia="仿宋_GB2312" w:hAnsi="等线" w:cs="宋体" w:hint="eastAsia"/>
                <w:color w:val="000000"/>
                <w:kern w:val="0"/>
                <w:sz w:val="22"/>
              </w:rPr>
              <w:t>向市场参与者介绍CLN产品简介及应用有关情况，从产品定义和结构、产品应用和业务流程等维度介绍CLN产品基本情况，为市场成员开展CLN业务提供信息参考。</w:t>
            </w:r>
          </w:p>
        </w:tc>
        <w:tc>
          <w:tcPr>
            <w:tcW w:w="1380" w:type="dxa"/>
            <w:tcBorders>
              <w:top w:val="nil"/>
              <w:left w:val="nil"/>
              <w:bottom w:val="single" w:sz="4" w:space="0" w:color="auto"/>
              <w:right w:val="single" w:sz="4" w:space="0" w:color="auto"/>
            </w:tcBorders>
            <w:shd w:val="clear" w:color="000000" w:fill="FFFFFF"/>
            <w:vAlign w:val="center"/>
          </w:tcPr>
          <w:p w:rsidR="00D44D1F" w:rsidRPr="00A27DDA" w:rsidRDefault="00D44D1F" w:rsidP="001821A7">
            <w:pPr>
              <w:widowControl/>
              <w:jc w:val="center"/>
              <w:rPr>
                <w:rFonts w:ascii="仿宋_GB2312" w:eastAsia="仿宋_GB2312" w:hAnsi="等线" w:cs="宋体"/>
                <w:color w:val="000000"/>
                <w:kern w:val="0"/>
                <w:sz w:val="22"/>
              </w:rPr>
            </w:pPr>
            <w:r w:rsidRPr="00A27DDA">
              <w:rPr>
                <w:rFonts w:ascii="仿宋_GB2312" w:eastAsia="仿宋_GB2312" w:hAnsi="等线" w:cs="宋体" w:hint="eastAsia"/>
                <w:color w:val="000000"/>
                <w:kern w:val="0"/>
                <w:sz w:val="22"/>
              </w:rPr>
              <w:t>交易规范部</w:t>
            </w:r>
          </w:p>
        </w:tc>
      </w:tr>
      <w:tr w:rsidR="00D44D1F" w:rsidTr="001821A7">
        <w:trPr>
          <w:trHeight w:val="91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6</w:t>
            </w:r>
          </w:p>
        </w:tc>
        <w:tc>
          <w:tcPr>
            <w:tcW w:w="10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1小时</w:t>
            </w:r>
          </w:p>
        </w:tc>
        <w:tc>
          <w:tcPr>
            <w:tcW w:w="35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信用衍生品的估值方法</w:t>
            </w:r>
          </w:p>
        </w:tc>
        <w:tc>
          <w:tcPr>
            <w:tcW w:w="520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本课程主要介绍无套利原理和衍生产品定价，信用债券的无套利定价以及信用衍生品的估值等相关知识。</w:t>
            </w:r>
          </w:p>
        </w:tc>
        <w:tc>
          <w:tcPr>
            <w:tcW w:w="13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市场专家</w:t>
            </w:r>
          </w:p>
        </w:tc>
      </w:tr>
      <w:tr w:rsidR="00D44D1F" w:rsidTr="001821A7">
        <w:trPr>
          <w:trHeight w:val="885"/>
          <w:jc w:val="center"/>
        </w:trPr>
        <w:tc>
          <w:tcPr>
            <w:tcW w:w="820" w:type="dxa"/>
            <w:tcBorders>
              <w:top w:val="nil"/>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1小时</w:t>
            </w:r>
          </w:p>
        </w:tc>
        <w:tc>
          <w:tcPr>
            <w:tcW w:w="35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CRM基本术语与适用规则</w:t>
            </w:r>
          </w:p>
        </w:tc>
        <w:tc>
          <w:tcPr>
            <w:tcW w:w="520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本课程从CRWA、CRMW、CDS、CLN对信用风险缓释工具进行介绍；CRM基本术语与适用规则包括通用术语、信用事件有关术语、结算相关术语。</w:t>
            </w:r>
          </w:p>
        </w:tc>
        <w:tc>
          <w:tcPr>
            <w:tcW w:w="1380" w:type="dxa"/>
            <w:tcBorders>
              <w:top w:val="nil"/>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市场专家</w:t>
            </w:r>
          </w:p>
        </w:tc>
      </w:tr>
      <w:tr w:rsidR="00D44D1F" w:rsidTr="001821A7">
        <w:trPr>
          <w:trHeight w:val="216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2.5小时</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CDS在中国市场的需求和应用研究</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以信用衍生品的合规、法律、风控、清算、财务五大业务要素为框架，首先介绍了国内外信用衍生品市场的组织机构体系，法律协议制度，回溯了国际信用衍生品市场的发展历史；其次对信用衍生品的交易要素、市场情况、发展意义等进行业务说明；最后对于信用衍生品在中国的发展历程，及金融机构发展信用衍生品业务的模式进行了阐述。</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市场专家</w:t>
            </w:r>
          </w:p>
        </w:tc>
      </w:tr>
      <w:tr w:rsidR="00D44D1F" w:rsidTr="001821A7">
        <w:trPr>
          <w:trHeight w:val="90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9</w:t>
            </w:r>
          </w:p>
        </w:tc>
        <w:tc>
          <w:tcPr>
            <w:tcW w:w="10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0.5小时</w:t>
            </w:r>
          </w:p>
        </w:tc>
        <w:tc>
          <w:tcPr>
            <w:tcW w:w="35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信用风险缓释凭证登记结算规则和系统功能介绍</w:t>
            </w:r>
          </w:p>
        </w:tc>
        <w:tc>
          <w:tcPr>
            <w:tcW w:w="520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本课程从业务规则、机制、流程三个方面介绍上海清算所信用风险缓释凭证登记托管结算业务，便利市场参与者创设和投资信用风险缓释凭证。</w:t>
            </w:r>
          </w:p>
        </w:tc>
        <w:tc>
          <w:tcPr>
            <w:tcW w:w="1380" w:type="dxa"/>
            <w:tcBorders>
              <w:top w:val="single" w:sz="4" w:space="0" w:color="auto"/>
              <w:left w:val="nil"/>
              <w:bottom w:val="single" w:sz="4" w:space="0" w:color="auto"/>
              <w:right w:val="single" w:sz="4" w:space="0" w:color="auto"/>
            </w:tcBorders>
            <w:shd w:val="clear" w:color="auto" w:fill="auto"/>
            <w:vAlign w:val="center"/>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市场专家</w:t>
            </w:r>
          </w:p>
        </w:tc>
      </w:tr>
    </w:tbl>
    <w:p w:rsidR="00D44D1F" w:rsidRDefault="00D44D1F" w:rsidP="00D44D1F">
      <w:pPr>
        <w:spacing w:line="560" w:lineRule="exact"/>
        <w:jc w:val="center"/>
        <w:rPr>
          <w:rFonts w:asciiTheme="majorEastAsia" w:eastAsiaTheme="majorEastAsia" w:hAnsiTheme="majorEastAsia" w:cs="宋体"/>
          <w:b/>
          <w:bCs/>
          <w:sz w:val="36"/>
          <w:szCs w:val="36"/>
        </w:rPr>
      </w:pPr>
    </w:p>
    <w:p w:rsidR="00D44D1F" w:rsidRDefault="00D44D1F" w:rsidP="00D44D1F">
      <w:pPr>
        <w:widowControl/>
        <w:jc w:val="left"/>
        <w:rPr>
          <w:rFonts w:asciiTheme="majorEastAsia" w:eastAsiaTheme="majorEastAsia" w:hAnsiTheme="majorEastAsia" w:cs="宋体"/>
          <w:b/>
          <w:bCs/>
          <w:sz w:val="30"/>
          <w:szCs w:val="30"/>
        </w:rPr>
      </w:pPr>
      <w:r>
        <w:rPr>
          <w:rFonts w:asciiTheme="majorEastAsia" w:eastAsiaTheme="majorEastAsia" w:hAnsiTheme="majorEastAsia" w:cs="宋体"/>
          <w:b/>
          <w:bCs/>
          <w:sz w:val="30"/>
          <w:szCs w:val="30"/>
        </w:rPr>
        <w:br w:type="page"/>
      </w:r>
    </w:p>
    <w:p w:rsidR="00D44D1F" w:rsidRPr="00E957D8" w:rsidRDefault="00D44D1F" w:rsidP="00D44D1F">
      <w:pPr>
        <w:spacing w:line="560" w:lineRule="exact"/>
        <w:jc w:val="center"/>
        <w:rPr>
          <w:rFonts w:asciiTheme="majorEastAsia" w:eastAsiaTheme="majorEastAsia" w:hAnsiTheme="majorEastAsia" w:cs="宋体"/>
          <w:b/>
          <w:bCs/>
          <w:sz w:val="30"/>
          <w:szCs w:val="30"/>
        </w:rPr>
      </w:pPr>
      <w:r w:rsidRPr="005A4CC3">
        <w:rPr>
          <w:rFonts w:asciiTheme="majorEastAsia" w:eastAsiaTheme="majorEastAsia" w:hAnsiTheme="majorEastAsia" w:cs="宋体" w:hint="eastAsia"/>
          <w:b/>
          <w:bCs/>
          <w:sz w:val="30"/>
          <w:szCs w:val="30"/>
        </w:rPr>
        <w:lastRenderedPageBreak/>
        <w:t>二级市场交易协议文本培训班</w:t>
      </w:r>
      <w:r w:rsidRPr="00E957D8">
        <w:rPr>
          <w:rFonts w:asciiTheme="majorEastAsia" w:eastAsiaTheme="majorEastAsia" w:hAnsiTheme="majorEastAsia" w:cs="宋体" w:hint="eastAsia"/>
          <w:b/>
          <w:bCs/>
          <w:sz w:val="30"/>
          <w:szCs w:val="30"/>
        </w:rPr>
        <w:t>（</w:t>
      </w:r>
      <w:r>
        <w:rPr>
          <w:rFonts w:asciiTheme="majorEastAsia" w:eastAsiaTheme="majorEastAsia" w:hAnsiTheme="majorEastAsia" w:cs="宋体" w:hint="eastAsia"/>
          <w:b/>
          <w:bCs/>
          <w:sz w:val="30"/>
          <w:szCs w:val="30"/>
        </w:rPr>
        <w:t>第五期</w:t>
      </w:r>
      <w:r w:rsidRPr="00E957D8">
        <w:rPr>
          <w:rFonts w:asciiTheme="majorEastAsia" w:eastAsiaTheme="majorEastAsia" w:hAnsiTheme="majorEastAsia" w:cs="宋体" w:hint="eastAsia"/>
          <w:b/>
          <w:bCs/>
          <w:sz w:val="30"/>
          <w:szCs w:val="30"/>
        </w:rPr>
        <w:t>）</w:t>
      </w:r>
    </w:p>
    <w:p w:rsidR="00D44D1F" w:rsidRDefault="00D44D1F" w:rsidP="00D44D1F">
      <w:pPr>
        <w:spacing w:line="560" w:lineRule="exact"/>
        <w:jc w:val="center"/>
        <w:rPr>
          <w:rFonts w:asciiTheme="majorEastAsia" w:eastAsiaTheme="majorEastAsia" w:hAnsiTheme="majorEastAsia" w:cs="宋体"/>
          <w:b/>
          <w:bCs/>
          <w:sz w:val="30"/>
          <w:szCs w:val="30"/>
        </w:rPr>
      </w:pPr>
      <w:r w:rsidRPr="00E957D8">
        <w:rPr>
          <w:rFonts w:asciiTheme="majorEastAsia" w:eastAsiaTheme="majorEastAsia" w:hAnsiTheme="majorEastAsia" w:cs="宋体" w:hint="eastAsia"/>
          <w:b/>
          <w:bCs/>
          <w:sz w:val="30"/>
          <w:szCs w:val="30"/>
        </w:rPr>
        <w:t>课程安排</w:t>
      </w:r>
    </w:p>
    <w:p w:rsidR="00D44D1F" w:rsidRDefault="00D44D1F" w:rsidP="00D44D1F">
      <w:pPr>
        <w:spacing w:line="560" w:lineRule="exact"/>
        <w:jc w:val="center"/>
        <w:rPr>
          <w:rFonts w:asciiTheme="majorEastAsia" w:eastAsiaTheme="majorEastAsia" w:hAnsiTheme="majorEastAsia" w:cs="宋体"/>
          <w:b/>
          <w:bCs/>
          <w:sz w:val="36"/>
          <w:szCs w:val="36"/>
        </w:rPr>
      </w:pPr>
    </w:p>
    <w:tbl>
      <w:tblPr>
        <w:tblW w:w="13391" w:type="dxa"/>
        <w:jc w:val="center"/>
        <w:tblLook w:val="04A0"/>
      </w:tblPr>
      <w:tblGrid>
        <w:gridCol w:w="880"/>
        <w:gridCol w:w="1260"/>
        <w:gridCol w:w="4020"/>
        <w:gridCol w:w="5600"/>
        <w:gridCol w:w="1631"/>
      </w:tblGrid>
      <w:tr w:rsidR="00D44D1F" w:rsidRPr="00B35048" w:rsidTr="001821A7">
        <w:trPr>
          <w:trHeight w:val="585"/>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b/>
                <w:bCs/>
                <w:color w:val="000000"/>
                <w:kern w:val="0"/>
                <w:sz w:val="22"/>
              </w:rPr>
            </w:pPr>
            <w:r w:rsidRPr="00B35048">
              <w:rPr>
                <w:rFonts w:ascii="仿宋_GB2312" w:eastAsia="仿宋_GB2312" w:hAnsi="等线" w:cs="宋体" w:hint="eastAsia"/>
                <w:b/>
                <w:bCs/>
                <w:color w:val="000000"/>
                <w:kern w:val="0"/>
                <w:sz w:val="22"/>
              </w:rPr>
              <w:t>序号</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b/>
                <w:bCs/>
                <w:color w:val="000000"/>
                <w:kern w:val="0"/>
                <w:sz w:val="22"/>
              </w:rPr>
            </w:pPr>
            <w:r w:rsidRPr="00B35048">
              <w:rPr>
                <w:rFonts w:ascii="仿宋_GB2312" w:eastAsia="仿宋_GB2312" w:hAnsi="等线" w:cs="宋体" w:hint="eastAsia"/>
                <w:b/>
                <w:bCs/>
                <w:color w:val="000000"/>
                <w:kern w:val="0"/>
                <w:sz w:val="22"/>
              </w:rPr>
              <w:t>时长</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b/>
                <w:bCs/>
                <w:color w:val="000000"/>
                <w:kern w:val="0"/>
                <w:sz w:val="22"/>
              </w:rPr>
            </w:pPr>
            <w:r w:rsidRPr="00B35048">
              <w:rPr>
                <w:rFonts w:ascii="仿宋_GB2312" w:eastAsia="仿宋_GB2312" w:hAnsi="等线" w:cs="宋体" w:hint="eastAsia"/>
                <w:b/>
                <w:bCs/>
                <w:color w:val="000000"/>
                <w:kern w:val="0"/>
                <w:sz w:val="22"/>
              </w:rPr>
              <w:t>课程名称</w:t>
            </w:r>
          </w:p>
        </w:tc>
        <w:tc>
          <w:tcPr>
            <w:tcW w:w="5600" w:type="dxa"/>
            <w:tcBorders>
              <w:top w:val="single" w:sz="4" w:space="0" w:color="auto"/>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b/>
                <w:bCs/>
                <w:color w:val="000000"/>
                <w:kern w:val="0"/>
                <w:sz w:val="22"/>
              </w:rPr>
            </w:pPr>
            <w:r w:rsidRPr="00B35048">
              <w:rPr>
                <w:rFonts w:ascii="仿宋_GB2312" w:eastAsia="仿宋_GB2312" w:hAnsi="等线" w:cs="宋体" w:hint="eastAsia"/>
                <w:b/>
                <w:bCs/>
                <w:color w:val="000000"/>
                <w:kern w:val="0"/>
                <w:sz w:val="22"/>
              </w:rPr>
              <w:t>课程内容</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b/>
                <w:bCs/>
                <w:color w:val="000000"/>
                <w:kern w:val="0"/>
                <w:sz w:val="22"/>
              </w:rPr>
            </w:pPr>
            <w:r w:rsidRPr="00B35048">
              <w:rPr>
                <w:rFonts w:ascii="仿宋_GB2312" w:eastAsia="仿宋_GB2312" w:hAnsi="等线" w:cs="宋体" w:hint="eastAsia"/>
                <w:b/>
                <w:bCs/>
                <w:color w:val="000000"/>
                <w:kern w:val="0"/>
                <w:sz w:val="22"/>
              </w:rPr>
              <w:t>具体讲师</w:t>
            </w:r>
          </w:p>
        </w:tc>
      </w:tr>
      <w:tr w:rsidR="00D44D1F" w:rsidRPr="00B35048" w:rsidTr="001821A7">
        <w:trPr>
          <w:trHeight w:val="76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1</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《NAFMII主协议》核心机制安排简介</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仿宋_GB2312" w:cs="仿宋_GB2312" w:hint="eastAsia"/>
                <w:color w:val="000000"/>
                <w:kern w:val="0"/>
                <w:sz w:val="22"/>
              </w:rPr>
              <w:t>本课程主要介绍《</w:t>
            </w:r>
            <w:r w:rsidRPr="00B35048">
              <w:rPr>
                <w:rFonts w:ascii="仿宋_GB2312" w:eastAsia="仿宋_GB2312" w:hAnsi="等线" w:cs="宋体" w:hint="eastAsia"/>
                <w:color w:val="000000"/>
                <w:kern w:val="0"/>
                <w:sz w:val="22"/>
              </w:rPr>
              <w:t>NAFMII主协议（2009年版）》的单一协议、净额结算、履约保障这三项核心机制安排。</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117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2</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《NAFMII主协议》主要条款介绍</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本课程主要介绍《NAFMII主协议（2009年版）》的主协议、补充协议、履约保障文件、定义文件的主要情况，重点介绍违约事件、违约事件的处理、争议的解决等重要条款。</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6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3</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《NAFMII主协议》的备案与自律管理</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在市场成员已基本了解《</w:t>
            </w:r>
            <w:r w:rsidRPr="00B35048">
              <w:rPr>
                <w:rFonts w:ascii="仿宋_GB2312" w:eastAsia="仿宋_GB2312" w:hAnsi="等线" w:cs="宋体" w:hint="eastAsia"/>
                <w:color w:val="000000"/>
                <w:kern w:val="0"/>
                <w:sz w:val="22"/>
              </w:rPr>
              <w:t>NAFMII主协议（2009年版）</w:t>
            </w:r>
            <w:r>
              <w:rPr>
                <w:rFonts w:ascii="仿宋_GB2312" w:eastAsia="仿宋_GB2312" w:hAnsi="等线" w:cs="宋体" w:hint="eastAsia"/>
                <w:color w:val="000000"/>
                <w:kern w:val="0"/>
                <w:sz w:val="22"/>
              </w:rPr>
              <w:t>》核心机制和主要条款的基础上，帮助市场成员了解《NAFMII主协议》的备案要求和流程。</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91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4</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《回购主协议》核心机制安排简介</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仿宋_GB2312" w:cs="仿宋_GB2312" w:hint="eastAsia"/>
                <w:color w:val="000000"/>
                <w:kern w:val="0"/>
                <w:sz w:val="22"/>
              </w:rPr>
              <w:t>本课程主要介绍《债券回购主协议（</w:t>
            </w:r>
            <w:r w:rsidRPr="00B35048">
              <w:rPr>
                <w:rFonts w:ascii="仿宋_GB2312" w:eastAsia="仿宋_GB2312" w:hAnsi="等线" w:cs="宋体" w:hint="eastAsia"/>
                <w:color w:val="000000"/>
                <w:kern w:val="0"/>
                <w:sz w:val="22"/>
              </w:rPr>
              <w:t>2013年版）》的核心机制安排，包括：盯市调整、替换、单一协议及终止净额。</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9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5</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《回购主协议》主要条款介绍</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仿宋_GB2312" w:cs="仿宋_GB2312" w:hint="eastAsia"/>
                <w:color w:val="000000"/>
                <w:kern w:val="0"/>
                <w:sz w:val="22"/>
              </w:rPr>
              <w:t>本课程主要介绍《债券回购主协议（</w:t>
            </w:r>
            <w:r w:rsidRPr="00B35048">
              <w:rPr>
                <w:rFonts w:ascii="仿宋_GB2312" w:eastAsia="仿宋_GB2312" w:hAnsi="等线" w:cs="宋体" w:hint="eastAsia"/>
                <w:color w:val="000000"/>
                <w:kern w:val="0"/>
                <w:sz w:val="22"/>
              </w:rPr>
              <w:t>2013年版）》的主要条款，包括：通用条款、质押式回购特别条款、买断式回购特别条款。</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102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6</w:t>
            </w:r>
          </w:p>
        </w:tc>
        <w:tc>
          <w:tcPr>
            <w:tcW w:w="126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0.5小时</w:t>
            </w:r>
          </w:p>
        </w:tc>
        <w:tc>
          <w:tcPr>
            <w:tcW w:w="402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《回购主协议》的备案与自律管理</w:t>
            </w:r>
          </w:p>
        </w:tc>
        <w:tc>
          <w:tcPr>
            <w:tcW w:w="5600"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本课程在市场成员已基本了解《回购主协议》核心机制和主要条款的基础上，帮助市场成员了解《回购主协议》的备案要求与流程。</w:t>
            </w:r>
          </w:p>
        </w:tc>
        <w:tc>
          <w:tcPr>
            <w:tcW w:w="1631" w:type="dxa"/>
            <w:tcBorders>
              <w:top w:val="nil"/>
              <w:left w:val="nil"/>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 xml:space="preserve">交易规范部   </w:t>
            </w:r>
          </w:p>
        </w:tc>
      </w:tr>
      <w:tr w:rsidR="00D44D1F" w:rsidRPr="00B35048" w:rsidTr="001821A7">
        <w:trPr>
          <w:trHeight w:val="1680"/>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lastRenderedPageBreak/>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kern w:val="0"/>
                <w:sz w:val="22"/>
              </w:rPr>
            </w:pPr>
            <w:r w:rsidRPr="00B35048">
              <w:rPr>
                <w:rFonts w:ascii="仿宋_GB2312" w:eastAsia="仿宋_GB2312" w:hAnsi="等线" w:cs="宋体" w:hint="eastAsia"/>
                <w:kern w:val="0"/>
                <w:sz w:val="22"/>
              </w:rPr>
              <w:t>1小时</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等线" w:cs="宋体" w:hint="eastAsia"/>
                <w:color w:val="000000"/>
                <w:kern w:val="0"/>
                <w:sz w:val="22"/>
              </w:rPr>
              <w:t>回购交易案例分析</w:t>
            </w:r>
          </w:p>
        </w:tc>
        <w:tc>
          <w:tcPr>
            <w:tcW w:w="5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sidRPr="00B35048">
              <w:rPr>
                <w:rFonts w:ascii="仿宋_GB2312" w:eastAsia="仿宋_GB2312" w:hAnsi="仿宋_GB2312" w:cs="仿宋_GB2312" w:hint="eastAsia"/>
                <w:color w:val="000000"/>
                <w:kern w:val="0"/>
                <w:sz w:val="22"/>
              </w:rPr>
              <w:t>本课程向市场参与者介绍中国银行间债券回购市场的主要特征，回购交易典型案例与处置规则，并通过实例介绍为其参与银行间市场债券回购交易与处理相关违约事件提供制度依据与实务操作方面的信息参考，以进一步助力回购市场规范发展，参与主体高效、合规维护债权债务</w:t>
            </w:r>
            <w:r w:rsidRPr="00B35048">
              <w:rPr>
                <w:rFonts w:ascii="仿宋_GB2312" w:eastAsia="仿宋_GB2312" w:hAnsi="等线" w:cs="宋体" w:hint="eastAsia"/>
                <w:color w:val="000000"/>
                <w:kern w:val="0"/>
                <w:sz w:val="22"/>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35048"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市场专家</w:t>
            </w:r>
          </w:p>
        </w:tc>
      </w:tr>
    </w:tbl>
    <w:p w:rsidR="00D44D1F" w:rsidRDefault="00D44D1F" w:rsidP="00D44D1F">
      <w:pPr>
        <w:spacing w:line="560" w:lineRule="exact"/>
        <w:jc w:val="center"/>
        <w:rPr>
          <w:rFonts w:asciiTheme="majorEastAsia" w:eastAsiaTheme="majorEastAsia" w:hAnsiTheme="majorEastAsia" w:cs="宋体"/>
          <w:b/>
          <w:bCs/>
          <w:sz w:val="36"/>
          <w:szCs w:val="36"/>
        </w:rPr>
      </w:pPr>
    </w:p>
    <w:p w:rsidR="00D44D1F" w:rsidRDefault="00D44D1F" w:rsidP="00D44D1F">
      <w:pPr>
        <w:widowControl/>
        <w:jc w:val="left"/>
        <w:rPr>
          <w:rFonts w:asciiTheme="majorEastAsia" w:eastAsiaTheme="majorEastAsia" w:hAnsiTheme="majorEastAsia" w:cs="宋体"/>
          <w:b/>
          <w:bCs/>
          <w:sz w:val="36"/>
          <w:szCs w:val="36"/>
        </w:rPr>
      </w:pPr>
      <w:r>
        <w:rPr>
          <w:rFonts w:asciiTheme="majorEastAsia" w:eastAsiaTheme="majorEastAsia" w:hAnsiTheme="majorEastAsia" w:cs="宋体"/>
          <w:b/>
          <w:bCs/>
          <w:sz w:val="36"/>
          <w:szCs w:val="36"/>
        </w:rPr>
        <w:br w:type="page"/>
      </w:r>
    </w:p>
    <w:p w:rsidR="00D44D1F" w:rsidRPr="00E957D8" w:rsidRDefault="00D44D1F" w:rsidP="00D44D1F">
      <w:pPr>
        <w:spacing w:line="560" w:lineRule="exact"/>
        <w:jc w:val="center"/>
        <w:rPr>
          <w:rFonts w:asciiTheme="majorEastAsia" w:eastAsiaTheme="majorEastAsia" w:hAnsiTheme="majorEastAsia" w:cs="宋体"/>
          <w:b/>
          <w:bCs/>
          <w:sz w:val="30"/>
          <w:szCs w:val="30"/>
        </w:rPr>
      </w:pPr>
      <w:r w:rsidRPr="005A4CC3">
        <w:rPr>
          <w:rFonts w:asciiTheme="majorEastAsia" w:eastAsiaTheme="majorEastAsia" w:hAnsiTheme="majorEastAsia" w:cs="宋体" w:hint="eastAsia"/>
          <w:b/>
          <w:bCs/>
          <w:sz w:val="30"/>
          <w:szCs w:val="30"/>
        </w:rPr>
        <w:lastRenderedPageBreak/>
        <w:t>二级市场</w:t>
      </w:r>
      <w:r w:rsidRPr="002B13B5">
        <w:rPr>
          <w:rFonts w:asciiTheme="majorEastAsia" w:eastAsiaTheme="majorEastAsia" w:hAnsiTheme="majorEastAsia" w:cs="宋体" w:hint="eastAsia"/>
          <w:b/>
          <w:bCs/>
          <w:sz w:val="30"/>
          <w:szCs w:val="30"/>
        </w:rPr>
        <w:t>交易自律规则体系建设及业务规范</w:t>
      </w:r>
      <w:r>
        <w:rPr>
          <w:rFonts w:asciiTheme="majorEastAsia" w:eastAsiaTheme="majorEastAsia" w:hAnsiTheme="majorEastAsia" w:cs="宋体" w:hint="eastAsia"/>
          <w:b/>
          <w:bCs/>
          <w:sz w:val="30"/>
          <w:szCs w:val="30"/>
        </w:rPr>
        <w:t>培训班</w:t>
      </w:r>
      <w:r w:rsidRPr="00E957D8">
        <w:rPr>
          <w:rFonts w:asciiTheme="majorEastAsia" w:eastAsiaTheme="majorEastAsia" w:hAnsiTheme="majorEastAsia" w:cs="宋体" w:hint="eastAsia"/>
          <w:b/>
          <w:bCs/>
          <w:sz w:val="30"/>
          <w:szCs w:val="30"/>
        </w:rPr>
        <w:t>（</w:t>
      </w:r>
      <w:r>
        <w:rPr>
          <w:rFonts w:asciiTheme="majorEastAsia" w:eastAsiaTheme="majorEastAsia" w:hAnsiTheme="majorEastAsia" w:cs="宋体" w:hint="eastAsia"/>
          <w:b/>
          <w:bCs/>
          <w:sz w:val="30"/>
          <w:szCs w:val="30"/>
        </w:rPr>
        <w:t>第五期</w:t>
      </w:r>
      <w:r w:rsidRPr="00E957D8">
        <w:rPr>
          <w:rFonts w:asciiTheme="majorEastAsia" w:eastAsiaTheme="majorEastAsia" w:hAnsiTheme="majorEastAsia" w:cs="宋体" w:hint="eastAsia"/>
          <w:b/>
          <w:bCs/>
          <w:sz w:val="30"/>
          <w:szCs w:val="30"/>
        </w:rPr>
        <w:t>）</w:t>
      </w:r>
    </w:p>
    <w:p w:rsidR="00D44D1F" w:rsidRPr="005A4CC3" w:rsidRDefault="00D44D1F" w:rsidP="00D44D1F">
      <w:pPr>
        <w:spacing w:line="560" w:lineRule="exact"/>
        <w:jc w:val="center"/>
        <w:rPr>
          <w:rFonts w:asciiTheme="majorEastAsia" w:eastAsiaTheme="majorEastAsia" w:hAnsiTheme="majorEastAsia" w:cs="宋体"/>
          <w:b/>
          <w:bCs/>
          <w:sz w:val="30"/>
          <w:szCs w:val="30"/>
        </w:rPr>
      </w:pPr>
      <w:r w:rsidRPr="00E957D8">
        <w:rPr>
          <w:rFonts w:asciiTheme="majorEastAsia" w:eastAsiaTheme="majorEastAsia" w:hAnsiTheme="majorEastAsia" w:cs="宋体" w:hint="eastAsia"/>
          <w:b/>
          <w:bCs/>
          <w:sz w:val="30"/>
          <w:szCs w:val="30"/>
        </w:rPr>
        <w:t>课程安排</w:t>
      </w:r>
    </w:p>
    <w:p w:rsidR="00D44D1F" w:rsidRDefault="00D44D1F" w:rsidP="00D44D1F">
      <w:pPr>
        <w:spacing w:line="560" w:lineRule="exact"/>
        <w:jc w:val="center"/>
        <w:rPr>
          <w:rFonts w:asciiTheme="majorEastAsia" w:eastAsiaTheme="majorEastAsia" w:hAnsiTheme="majorEastAsia" w:cs="宋体"/>
          <w:b/>
          <w:bCs/>
          <w:sz w:val="36"/>
          <w:szCs w:val="36"/>
        </w:rPr>
      </w:pPr>
    </w:p>
    <w:tbl>
      <w:tblPr>
        <w:tblW w:w="12060" w:type="dxa"/>
        <w:jc w:val="center"/>
        <w:tblLook w:val="04A0"/>
      </w:tblPr>
      <w:tblGrid>
        <w:gridCol w:w="820"/>
        <w:gridCol w:w="1080"/>
        <w:gridCol w:w="3580"/>
        <w:gridCol w:w="5200"/>
        <w:gridCol w:w="1380"/>
      </w:tblGrid>
      <w:tr w:rsidR="00D44D1F" w:rsidRPr="00F67CF9" w:rsidTr="001821A7">
        <w:trPr>
          <w:trHeight w:val="854"/>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b/>
                <w:color w:val="000000"/>
                <w:kern w:val="0"/>
                <w:sz w:val="22"/>
              </w:rPr>
            </w:pPr>
            <w:r w:rsidRPr="00F67CF9">
              <w:rPr>
                <w:rFonts w:ascii="仿宋_GB2312" w:eastAsia="仿宋_GB2312" w:hAnsi="等线" w:cs="宋体" w:hint="eastAsia"/>
                <w:b/>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b/>
                <w:color w:val="000000"/>
                <w:kern w:val="0"/>
                <w:sz w:val="22"/>
              </w:rPr>
            </w:pPr>
            <w:r w:rsidRPr="00F67CF9">
              <w:rPr>
                <w:rFonts w:ascii="仿宋_GB2312" w:eastAsia="仿宋_GB2312" w:hAnsi="等线" w:cs="宋体" w:hint="eastAsia"/>
                <w:b/>
                <w:color w:val="000000"/>
                <w:kern w:val="0"/>
                <w:sz w:val="22"/>
              </w:rPr>
              <w:t>时长</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b/>
                <w:color w:val="000000"/>
                <w:kern w:val="0"/>
                <w:sz w:val="22"/>
              </w:rPr>
            </w:pPr>
            <w:r w:rsidRPr="00F67CF9">
              <w:rPr>
                <w:rFonts w:ascii="仿宋_GB2312" w:eastAsia="仿宋_GB2312" w:hAnsi="等线" w:cs="宋体" w:hint="eastAsia"/>
                <w:b/>
                <w:color w:val="000000"/>
                <w:kern w:val="0"/>
                <w:sz w:val="22"/>
              </w:rPr>
              <w:t>课程名称</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b/>
                <w:color w:val="000000"/>
                <w:kern w:val="0"/>
                <w:sz w:val="22"/>
              </w:rPr>
            </w:pPr>
            <w:r w:rsidRPr="00F67CF9">
              <w:rPr>
                <w:rFonts w:ascii="仿宋_GB2312" w:eastAsia="仿宋_GB2312" w:hAnsi="等线" w:cs="宋体" w:hint="eastAsia"/>
                <w:b/>
                <w:color w:val="000000"/>
                <w:kern w:val="0"/>
                <w:sz w:val="22"/>
              </w:rPr>
              <w:t>课程内容</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b/>
                <w:color w:val="000000"/>
                <w:kern w:val="0"/>
                <w:sz w:val="22"/>
              </w:rPr>
            </w:pPr>
            <w:r w:rsidRPr="00F67CF9">
              <w:rPr>
                <w:rFonts w:ascii="仿宋_GB2312" w:eastAsia="仿宋_GB2312" w:hAnsi="等线" w:cs="宋体" w:hint="eastAsia"/>
                <w:b/>
                <w:color w:val="000000"/>
                <w:kern w:val="0"/>
                <w:sz w:val="22"/>
              </w:rPr>
              <w:t>具体讲师</w:t>
            </w:r>
          </w:p>
        </w:tc>
      </w:tr>
      <w:tr w:rsidR="00D44D1F" w:rsidRPr="00F67CF9" w:rsidTr="001821A7">
        <w:trPr>
          <w:trHeight w:val="1410"/>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0.5小时</w:t>
            </w:r>
          </w:p>
        </w:tc>
        <w:tc>
          <w:tcPr>
            <w:tcW w:w="35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银行间债券市场运行情况及架构设计</w:t>
            </w:r>
          </w:p>
        </w:tc>
        <w:tc>
          <w:tcPr>
            <w:tcW w:w="520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本课程</w:t>
            </w:r>
            <w:r>
              <w:rPr>
                <w:rFonts w:ascii="仿宋_GB2312" w:eastAsia="仿宋_GB2312" w:hAnsi="等线" w:cs="宋体" w:hint="eastAsia"/>
                <w:color w:val="000000"/>
                <w:kern w:val="0"/>
                <w:sz w:val="22"/>
              </w:rPr>
              <w:t>主要</w:t>
            </w:r>
            <w:r>
              <w:rPr>
                <w:rFonts w:ascii="仿宋_GB2312" w:eastAsia="仿宋_GB2312" w:hAnsi="等线" w:cs="宋体"/>
                <w:color w:val="000000"/>
                <w:kern w:val="0"/>
                <w:sz w:val="22"/>
              </w:rPr>
              <w:t>介绍银行间债券市场运行基本情况、</w:t>
            </w:r>
            <w:r w:rsidRPr="00640296">
              <w:rPr>
                <w:rFonts w:ascii="仿宋_GB2312" w:eastAsia="仿宋_GB2312" w:hAnsi="等线" w:cs="宋体" w:hint="eastAsia"/>
                <w:color w:val="000000"/>
                <w:kern w:val="0"/>
                <w:sz w:val="22"/>
              </w:rPr>
              <w:t>管理框架、业务种类、协会交易自律规则体系建设</w:t>
            </w:r>
            <w:r>
              <w:rPr>
                <w:rFonts w:ascii="仿宋_GB2312" w:eastAsia="仿宋_GB2312" w:hAnsi="等线" w:cs="宋体" w:hint="eastAsia"/>
                <w:color w:val="000000"/>
                <w:kern w:val="0"/>
                <w:sz w:val="22"/>
              </w:rPr>
              <w:t>及自律管理工作总体情况</w:t>
            </w:r>
            <w:r w:rsidRPr="00640296">
              <w:rPr>
                <w:rFonts w:ascii="仿宋_GB2312" w:eastAsia="仿宋_GB2312" w:hAnsi="等线" w:cs="宋体" w:hint="eastAsia"/>
                <w:color w:val="000000"/>
                <w:kern w:val="0"/>
                <w:sz w:val="22"/>
              </w:rPr>
              <w:t>等内容。</w:t>
            </w:r>
          </w:p>
        </w:tc>
        <w:tc>
          <w:tcPr>
            <w:tcW w:w="13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 xml:space="preserve">交易规范部  </w:t>
            </w:r>
          </w:p>
        </w:tc>
      </w:tr>
      <w:tr w:rsidR="00D44D1F" w:rsidRPr="00F67CF9" w:rsidTr="001821A7">
        <w:trPr>
          <w:trHeight w:val="112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1小时</w:t>
            </w:r>
          </w:p>
        </w:tc>
        <w:tc>
          <w:tcPr>
            <w:tcW w:w="35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银行间债券市场交易自律规则介绍</w:t>
            </w:r>
          </w:p>
        </w:tc>
        <w:tc>
          <w:tcPr>
            <w:tcW w:w="520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本课程</w:t>
            </w:r>
            <w:r>
              <w:rPr>
                <w:rFonts w:ascii="仿宋_GB2312" w:eastAsia="仿宋_GB2312" w:hAnsi="等线" w:cs="宋体" w:hint="eastAsia"/>
                <w:color w:val="000000"/>
                <w:kern w:val="0"/>
                <w:sz w:val="22"/>
              </w:rPr>
              <w:t>主要</w:t>
            </w:r>
            <w:r>
              <w:rPr>
                <w:rFonts w:ascii="仿宋_GB2312" w:eastAsia="仿宋_GB2312" w:hAnsi="等线" w:cs="宋体"/>
                <w:color w:val="000000"/>
                <w:kern w:val="0"/>
                <w:sz w:val="22"/>
              </w:rPr>
              <w:t>介绍银行间债券市场交易自律规则相关条款及制定考虑，以及协会近年来二级市场自律管理工作开展情况等内容</w:t>
            </w:r>
          </w:p>
        </w:tc>
        <w:tc>
          <w:tcPr>
            <w:tcW w:w="1380" w:type="dxa"/>
            <w:tcBorders>
              <w:top w:val="nil"/>
              <w:left w:val="nil"/>
              <w:bottom w:val="single" w:sz="4" w:space="0" w:color="auto"/>
              <w:right w:val="single" w:sz="4" w:space="0" w:color="auto"/>
            </w:tcBorders>
            <w:shd w:val="clear" w:color="000000" w:fill="FFFFFF"/>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 xml:space="preserve">交易规范部  </w:t>
            </w:r>
          </w:p>
        </w:tc>
      </w:tr>
      <w:tr w:rsidR="00D44D1F" w:rsidRPr="00F67CF9" w:rsidTr="001821A7">
        <w:trPr>
          <w:trHeight w:val="1437"/>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1小时</w:t>
            </w:r>
          </w:p>
        </w:tc>
        <w:tc>
          <w:tcPr>
            <w:tcW w:w="35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银行间市场现券做市业务自律指引及评价指标体系介绍</w:t>
            </w:r>
          </w:p>
        </w:tc>
        <w:tc>
          <w:tcPr>
            <w:tcW w:w="520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本课程主要介绍</w:t>
            </w:r>
            <w:r>
              <w:rPr>
                <w:rFonts w:ascii="仿宋_GB2312" w:eastAsia="仿宋_GB2312" w:hAnsi="等线" w:cs="宋体" w:hint="eastAsia"/>
                <w:color w:val="000000"/>
                <w:kern w:val="0"/>
                <w:sz w:val="22"/>
              </w:rPr>
              <w:t>银行间债券市场现券做市业务指引及评价指标体系修订背景，具体条款制定考虑，评价指标展示及应用，以及相关案例解析等内容</w:t>
            </w:r>
            <w:r w:rsidRPr="00F67CF9">
              <w:rPr>
                <w:rFonts w:ascii="仿宋_GB2312" w:eastAsia="仿宋_GB2312" w:hAnsi="等线" w:cs="宋体" w:hint="eastAsia"/>
                <w:color w:val="000000"/>
                <w:kern w:val="0"/>
                <w:sz w:val="22"/>
              </w:rPr>
              <w:t>。</w:t>
            </w:r>
          </w:p>
        </w:tc>
        <w:tc>
          <w:tcPr>
            <w:tcW w:w="1380" w:type="dxa"/>
            <w:tcBorders>
              <w:top w:val="nil"/>
              <w:left w:val="nil"/>
              <w:bottom w:val="single" w:sz="4" w:space="0" w:color="auto"/>
              <w:right w:val="single" w:sz="4" w:space="0" w:color="auto"/>
            </w:tcBorders>
            <w:shd w:val="clear" w:color="000000" w:fill="FFFFFF"/>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 xml:space="preserve">交易规范部  </w:t>
            </w:r>
          </w:p>
        </w:tc>
      </w:tr>
      <w:tr w:rsidR="00D44D1F" w:rsidRPr="00F67CF9" w:rsidTr="001821A7">
        <w:trPr>
          <w:trHeight w:val="1283"/>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4</w:t>
            </w:r>
          </w:p>
        </w:tc>
        <w:tc>
          <w:tcPr>
            <w:tcW w:w="10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1小时</w:t>
            </w:r>
          </w:p>
        </w:tc>
        <w:tc>
          <w:tcPr>
            <w:tcW w:w="35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银行间市场货币经纪业务自律指引介绍</w:t>
            </w:r>
          </w:p>
        </w:tc>
        <w:tc>
          <w:tcPr>
            <w:tcW w:w="520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t>本课程主要介绍</w:t>
            </w:r>
            <w:r>
              <w:rPr>
                <w:rFonts w:ascii="仿宋_GB2312" w:eastAsia="仿宋_GB2312" w:hAnsi="等线" w:cs="宋体" w:hint="eastAsia"/>
                <w:color w:val="000000"/>
                <w:kern w:val="0"/>
                <w:sz w:val="22"/>
              </w:rPr>
              <w:t>银行间市场货币经纪业务开展情况，经纪业务自律指引具体条款介绍，以及相关案例解析等内容</w:t>
            </w:r>
            <w:r w:rsidRPr="00F67CF9">
              <w:rPr>
                <w:rFonts w:ascii="仿宋_GB2312" w:eastAsia="仿宋_GB2312" w:hAnsi="等线" w:cs="宋体" w:hint="eastAsia"/>
                <w:color w:val="000000"/>
                <w:kern w:val="0"/>
                <w:sz w:val="22"/>
              </w:rPr>
              <w:t>。</w:t>
            </w:r>
          </w:p>
        </w:tc>
        <w:tc>
          <w:tcPr>
            <w:tcW w:w="1380" w:type="dxa"/>
            <w:tcBorders>
              <w:top w:val="nil"/>
              <w:left w:val="nil"/>
              <w:bottom w:val="single" w:sz="4" w:space="0" w:color="auto"/>
              <w:right w:val="single" w:sz="4" w:space="0" w:color="auto"/>
            </w:tcBorders>
            <w:shd w:val="clear" w:color="auto" w:fill="auto"/>
            <w:vAlign w:val="center"/>
            <w:hideMark/>
          </w:tcPr>
          <w:p w:rsidR="00D44D1F" w:rsidRDefault="00D44D1F" w:rsidP="001821A7">
            <w:pPr>
              <w:jc w:val="center"/>
            </w:pPr>
            <w:r w:rsidRPr="00BE798C">
              <w:rPr>
                <w:rFonts w:ascii="仿宋_GB2312" w:eastAsia="仿宋_GB2312" w:hAnsi="等线" w:cs="宋体" w:hint="eastAsia"/>
                <w:color w:val="000000"/>
                <w:kern w:val="0"/>
                <w:sz w:val="22"/>
              </w:rPr>
              <w:t>交易规范部</w:t>
            </w:r>
          </w:p>
        </w:tc>
      </w:tr>
      <w:tr w:rsidR="00D44D1F" w:rsidRPr="00F67CF9" w:rsidTr="001821A7">
        <w:trPr>
          <w:trHeight w:val="125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sidRPr="00F67CF9">
              <w:rPr>
                <w:rFonts w:ascii="仿宋_GB2312" w:eastAsia="仿宋_GB2312" w:hAnsi="等线" w:cs="宋体" w:hint="eastAsia"/>
                <w:color w:val="000000"/>
                <w:kern w:val="0"/>
                <w:sz w:val="22"/>
              </w:rPr>
              <w:lastRenderedPageBreak/>
              <w:t>5</w:t>
            </w:r>
          </w:p>
        </w:tc>
        <w:tc>
          <w:tcPr>
            <w:tcW w:w="10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0.5</w:t>
            </w:r>
            <w:r w:rsidRPr="00F67CF9">
              <w:rPr>
                <w:rFonts w:ascii="仿宋_GB2312" w:eastAsia="仿宋_GB2312" w:hAnsi="等线" w:cs="宋体" w:hint="eastAsia"/>
                <w:color w:val="000000"/>
                <w:kern w:val="0"/>
                <w:sz w:val="22"/>
              </w:rPr>
              <w:t>小时</w:t>
            </w:r>
          </w:p>
        </w:tc>
        <w:tc>
          <w:tcPr>
            <w:tcW w:w="358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现金要约收购业务介绍</w:t>
            </w:r>
          </w:p>
        </w:tc>
        <w:tc>
          <w:tcPr>
            <w:tcW w:w="5200" w:type="dxa"/>
            <w:tcBorders>
              <w:top w:val="nil"/>
              <w:left w:val="nil"/>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本课程主要介绍</w:t>
            </w:r>
            <w:r w:rsidRPr="00640296">
              <w:rPr>
                <w:rFonts w:ascii="仿宋_GB2312" w:eastAsia="仿宋_GB2312" w:hAnsi="等线" w:cs="宋体" w:hint="eastAsia"/>
                <w:color w:val="000000"/>
                <w:kern w:val="0"/>
                <w:sz w:val="22"/>
              </w:rPr>
              <w:t>现金要约收购业务的机制设计及具体业务流程规范</w:t>
            </w:r>
          </w:p>
        </w:tc>
        <w:tc>
          <w:tcPr>
            <w:tcW w:w="1380" w:type="dxa"/>
            <w:tcBorders>
              <w:top w:val="nil"/>
              <w:left w:val="nil"/>
              <w:bottom w:val="single" w:sz="4" w:space="0" w:color="auto"/>
              <w:right w:val="single" w:sz="4" w:space="0" w:color="auto"/>
            </w:tcBorders>
            <w:shd w:val="clear" w:color="auto" w:fill="auto"/>
            <w:vAlign w:val="center"/>
            <w:hideMark/>
          </w:tcPr>
          <w:p w:rsidR="00D44D1F" w:rsidRDefault="00D44D1F" w:rsidP="001821A7">
            <w:pPr>
              <w:jc w:val="center"/>
            </w:pPr>
            <w:r w:rsidRPr="00BE798C">
              <w:rPr>
                <w:rFonts w:ascii="仿宋_GB2312" w:eastAsia="仿宋_GB2312" w:hAnsi="等线" w:cs="宋体" w:hint="eastAsia"/>
                <w:color w:val="000000"/>
                <w:kern w:val="0"/>
                <w:sz w:val="22"/>
              </w:rPr>
              <w:t>交易规范部</w:t>
            </w:r>
          </w:p>
        </w:tc>
      </w:tr>
      <w:tr w:rsidR="00D44D1F" w:rsidRPr="00F67CF9" w:rsidTr="001821A7">
        <w:trPr>
          <w:trHeight w:val="1964"/>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0.5</w:t>
            </w:r>
            <w:r w:rsidRPr="00F67CF9">
              <w:rPr>
                <w:rFonts w:ascii="仿宋_GB2312" w:eastAsia="仿宋_GB2312" w:hAnsi="等线" w:cs="宋体" w:hint="eastAsia"/>
                <w:color w:val="000000"/>
                <w:kern w:val="0"/>
                <w:sz w:val="22"/>
              </w:rPr>
              <w:t>小时</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Default="00D44D1F" w:rsidP="001821A7">
            <w:pPr>
              <w:widowControl/>
              <w:jc w:val="left"/>
              <w:rPr>
                <w:rFonts w:ascii="仿宋_GB2312" w:eastAsia="仿宋_GB2312" w:hAnsi="等线" w:cs="宋体"/>
                <w:color w:val="000000"/>
                <w:kern w:val="0"/>
                <w:sz w:val="22"/>
              </w:rPr>
            </w:pPr>
            <w:r w:rsidRPr="00346A81">
              <w:rPr>
                <w:rFonts w:ascii="仿宋_GB2312" w:eastAsia="仿宋_GB2312" w:hAnsi="等线" w:cs="宋体" w:hint="eastAsia"/>
                <w:color w:val="000000"/>
                <w:kern w:val="0"/>
                <w:sz w:val="22"/>
              </w:rPr>
              <w:t>银行间债券市场交易行为信息档案介绍</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Default="00D44D1F" w:rsidP="001821A7">
            <w:pPr>
              <w:widowControl/>
              <w:jc w:val="left"/>
              <w:rPr>
                <w:rFonts w:ascii="仿宋_GB2312" w:eastAsia="仿宋_GB2312" w:hAnsi="等线" w:cs="宋体"/>
                <w:color w:val="000000"/>
                <w:kern w:val="0"/>
                <w:sz w:val="22"/>
              </w:rPr>
            </w:pPr>
            <w:r w:rsidRPr="00346A81">
              <w:rPr>
                <w:rFonts w:ascii="仿宋_GB2312" w:eastAsia="仿宋_GB2312" w:hAnsi="等线" w:cs="宋体" w:hint="eastAsia"/>
                <w:color w:val="000000"/>
                <w:kern w:val="0"/>
                <w:sz w:val="22"/>
              </w:rPr>
              <w:t>本课程主要介绍银行间债券市场交易行为信息档案数据收集范围、豁免情形、信息查询等内容。</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BE798C" w:rsidRDefault="00D44D1F" w:rsidP="001821A7">
            <w:pPr>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交易规范部</w:t>
            </w:r>
          </w:p>
        </w:tc>
      </w:tr>
      <w:tr w:rsidR="00D44D1F" w:rsidRPr="00F67CF9" w:rsidTr="001821A7">
        <w:trPr>
          <w:trHeight w:val="1708"/>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0.5</w:t>
            </w:r>
            <w:r w:rsidRPr="00F67CF9">
              <w:rPr>
                <w:rFonts w:ascii="仿宋_GB2312" w:eastAsia="仿宋_GB2312" w:hAnsi="等线" w:cs="宋体" w:hint="eastAsia"/>
                <w:color w:val="000000"/>
                <w:kern w:val="0"/>
                <w:sz w:val="22"/>
              </w:rPr>
              <w:t>小时</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color w:val="000000"/>
                <w:kern w:val="0"/>
                <w:sz w:val="22"/>
              </w:rPr>
              <w:t>交易即时通讯工具规范使用相关工作介绍</w:t>
            </w:r>
          </w:p>
        </w:tc>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Pr="00F67CF9" w:rsidRDefault="00D44D1F" w:rsidP="001821A7">
            <w:pPr>
              <w:widowControl/>
              <w:jc w:val="left"/>
              <w:rPr>
                <w:rFonts w:ascii="仿宋_GB2312" w:eastAsia="仿宋_GB2312" w:hAnsi="等线" w:cs="宋体"/>
                <w:color w:val="000000"/>
                <w:kern w:val="0"/>
                <w:sz w:val="22"/>
              </w:rPr>
            </w:pPr>
            <w:r>
              <w:rPr>
                <w:rFonts w:ascii="仿宋_GB2312" w:eastAsia="仿宋_GB2312" w:hAnsi="等线" w:cs="宋体" w:hint="eastAsia"/>
                <w:color w:val="000000"/>
                <w:kern w:val="0"/>
                <w:sz w:val="22"/>
              </w:rPr>
              <w:t>本课程主要介绍协会关于规范使用交易即时通讯工具相关自律要求等内容</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D1F" w:rsidRDefault="00D44D1F" w:rsidP="001821A7">
            <w:pPr>
              <w:jc w:val="center"/>
            </w:pPr>
            <w:r w:rsidRPr="00BE798C">
              <w:rPr>
                <w:rFonts w:ascii="仿宋_GB2312" w:eastAsia="仿宋_GB2312" w:hAnsi="等线" w:cs="宋体" w:hint="eastAsia"/>
                <w:color w:val="000000"/>
                <w:kern w:val="0"/>
                <w:sz w:val="22"/>
              </w:rPr>
              <w:t>交易规范部</w:t>
            </w:r>
          </w:p>
        </w:tc>
      </w:tr>
    </w:tbl>
    <w:p w:rsidR="00720741" w:rsidRPr="00D44D1F" w:rsidRDefault="00720741" w:rsidP="00D44D1F">
      <w:pPr>
        <w:rPr>
          <w:szCs w:val="36"/>
        </w:rPr>
      </w:pPr>
    </w:p>
    <w:sectPr w:rsidR="00720741" w:rsidRPr="00D44D1F" w:rsidSect="008A0083">
      <w:pgSz w:w="16838" w:h="11906" w:orient="landscape"/>
      <w:pgMar w:top="1800" w:right="1440" w:bottom="1800"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8CB" w:rsidRDefault="00ED38CB" w:rsidP="008A0083">
      <w:r>
        <w:separator/>
      </w:r>
    </w:p>
  </w:endnote>
  <w:endnote w:type="continuationSeparator" w:id="1">
    <w:p w:rsidR="00ED38CB" w:rsidRDefault="00ED38CB" w:rsidP="008A00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8CB" w:rsidRDefault="00ED38CB" w:rsidP="008A0083">
      <w:r>
        <w:separator/>
      </w:r>
    </w:p>
  </w:footnote>
  <w:footnote w:type="continuationSeparator" w:id="1">
    <w:p w:rsidR="00ED38CB" w:rsidRDefault="00ED38CB" w:rsidP="008A0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Y2Zjc0NDc5ZDYxZjM1ZTI1ZmM3MDhkNjA4NTJhZGEifQ=="/>
  </w:docVars>
  <w:rsids>
    <w:rsidRoot w:val="007258E7"/>
    <w:rsid w:val="000106CA"/>
    <w:rsid w:val="00021471"/>
    <w:rsid w:val="00025DB5"/>
    <w:rsid w:val="00026079"/>
    <w:rsid w:val="000275FD"/>
    <w:rsid w:val="00034C92"/>
    <w:rsid w:val="000669B5"/>
    <w:rsid w:val="00077B0E"/>
    <w:rsid w:val="00087998"/>
    <w:rsid w:val="000908DF"/>
    <w:rsid w:val="00092710"/>
    <w:rsid w:val="00097E90"/>
    <w:rsid w:val="000A2B3D"/>
    <w:rsid w:val="000B4326"/>
    <w:rsid w:val="000C08E8"/>
    <w:rsid w:val="000C1560"/>
    <w:rsid w:val="000C6CF0"/>
    <w:rsid w:val="000D4C19"/>
    <w:rsid w:val="000D67E8"/>
    <w:rsid w:val="000F2413"/>
    <w:rsid w:val="000F2907"/>
    <w:rsid w:val="001141F7"/>
    <w:rsid w:val="0013378F"/>
    <w:rsid w:val="001651CB"/>
    <w:rsid w:val="00165E6B"/>
    <w:rsid w:val="0017028F"/>
    <w:rsid w:val="001752DE"/>
    <w:rsid w:val="001864D6"/>
    <w:rsid w:val="001964B8"/>
    <w:rsid w:val="001B0CF5"/>
    <w:rsid w:val="001B7591"/>
    <w:rsid w:val="001D7558"/>
    <w:rsid w:val="001E3D51"/>
    <w:rsid w:val="001F010B"/>
    <w:rsid w:val="001F719E"/>
    <w:rsid w:val="00243832"/>
    <w:rsid w:val="002454ED"/>
    <w:rsid w:val="002645E9"/>
    <w:rsid w:val="00270E05"/>
    <w:rsid w:val="00271B13"/>
    <w:rsid w:val="00274B48"/>
    <w:rsid w:val="0028218B"/>
    <w:rsid w:val="0029085A"/>
    <w:rsid w:val="002D1AB1"/>
    <w:rsid w:val="002D74F6"/>
    <w:rsid w:val="00311D5C"/>
    <w:rsid w:val="003126EB"/>
    <w:rsid w:val="0032085B"/>
    <w:rsid w:val="00322B60"/>
    <w:rsid w:val="00322D41"/>
    <w:rsid w:val="00324454"/>
    <w:rsid w:val="003500C6"/>
    <w:rsid w:val="00354AA0"/>
    <w:rsid w:val="00392847"/>
    <w:rsid w:val="0039550F"/>
    <w:rsid w:val="003A0CF9"/>
    <w:rsid w:val="003A1FE2"/>
    <w:rsid w:val="003B4189"/>
    <w:rsid w:val="003E02A9"/>
    <w:rsid w:val="003E2FAD"/>
    <w:rsid w:val="003E6E40"/>
    <w:rsid w:val="003F334A"/>
    <w:rsid w:val="00410C19"/>
    <w:rsid w:val="00411EBD"/>
    <w:rsid w:val="00420891"/>
    <w:rsid w:val="00433912"/>
    <w:rsid w:val="00456FBC"/>
    <w:rsid w:val="00491D0C"/>
    <w:rsid w:val="0049453B"/>
    <w:rsid w:val="004A4ACE"/>
    <w:rsid w:val="004A70D3"/>
    <w:rsid w:val="004C5BD1"/>
    <w:rsid w:val="004F0679"/>
    <w:rsid w:val="004F2FBF"/>
    <w:rsid w:val="00500365"/>
    <w:rsid w:val="005128E2"/>
    <w:rsid w:val="005159C8"/>
    <w:rsid w:val="00524558"/>
    <w:rsid w:val="005340B2"/>
    <w:rsid w:val="00535BF9"/>
    <w:rsid w:val="00546E4B"/>
    <w:rsid w:val="00555F6E"/>
    <w:rsid w:val="00557BA5"/>
    <w:rsid w:val="00561250"/>
    <w:rsid w:val="00574EE8"/>
    <w:rsid w:val="0059332D"/>
    <w:rsid w:val="005961D2"/>
    <w:rsid w:val="005A1115"/>
    <w:rsid w:val="005A4CC3"/>
    <w:rsid w:val="005B4400"/>
    <w:rsid w:val="005C2BFE"/>
    <w:rsid w:val="005C492F"/>
    <w:rsid w:val="005E1372"/>
    <w:rsid w:val="005E50B4"/>
    <w:rsid w:val="005E7E3A"/>
    <w:rsid w:val="00603FF6"/>
    <w:rsid w:val="0061480F"/>
    <w:rsid w:val="00615E3F"/>
    <w:rsid w:val="00622402"/>
    <w:rsid w:val="00630954"/>
    <w:rsid w:val="006470B9"/>
    <w:rsid w:val="006637DC"/>
    <w:rsid w:val="00667D31"/>
    <w:rsid w:val="00675DBF"/>
    <w:rsid w:val="00682175"/>
    <w:rsid w:val="00682676"/>
    <w:rsid w:val="00683A21"/>
    <w:rsid w:val="0068600F"/>
    <w:rsid w:val="006971C8"/>
    <w:rsid w:val="006A58C9"/>
    <w:rsid w:val="006B1020"/>
    <w:rsid w:val="006B10C9"/>
    <w:rsid w:val="006B754D"/>
    <w:rsid w:val="006C4068"/>
    <w:rsid w:val="006C4F5D"/>
    <w:rsid w:val="006C706A"/>
    <w:rsid w:val="006E0062"/>
    <w:rsid w:val="006E2AF7"/>
    <w:rsid w:val="00703ADA"/>
    <w:rsid w:val="007069F8"/>
    <w:rsid w:val="00707000"/>
    <w:rsid w:val="00710929"/>
    <w:rsid w:val="00720741"/>
    <w:rsid w:val="00720D92"/>
    <w:rsid w:val="007237E2"/>
    <w:rsid w:val="007258E7"/>
    <w:rsid w:val="007267E7"/>
    <w:rsid w:val="00733F9D"/>
    <w:rsid w:val="00744B37"/>
    <w:rsid w:val="00745CF4"/>
    <w:rsid w:val="007704F6"/>
    <w:rsid w:val="00774694"/>
    <w:rsid w:val="00782A80"/>
    <w:rsid w:val="0078316D"/>
    <w:rsid w:val="00787ECC"/>
    <w:rsid w:val="00790C38"/>
    <w:rsid w:val="00796541"/>
    <w:rsid w:val="007A579D"/>
    <w:rsid w:val="007A71BE"/>
    <w:rsid w:val="007B799D"/>
    <w:rsid w:val="007D1656"/>
    <w:rsid w:val="007D503C"/>
    <w:rsid w:val="007E1AAB"/>
    <w:rsid w:val="00831494"/>
    <w:rsid w:val="00854720"/>
    <w:rsid w:val="00855690"/>
    <w:rsid w:val="00857E38"/>
    <w:rsid w:val="0086139A"/>
    <w:rsid w:val="00866213"/>
    <w:rsid w:val="00876665"/>
    <w:rsid w:val="00884FB1"/>
    <w:rsid w:val="008A0083"/>
    <w:rsid w:val="008B052F"/>
    <w:rsid w:val="008C13D9"/>
    <w:rsid w:val="008C1D01"/>
    <w:rsid w:val="008C52E7"/>
    <w:rsid w:val="008C711C"/>
    <w:rsid w:val="008F55F0"/>
    <w:rsid w:val="0090286A"/>
    <w:rsid w:val="00904A43"/>
    <w:rsid w:val="00925712"/>
    <w:rsid w:val="009445D5"/>
    <w:rsid w:val="0097689C"/>
    <w:rsid w:val="00997082"/>
    <w:rsid w:val="009A1D0E"/>
    <w:rsid w:val="009A5586"/>
    <w:rsid w:val="009B0A44"/>
    <w:rsid w:val="009D2C2D"/>
    <w:rsid w:val="009D2E40"/>
    <w:rsid w:val="009D4238"/>
    <w:rsid w:val="009E0BC6"/>
    <w:rsid w:val="009E52A2"/>
    <w:rsid w:val="009E6D7C"/>
    <w:rsid w:val="009F0707"/>
    <w:rsid w:val="00A25C4C"/>
    <w:rsid w:val="00A3675D"/>
    <w:rsid w:val="00A525D7"/>
    <w:rsid w:val="00A65BCC"/>
    <w:rsid w:val="00A82AF5"/>
    <w:rsid w:val="00A82D59"/>
    <w:rsid w:val="00A90DDD"/>
    <w:rsid w:val="00AA2FA1"/>
    <w:rsid w:val="00AB18BF"/>
    <w:rsid w:val="00AB7B50"/>
    <w:rsid w:val="00AC07CA"/>
    <w:rsid w:val="00AE67E7"/>
    <w:rsid w:val="00AF1921"/>
    <w:rsid w:val="00B00E94"/>
    <w:rsid w:val="00B227A2"/>
    <w:rsid w:val="00B251DB"/>
    <w:rsid w:val="00B2663F"/>
    <w:rsid w:val="00B3078C"/>
    <w:rsid w:val="00B33CA4"/>
    <w:rsid w:val="00B33D11"/>
    <w:rsid w:val="00B35048"/>
    <w:rsid w:val="00B44B31"/>
    <w:rsid w:val="00B467D1"/>
    <w:rsid w:val="00B524DA"/>
    <w:rsid w:val="00B7393D"/>
    <w:rsid w:val="00B75B89"/>
    <w:rsid w:val="00B75F0D"/>
    <w:rsid w:val="00B92413"/>
    <w:rsid w:val="00B93261"/>
    <w:rsid w:val="00B9692F"/>
    <w:rsid w:val="00B977E0"/>
    <w:rsid w:val="00BB0D9C"/>
    <w:rsid w:val="00BB2AF4"/>
    <w:rsid w:val="00BD258A"/>
    <w:rsid w:val="00BE0180"/>
    <w:rsid w:val="00BE7814"/>
    <w:rsid w:val="00BF0D0B"/>
    <w:rsid w:val="00C048B3"/>
    <w:rsid w:val="00C107F6"/>
    <w:rsid w:val="00C17013"/>
    <w:rsid w:val="00C21F2B"/>
    <w:rsid w:val="00C36830"/>
    <w:rsid w:val="00C415FC"/>
    <w:rsid w:val="00C433DF"/>
    <w:rsid w:val="00C723A0"/>
    <w:rsid w:val="00C75DD1"/>
    <w:rsid w:val="00C83192"/>
    <w:rsid w:val="00C86885"/>
    <w:rsid w:val="00CA1342"/>
    <w:rsid w:val="00CB44E0"/>
    <w:rsid w:val="00CC3BB0"/>
    <w:rsid w:val="00CC661D"/>
    <w:rsid w:val="00CC6DFA"/>
    <w:rsid w:val="00CE601C"/>
    <w:rsid w:val="00CF4D3F"/>
    <w:rsid w:val="00D1104B"/>
    <w:rsid w:val="00D111C6"/>
    <w:rsid w:val="00D2429E"/>
    <w:rsid w:val="00D245F7"/>
    <w:rsid w:val="00D408D0"/>
    <w:rsid w:val="00D43829"/>
    <w:rsid w:val="00D44D1F"/>
    <w:rsid w:val="00D52255"/>
    <w:rsid w:val="00D661CE"/>
    <w:rsid w:val="00D77B66"/>
    <w:rsid w:val="00D867A7"/>
    <w:rsid w:val="00D97A7C"/>
    <w:rsid w:val="00DA5B22"/>
    <w:rsid w:val="00DC2D31"/>
    <w:rsid w:val="00DF317E"/>
    <w:rsid w:val="00E02E6E"/>
    <w:rsid w:val="00E414AA"/>
    <w:rsid w:val="00E442C7"/>
    <w:rsid w:val="00E50CAE"/>
    <w:rsid w:val="00E65E80"/>
    <w:rsid w:val="00E7502D"/>
    <w:rsid w:val="00E8379D"/>
    <w:rsid w:val="00E861D9"/>
    <w:rsid w:val="00E90795"/>
    <w:rsid w:val="00E957D8"/>
    <w:rsid w:val="00EB6A05"/>
    <w:rsid w:val="00ED38CB"/>
    <w:rsid w:val="00ED5744"/>
    <w:rsid w:val="00EE0395"/>
    <w:rsid w:val="00F13E6F"/>
    <w:rsid w:val="00F17FF0"/>
    <w:rsid w:val="00F209DC"/>
    <w:rsid w:val="00F3239E"/>
    <w:rsid w:val="00F3495F"/>
    <w:rsid w:val="00F40518"/>
    <w:rsid w:val="00F649DB"/>
    <w:rsid w:val="00F67CF9"/>
    <w:rsid w:val="00F93C3D"/>
    <w:rsid w:val="00F93C89"/>
    <w:rsid w:val="00FA1DF8"/>
    <w:rsid w:val="00FA2B0A"/>
    <w:rsid w:val="00FB21A1"/>
    <w:rsid w:val="00FC0EE5"/>
    <w:rsid w:val="00FC336D"/>
    <w:rsid w:val="00FD2386"/>
    <w:rsid w:val="00FD32E7"/>
    <w:rsid w:val="00FE3F8B"/>
    <w:rsid w:val="00FE7741"/>
    <w:rsid w:val="00FF66B2"/>
    <w:rsid w:val="5F715EE0"/>
    <w:rsid w:val="64242BAC"/>
    <w:rsid w:val="728D7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D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741"/>
    <w:rPr>
      <w:sz w:val="18"/>
      <w:szCs w:val="18"/>
    </w:rPr>
  </w:style>
  <w:style w:type="paragraph" w:styleId="a4">
    <w:name w:val="footer"/>
    <w:basedOn w:val="a"/>
    <w:link w:val="Char0"/>
    <w:uiPriority w:val="99"/>
    <w:semiHidden/>
    <w:unhideWhenUsed/>
    <w:rsid w:val="0072074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207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20741"/>
    <w:rPr>
      <w:sz w:val="18"/>
      <w:szCs w:val="18"/>
    </w:rPr>
  </w:style>
  <w:style w:type="character" w:customStyle="1" w:styleId="Char0">
    <w:name w:val="页脚 Char"/>
    <w:basedOn w:val="a0"/>
    <w:link w:val="a4"/>
    <w:uiPriority w:val="99"/>
    <w:semiHidden/>
    <w:rsid w:val="00720741"/>
    <w:rPr>
      <w:sz w:val="18"/>
      <w:szCs w:val="18"/>
    </w:rPr>
  </w:style>
  <w:style w:type="paragraph" w:styleId="a6">
    <w:name w:val="List Paragraph"/>
    <w:basedOn w:val="a"/>
    <w:uiPriority w:val="34"/>
    <w:qFormat/>
    <w:rsid w:val="00720741"/>
    <w:pPr>
      <w:ind w:firstLineChars="200" w:firstLine="420"/>
    </w:pPr>
    <w:rPr>
      <w:rFonts w:ascii="Times New Roman" w:eastAsia="仿宋_GB2312" w:hAnsi="Times New Roman" w:cs="Times New Roman"/>
      <w:sz w:val="30"/>
      <w:szCs w:val="30"/>
    </w:rPr>
  </w:style>
  <w:style w:type="character" w:customStyle="1" w:styleId="Char">
    <w:name w:val="批注框文本 Char"/>
    <w:basedOn w:val="a0"/>
    <w:link w:val="a3"/>
    <w:uiPriority w:val="99"/>
    <w:semiHidden/>
    <w:rsid w:val="007207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01AE-9BE4-45B9-8CAC-E85C02F8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373</Words>
  <Characters>2130</Characters>
  <Application>Microsoft Office Word</Application>
  <DocSecurity>0</DocSecurity>
  <Lines>17</Lines>
  <Paragraphs>4</Paragraphs>
  <ScaleCrop>false</ScaleCrop>
  <Company>Lenovo</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曹葱葱</dc:creator>
  <cp:lastModifiedBy>毕建鹏</cp:lastModifiedBy>
  <cp:revision>1839</cp:revision>
  <cp:lastPrinted>2019-04-04T02:14:00Z</cp:lastPrinted>
  <dcterms:created xsi:type="dcterms:W3CDTF">2019-03-20T01:14:00Z</dcterms:created>
  <dcterms:modified xsi:type="dcterms:W3CDTF">2022-08-15T01:14:00Z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D85F9FC60AC34F67BB85347214115999</vt:lpwstr>
  </property>
</Properties>
</file>