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37" w:rsidRDefault="008B1F37" w:rsidP="008B1F37">
      <w:pPr>
        <w:spacing w:line="560" w:lineRule="exact"/>
        <w:ind w:right="150"/>
        <w:rPr>
          <w:rFonts w:ascii="仿宋_GB2312" w:eastAsia="仿宋_GB2312"/>
          <w:kern w:val="0"/>
          <w:sz w:val="30"/>
          <w:szCs w:val="30"/>
        </w:rPr>
      </w:pPr>
      <w:r w:rsidRPr="00C11345">
        <w:rPr>
          <w:rFonts w:ascii="仿宋_GB2312" w:eastAsia="仿宋_GB2312" w:hAnsi="Times New Roman" w:hint="eastAsia"/>
          <w:sz w:val="30"/>
          <w:szCs w:val="30"/>
        </w:rPr>
        <w:t>附件</w:t>
      </w:r>
      <w:r>
        <w:rPr>
          <w:rFonts w:ascii="仿宋_GB2312" w:eastAsia="仿宋_GB2312" w:hAnsi="Times New Roman" w:hint="eastAsia"/>
          <w:sz w:val="30"/>
          <w:szCs w:val="30"/>
        </w:rPr>
        <w:t>1</w:t>
      </w:r>
      <w:r w:rsidRPr="00C11345">
        <w:rPr>
          <w:rFonts w:ascii="仿宋_GB2312" w:eastAsia="仿宋_GB2312" w:hAnsi="Times New Roman" w:hint="eastAsia"/>
          <w:sz w:val="30"/>
          <w:szCs w:val="30"/>
        </w:rPr>
        <w:t>：</w:t>
      </w:r>
    </w:p>
    <w:p w:rsidR="008B1F37" w:rsidRDefault="008B1F37" w:rsidP="008B1F37">
      <w:pPr>
        <w:widowControl/>
        <w:adjustRightInd w:val="0"/>
        <w:snapToGrid w:val="0"/>
        <w:spacing w:line="560" w:lineRule="exact"/>
        <w:jc w:val="center"/>
        <w:outlineLvl w:val="2"/>
        <w:rPr>
          <w:rFonts w:ascii="宋体" w:eastAsia="宋体" w:hAnsi="宋体"/>
          <w:b/>
          <w:sz w:val="36"/>
          <w:szCs w:val="36"/>
        </w:rPr>
      </w:pPr>
      <w:r w:rsidRPr="006907D9">
        <w:rPr>
          <w:rFonts w:ascii="宋体" w:eastAsia="宋体" w:hAnsi="宋体" w:hint="eastAsia"/>
          <w:b/>
          <w:sz w:val="36"/>
          <w:szCs w:val="36"/>
        </w:rPr>
        <w:t>非金融企业短期融资</w:t>
      </w:r>
      <w:proofErr w:type="gramStart"/>
      <w:r w:rsidRPr="006907D9">
        <w:rPr>
          <w:rFonts w:ascii="宋体" w:eastAsia="宋体" w:hAnsi="宋体" w:hint="eastAsia"/>
          <w:b/>
          <w:sz w:val="36"/>
          <w:szCs w:val="36"/>
        </w:rPr>
        <w:t>券</w:t>
      </w:r>
      <w:proofErr w:type="gramEnd"/>
      <w:r w:rsidRPr="006907D9">
        <w:rPr>
          <w:rFonts w:ascii="宋体" w:eastAsia="宋体" w:hAnsi="宋体" w:hint="eastAsia"/>
          <w:b/>
          <w:sz w:val="36"/>
          <w:szCs w:val="36"/>
        </w:rPr>
        <w:t>业务指引</w:t>
      </w:r>
    </w:p>
    <w:p w:rsidR="008B1F37" w:rsidRDefault="008B1F37" w:rsidP="008B1F37">
      <w:pPr>
        <w:widowControl/>
        <w:adjustRightInd w:val="0"/>
        <w:snapToGrid w:val="0"/>
        <w:spacing w:line="560" w:lineRule="exact"/>
        <w:jc w:val="center"/>
        <w:outlineLvl w:val="2"/>
        <w:rPr>
          <w:rFonts w:ascii="仿宋_GB2312" w:hAnsi="宋体"/>
          <w:sz w:val="24"/>
          <w:szCs w:val="24"/>
        </w:rPr>
      </w:pPr>
      <w:r w:rsidRPr="003F243A">
        <w:rPr>
          <w:rFonts w:ascii="仿宋_GB2312" w:eastAsia="仿宋_GB2312" w:hAnsi="宋体" w:hint="eastAsia"/>
          <w:sz w:val="24"/>
          <w:szCs w:val="24"/>
        </w:rPr>
        <w:t>（2008年4月15日第一届常务理事会第二次会议审议通过，</w:t>
      </w:r>
      <w:r w:rsidRPr="001374B4">
        <w:rPr>
          <w:rFonts w:ascii="仿宋_GB2312" w:eastAsia="仿宋_GB2312" w:hAnsi="宋体"/>
          <w:sz w:val="24"/>
          <w:szCs w:val="24"/>
        </w:rPr>
        <w:t>2020</w:t>
      </w:r>
      <w:r w:rsidRPr="001374B4">
        <w:rPr>
          <w:rFonts w:ascii="仿宋_GB2312" w:eastAsia="仿宋_GB2312" w:hAnsi="宋体" w:hint="eastAsia"/>
          <w:sz w:val="24"/>
          <w:szCs w:val="24"/>
        </w:rPr>
        <w:t>年</w:t>
      </w:r>
      <w:r w:rsidRPr="001374B4">
        <w:rPr>
          <w:rFonts w:ascii="仿宋_GB2312" w:eastAsia="仿宋_GB2312" w:hAnsi="宋体"/>
          <w:sz w:val="24"/>
          <w:szCs w:val="24"/>
        </w:rPr>
        <w:t>4</w:t>
      </w:r>
      <w:r w:rsidRPr="001374B4">
        <w:rPr>
          <w:rFonts w:ascii="仿宋_GB2312" w:eastAsia="仿宋_GB2312" w:hAnsi="宋体" w:hint="eastAsia"/>
          <w:sz w:val="24"/>
          <w:szCs w:val="24"/>
        </w:rPr>
        <w:t>月</w:t>
      </w:r>
      <w:r w:rsidRPr="001374B4">
        <w:rPr>
          <w:rFonts w:ascii="仿宋_GB2312" w:eastAsia="仿宋_GB2312" w:hAnsi="宋体"/>
          <w:sz w:val="24"/>
          <w:szCs w:val="24"/>
        </w:rPr>
        <w:t>30</w:t>
      </w:r>
      <w:r w:rsidRPr="001374B4">
        <w:rPr>
          <w:rFonts w:ascii="仿宋_GB2312" w:eastAsia="仿宋_GB2312" w:hAnsi="宋体" w:hint="eastAsia"/>
          <w:sz w:val="24"/>
          <w:szCs w:val="24"/>
        </w:rPr>
        <w:t>日第五届常务理事会第十五次会议修订</w:t>
      </w:r>
      <w:r>
        <w:rPr>
          <w:rFonts w:ascii="仿宋_GB2312" w:eastAsia="仿宋_GB2312" w:hAnsi="宋体" w:hint="eastAsia"/>
          <w:sz w:val="24"/>
          <w:szCs w:val="24"/>
        </w:rPr>
        <w:t>，</w:t>
      </w:r>
      <w:r w:rsidRPr="003F243A">
        <w:rPr>
          <w:rFonts w:ascii="仿宋_GB2312" w:eastAsia="仿宋_GB2312" w:hAnsi="宋体" w:hint="eastAsia"/>
          <w:sz w:val="24"/>
          <w:szCs w:val="24"/>
        </w:rPr>
        <w:t>2021年2月9日第三届理事会第十三次会议修订</w:t>
      </w:r>
      <w:r w:rsidRPr="00FB7428">
        <w:rPr>
          <w:rFonts w:ascii="仿宋_GB2312" w:hAnsi="宋体" w:hint="eastAsia"/>
          <w:sz w:val="24"/>
          <w:szCs w:val="24"/>
        </w:rPr>
        <w:t>）</w:t>
      </w:r>
    </w:p>
    <w:p w:rsidR="008B1F37" w:rsidRDefault="008B1F37" w:rsidP="008B1F37">
      <w:pPr>
        <w:widowControl/>
        <w:adjustRightInd w:val="0"/>
        <w:snapToGrid w:val="0"/>
        <w:spacing w:line="560" w:lineRule="exact"/>
        <w:jc w:val="center"/>
        <w:outlineLvl w:val="2"/>
        <w:rPr>
          <w:rFonts w:ascii="宋体" w:eastAsia="宋体" w:hAnsi="宋体"/>
          <w:b/>
          <w:sz w:val="36"/>
          <w:szCs w:val="36"/>
        </w:rPr>
      </w:pP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t>第一条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为规范非金融企业在银行间债券市场发行短期融资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的行为，根据中国人民银行《银行间债券市场非金融企业债务融资工具管理办法》</w:t>
      </w:r>
      <w:r w:rsidRPr="004B3BD5">
        <w:rPr>
          <w:rFonts w:ascii="仿宋_GB2312" w:eastAsia="仿宋_GB2312" w:hAnsi="宋体" w:hint="eastAsia"/>
          <w:kern w:val="0"/>
          <w:sz w:val="30"/>
          <w:szCs w:val="30"/>
        </w:rPr>
        <w:t>（中国人民银行令〔</w:t>
      </w:r>
      <w:r w:rsidRPr="004B3BD5">
        <w:rPr>
          <w:rFonts w:ascii="仿宋_GB2312" w:eastAsia="仿宋_GB2312" w:hAnsi="宋体"/>
          <w:kern w:val="0"/>
          <w:sz w:val="30"/>
          <w:szCs w:val="30"/>
        </w:rPr>
        <w:t>2008〕第1号）</w:t>
      </w:r>
      <w:r w:rsidRPr="004B3BD5">
        <w:rPr>
          <w:rFonts w:ascii="仿宋_GB2312" w:eastAsia="仿宋_GB2312" w:hAnsi="宋体" w:cs="Calibri" w:hint="eastAsia"/>
          <w:kern w:val="0"/>
          <w:sz w:val="30"/>
          <w:szCs w:val="30"/>
        </w:rPr>
        <w:t>及中国银行间市场交易商协会（以下简称交易商协会）相关自律规则，制定本指引。</w:t>
      </w: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t>第二条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本指引所称短期融资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，是指具有法人资格的非金融企业（以下简称企业）在银行间债券市场发行的，约定在</w:t>
      </w:r>
      <w:r w:rsidRPr="004B3BD5">
        <w:rPr>
          <w:rFonts w:ascii="仿宋_GB2312" w:eastAsia="仿宋_GB2312" w:hAnsi="宋体" w:cs="Calibri"/>
          <w:kern w:val="0"/>
          <w:sz w:val="30"/>
          <w:szCs w:val="30"/>
        </w:rPr>
        <w:t>1年内还本付息的债务融资工具。</w:t>
      </w: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t>第三条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企业发行短期融资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应依据《非金融企业债务融资工具注册发行规则》在交易商协会注册。</w:t>
      </w: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t>第四条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企业发行短期融资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所募集的资金应用于符合国家相关法律法规及政策要求的企业生产经营活动，并在发行文件中明确披露</w:t>
      </w:r>
      <w:proofErr w:type="gramStart"/>
      <w:r w:rsidRPr="004B3BD5">
        <w:rPr>
          <w:rFonts w:ascii="仿宋_GB2312" w:eastAsia="仿宋_GB2312" w:hAnsi="宋体" w:cs="Calibri" w:hint="eastAsia"/>
          <w:kern w:val="0"/>
          <w:sz w:val="30"/>
          <w:szCs w:val="30"/>
        </w:rPr>
        <w:t>具体资金</w:t>
      </w:r>
      <w:proofErr w:type="gramEnd"/>
      <w:r w:rsidRPr="004B3BD5">
        <w:rPr>
          <w:rFonts w:ascii="仿宋_GB2312" w:eastAsia="仿宋_GB2312" w:hAnsi="宋体" w:cs="Calibri" w:hint="eastAsia"/>
          <w:kern w:val="0"/>
          <w:sz w:val="30"/>
          <w:szCs w:val="30"/>
        </w:rPr>
        <w:t>用途。企业在短期融资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存续期内变更募集资金用途应提前披露。</w:t>
      </w: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t>第五条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企业发行短期融资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应按交易商协会《银行间债券市场非金融企业债务融资工具信息披露规则》在银行间债券市场披露信息。</w:t>
      </w: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lastRenderedPageBreak/>
        <w:t>第六条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企业发行短期融资</w:t>
      </w:r>
      <w:proofErr w:type="gramStart"/>
      <w:r w:rsidRPr="004B3BD5">
        <w:rPr>
          <w:rFonts w:ascii="仿宋_GB2312" w:eastAsia="仿宋_GB2312" w:hAnsi="宋体" w:cs="Calibri" w:hint="eastAsia"/>
          <w:kern w:val="0"/>
          <w:sz w:val="30"/>
          <w:szCs w:val="30"/>
        </w:rPr>
        <w:t>券</w:t>
      </w:r>
      <w:proofErr w:type="gramEnd"/>
      <w:r w:rsidRPr="004B3BD5">
        <w:rPr>
          <w:rFonts w:ascii="仿宋_GB2312" w:eastAsia="仿宋_GB2312" w:hAnsi="宋体" w:cs="Calibri" w:hint="eastAsia"/>
          <w:kern w:val="0"/>
          <w:sz w:val="30"/>
          <w:szCs w:val="30"/>
        </w:rPr>
        <w:t>应由符合条件的承销机构承销。</w:t>
      </w:r>
    </w:p>
    <w:p w:rsidR="008B1F37" w:rsidRPr="003D0EA9" w:rsidRDefault="008B1F37" w:rsidP="008B1F37">
      <w:pPr>
        <w:widowControl/>
        <w:adjustRightInd w:val="0"/>
        <w:snapToGrid w:val="0"/>
        <w:spacing w:line="560" w:lineRule="exact"/>
        <w:ind w:firstLine="601"/>
        <w:rPr>
          <w:rFonts w:ascii="仿宋_GB2312" w:eastAsia="仿宋_GB2312" w:hAnsi="宋体" w:cs="Calibri"/>
          <w:kern w:val="0"/>
          <w:sz w:val="30"/>
          <w:szCs w:val="30"/>
        </w:rPr>
      </w:pPr>
      <w:r w:rsidRPr="004B3BD5">
        <w:rPr>
          <w:rFonts w:ascii="仿宋_GB2312" w:eastAsia="仿宋_GB2312" w:hAnsi="宋体" w:hint="eastAsia"/>
          <w:b/>
          <w:kern w:val="0"/>
          <w:sz w:val="30"/>
          <w:szCs w:val="30"/>
        </w:rPr>
        <w:t>第</w:t>
      </w:r>
      <w:r>
        <w:rPr>
          <w:rFonts w:ascii="仿宋_GB2312" w:eastAsia="仿宋_GB2312" w:hAnsi="宋体" w:hint="eastAsia"/>
          <w:b/>
          <w:kern w:val="0"/>
          <w:sz w:val="30"/>
          <w:szCs w:val="30"/>
        </w:rPr>
        <w:t>七</w:t>
      </w:r>
      <w:r w:rsidRPr="004B3BD5">
        <w:rPr>
          <w:rFonts w:ascii="仿宋_GB2312" w:eastAsia="仿宋_GB2312" w:hAnsi="宋体" w:hint="eastAsia"/>
          <w:b/>
          <w:kern w:val="0"/>
          <w:sz w:val="30"/>
          <w:szCs w:val="30"/>
        </w:rPr>
        <w:t>条</w:t>
      </w:r>
      <w:r w:rsidRPr="004B3BD5">
        <w:rPr>
          <w:rFonts w:ascii="仿宋_GB2312" w:eastAsia="仿宋_GB2312" w:hAnsi="宋体"/>
          <w:b/>
          <w:kern w:val="0"/>
          <w:sz w:val="30"/>
          <w:szCs w:val="30"/>
        </w:rPr>
        <w:t> </w:t>
      </w:r>
      <w:r w:rsidRPr="004B3BD5">
        <w:rPr>
          <w:rFonts w:ascii="仿宋_GB2312" w:eastAsia="仿宋_GB2312" w:hAnsi="宋体" w:cs="Calibri" w:hint="eastAsia"/>
          <w:kern w:val="0"/>
          <w:sz w:val="30"/>
          <w:szCs w:val="30"/>
        </w:rPr>
        <w:t>本指引由交易商协会秘书处负责解释。</w:t>
      </w:r>
    </w:p>
    <w:p w:rsidR="008B1F37" w:rsidRDefault="008B1F37" w:rsidP="008B1F37">
      <w:pPr>
        <w:adjustRightInd w:val="0"/>
        <w:snapToGrid w:val="0"/>
        <w:spacing w:line="560" w:lineRule="exact"/>
        <w:ind w:right="150" w:firstLine="600"/>
        <w:jc w:val="left"/>
        <w:rPr>
          <w:rFonts w:ascii="仿宋_GB2312" w:eastAsia="仿宋_GB2312" w:hAnsi="宋体" w:cs="Calibri"/>
          <w:kern w:val="0"/>
          <w:sz w:val="30"/>
          <w:szCs w:val="30"/>
        </w:rPr>
        <w:sectPr w:rsidR="008B1F37" w:rsidSect="00474334">
          <w:pgSz w:w="11906" w:h="16838"/>
          <w:pgMar w:top="1440" w:right="1800" w:bottom="1440" w:left="1800" w:header="851" w:footer="992" w:gutter="0"/>
          <w:cols w:space="425"/>
          <w:docGrid w:type="lines" w:linePitch="312"/>
        </w:sectPr>
      </w:pPr>
      <w:r w:rsidRPr="004B3BD5">
        <w:rPr>
          <w:rFonts w:ascii="仿宋_GB2312" w:eastAsia="仿宋_GB2312" w:hAnsi="宋体" w:hint="eastAsia"/>
          <w:b/>
          <w:kern w:val="0"/>
          <w:sz w:val="30"/>
          <w:szCs w:val="30"/>
        </w:rPr>
        <w:t>第</w:t>
      </w:r>
      <w:r>
        <w:rPr>
          <w:rFonts w:ascii="仿宋_GB2312" w:eastAsia="仿宋_GB2312" w:hAnsi="宋体" w:hint="eastAsia"/>
          <w:b/>
          <w:kern w:val="0"/>
          <w:sz w:val="30"/>
          <w:szCs w:val="30"/>
        </w:rPr>
        <w:t>八</w:t>
      </w:r>
      <w:r w:rsidRPr="004B3BD5">
        <w:rPr>
          <w:rFonts w:ascii="仿宋_GB2312" w:eastAsia="仿宋_GB2312" w:hAnsi="宋体" w:hint="eastAsia"/>
          <w:b/>
          <w:kern w:val="0"/>
          <w:sz w:val="30"/>
          <w:szCs w:val="30"/>
        </w:rPr>
        <w:t>条</w:t>
      </w:r>
      <w:r w:rsidRPr="004B3BD5">
        <w:rPr>
          <w:rFonts w:ascii="仿宋_GB2312" w:eastAsia="仿宋_GB2312" w:hAnsi="宋体"/>
          <w:b/>
          <w:kern w:val="0"/>
          <w:sz w:val="30"/>
          <w:szCs w:val="30"/>
        </w:rPr>
        <w:t> </w:t>
      </w:r>
      <w:r>
        <w:rPr>
          <w:rFonts w:ascii="仿宋_GB2312" w:eastAsia="仿宋_GB2312" w:hAnsi="宋体" w:cs="Calibri" w:hint="eastAsia"/>
          <w:kern w:val="0"/>
          <w:sz w:val="30"/>
          <w:szCs w:val="30"/>
        </w:rPr>
        <w:t>本指引自公布之日起施行</w:t>
      </w:r>
    </w:p>
    <w:p w:rsidR="00000000" w:rsidRPr="008B1F37" w:rsidRDefault="0044533B"/>
    <w:sectPr w:rsidR="00000000" w:rsidRPr="008B1F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37" w:rsidRDefault="008B1F37" w:rsidP="008B1F37">
      <w:r>
        <w:separator/>
      </w:r>
    </w:p>
  </w:endnote>
  <w:endnote w:type="continuationSeparator" w:id="1">
    <w:p w:rsidR="008B1F37" w:rsidRDefault="008B1F37" w:rsidP="008B1F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37" w:rsidRDefault="008B1F37" w:rsidP="008B1F37">
      <w:r>
        <w:separator/>
      </w:r>
    </w:p>
  </w:footnote>
  <w:footnote w:type="continuationSeparator" w:id="1">
    <w:p w:rsidR="008B1F37" w:rsidRDefault="008B1F37" w:rsidP="008B1F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F37"/>
    <w:rsid w:val="008B1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1F37"/>
    <w:rPr>
      <w:sz w:val="18"/>
      <w:szCs w:val="18"/>
    </w:rPr>
  </w:style>
  <w:style w:type="paragraph" w:styleId="a4">
    <w:name w:val="footer"/>
    <w:basedOn w:val="a"/>
    <w:link w:val="Char0"/>
    <w:uiPriority w:val="99"/>
    <w:semiHidden/>
    <w:unhideWhenUsed/>
    <w:rsid w:val="008B1F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1F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hl</cp:lastModifiedBy>
  <cp:revision>3</cp:revision>
  <dcterms:created xsi:type="dcterms:W3CDTF">2021-03-26T08:02:00Z</dcterms:created>
  <dcterms:modified xsi:type="dcterms:W3CDTF">2021-03-26T08:03:00Z</dcterms:modified>
</cp:coreProperties>
</file>