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4B" w:rsidRPr="00DE2E2A" w:rsidRDefault="00893D4B" w:rsidP="0090693F">
      <w:pPr>
        <w:pStyle w:val="3"/>
        <w:adjustRightInd w:val="0"/>
        <w:snapToGrid w:val="0"/>
        <w:spacing w:before="0" w:after="0" w:line="560" w:lineRule="exact"/>
        <w:ind w:firstLineChars="0" w:firstLine="0"/>
        <w:jc w:val="left"/>
        <w:rPr>
          <w:rFonts w:ascii="仿宋_GB2312" w:cs="Times New Roman"/>
          <w:b w:val="0"/>
          <w:bCs w:val="0"/>
          <w:kern w:val="0"/>
          <w:sz w:val="30"/>
          <w:szCs w:val="30"/>
        </w:rPr>
      </w:pPr>
      <w:r w:rsidRPr="00DE2E2A">
        <w:rPr>
          <w:rFonts w:ascii="仿宋_GB2312" w:cs="Times New Roman"/>
          <w:b w:val="0"/>
          <w:bCs w:val="0"/>
          <w:kern w:val="0"/>
          <w:sz w:val="30"/>
          <w:szCs w:val="30"/>
        </w:rPr>
        <w:t>附件</w:t>
      </w:r>
      <w:r w:rsidRPr="00DE2E2A">
        <w:rPr>
          <w:rFonts w:ascii="仿宋_GB2312" w:cs="Times New Roman" w:hint="eastAsia"/>
          <w:b w:val="0"/>
          <w:bCs w:val="0"/>
          <w:kern w:val="0"/>
          <w:sz w:val="30"/>
          <w:szCs w:val="30"/>
        </w:rPr>
        <w:t>：</w:t>
      </w:r>
    </w:p>
    <w:p w:rsidR="00893D4B" w:rsidRPr="00C82646" w:rsidRDefault="00893D4B" w:rsidP="0090693F">
      <w:pPr>
        <w:adjustRightInd w:val="0"/>
        <w:snapToGrid w:val="0"/>
        <w:ind w:firstLine="600"/>
      </w:pPr>
    </w:p>
    <w:p w:rsidR="00893D4B" w:rsidRPr="003A47F4" w:rsidRDefault="00893D4B" w:rsidP="0090693F">
      <w:pPr>
        <w:pStyle w:val="4"/>
        <w:adjustRightInd w:val="0"/>
        <w:snapToGrid w:val="0"/>
        <w:spacing w:before="0" w:after="0" w:line="560" w:lineRule="exact"/>
        <w:ind w:firstLineChars="0" w:firstLine="0"/>
        <w:jc w:val="center"/>
        <w:rPr>
          <w:rFonts w:asciiTheme="majorEastAsia" w:hAnsiTheme="majorEastAsia"/>
          <w:sz w:val="36"/>
          <w:szCs w:val="36"/>
        </w:rPr>
      </w:pPr>
      <w:bookmarkStart w:id="0" w:name="_Hlk51921514"/>
      <w:r w:rsidRPr="00F12FE7">
        <w:rPr>
          <w:rFonts w:asciiTheme="majorEastAsia" w:hAnsiTheme="majorEastAsia" w:hint="eastAsia"/>
          <w:sz w:val="36"/>
          <w:szCs w:val="36"/>
        </w:rPr>
        <w:t>债务融资工具</w:t>
      </w:r>
      <w:bookmarkEnd w:id="0"/>
      <w:r w:rsidRPr="00F12FE7">
        <w:rPr>
          <w:rFonts w:asciiTheme="majorEastAsia" w:hAnsiTheme="majorEastAsia" w:hint="eastAsia"/>
          <w:sz w:val="36"/>
          <w:szCs w:val="36"/>
        </w:rPr>
        <w:t>增发信</w:t>
      </w:r>
      <w:r w:rsidRPr="00273569">
        <w:rPr>
          <w:rFonts w:asciiTheme="majorEastAsia" w:hAnsiTheme="majorEastAsia" w:hint="eastAsia"/>
          <w:sz w:val="36"/>
          <w:szCs w:val="36"/>
        </w:rPr>
        <w:t>息披露表</w:t>
      </w:r>
      <w:r>
        <w:rPr>
          <w:rFonts w:asciiTheme="majorEastAsia" w:hAnsiTheme="majorEastAsia" w:hint="eastAsia"/>
          <w:sz w:val="36"/>
          <w:szCs w:val="36"/>
        </w:rPr>
        <w:t>（Z</w:t>
      </w:r>
      <w:r>
        <w:rPr>
          <w:rFonts w:asciiTheme="majorEastAsia" w:hAnsiTheme="majorEastAsia"/>
          <w:sz w:val="36"/>
          <w:szCs w:val="36"/>
        </w:rPr>
        <w:t>F表</w:t>
      </w:r>
      <w:r>
        <w:rPr>
          <w:rFonts w:asciiTheme="majorEastAsia" w:hAnsiTheme="majorEastAsia" w:hint="eastAsia"/>
          <w:sz w:val="36"/>
          <w:szCs w:val="36"/>
        </w:rPr>
        <w:t>）</w:t>
      </w:r>
    </w:p>
    <w:p w:rsidR="00893D4B" w:rsidRPr="00665777" w:rsidRDefault="00893D4B" w:rsidP="0090693F">
      <w:pPr>
        <w:adjustRightInd w:val="0"/>
        <w:snapToGrid w:val="0"/>
        <w:ind w:firstLine="600"/>
      </w:pPr>
      <w:bookmarkStart w:id="1" w:name="_GoBack"/>
      <w:bookmarkEnd w:id="1"/>
    </w:p>
    <w:tbl>
      <w:tblPr>
        <w:tblW w:w="5000" w:type="pct"/>
        <w:jc w:val="center"/>
        <w:tblLook w:val="04A0"/>
      </w:tblPr>
      <w:tblGrid>
        <w:gridCol w:w="1912"/>
        <w:gridCol w:w="5594"/>
        <w:gridCol w:w="547"/>
        <w:gridCol w:w="469"/>
      </w:tblGrid>
      <w:tr w:rsidR="0090693F" w:rsidTr="0090693F">
        <w:trPr>
          <w:trHeight w:val="270"/>
          <w:tblHeader/>
          <w:jc w:val="center"/>
        </w:trPr>
        <w:tc>
          <w:tcPr>
            <w:tcW w:w="1122" w:type="pct"/>
            <w:tcBorders>
              <w:top w:val="single" w:sz="4" w:space="0" w:color="auto"/>
              <w:left w:val="single" w:sz="4" w:space="0" w:color="auto"/>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center"/>
              <w:rPr>
                <w:rFonts w:ascii="仿宋_GB2312"/>
                <w:b/>
                <w:bCs/>
                <w:color w:val="000000"/>
                <w:kern w:val="0"/>
                <w:sz w:val="24"/>
              </w:rPr>
            </w:pPr>
            <w:r>
              <w:rPr>
                <w:rFonts w:ascii="仿宋_GB2312" w:hint="eastAsia"/>
                <w:b/>
                <w:bCs/>
                <w:color w:val="000000"/>
                <w:kern w:val="0"/>
                <w:sz w:val="24"/>
              </w:rPr>
              <w:t>序号</w:t>
            </w:r>
          </w:p>
        </w:tc>
        <w:tc>
          <w:tcPr>
            <w:tcW w:w="3282" w:type="pct"/>
            <w:tcBorders>
              <w:top w:val="single" w:sz="4" w:space="0" w:color="auto"/>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center"/>
              <w:rPr>
                <w:rFonts w:ascii="仿宋_GB2312"/>
                <w:b/>
                <w:bCs/>
                <w:color w:val="000000"/>
                <w:kern w:val="0"/>
                <w:sz w:val="24"/>
              </w:rPr>
            </w:pPr>
            <w:r>
              <w:rPr>
                <w:rFonts w:ascii="仿宋_GB2312" w:hint="eastAsia"/>
                <w:b/>
                <w:bCs/>
                <w:color w:val="000000"/>
                <w:kern w:val="0"/>
                <w:sz w:val="24"/>
              </w:rPr>
              <w:t>信息披露要点</w:t>
            </w:r>
          </w:p>
        </w:tc>
        <w:tc>
          <w:tcPr>
            <w:tcW w:w="321" w:type="pct"/>
            <w:tcBorders>
              <w:top w:val="single" w:sz="4" w:space="0" w:color="auto"/>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center"/>
              <w:rPr>
                <w:rFonts w:ascii="仿宋_GB2312"/>
                <w:b/>
                <w:bCs/>
                <w:color w:val="000000"/>
                <w:kern w:val="0"/>
                <w:sz w:val="24"/>
              </w:rPr>
            </w:pPr>
            <w:r>
              <w:rPr>
                <w:rFonts w:ascii="仿宋_GB2312" w:hint="eastAsia"/>
                <w:b/>
                <w:bCs/>
                <w:color w:val="000000"/>
                <w:kern w:val="0"/>
                <w:sz w:val="24"/>
              </w:rPr>
              <w:t>页码</w:t>
            </w:r>
          </w:p>
        </w:tc>
        <w:tc>
          <w:tcPr>
            <w:tcW w:w="275" w:type="pct"/>
            <w:tcBorders>
              <w:top w:val="single" w:sz="4" w:space="0" w:color="auto"/>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center"/>
              <w:rPr>
                <w:rFonts w:ascii="仿宋_GB2312"/>
                <w:b/>
                <w:bCs/>
                <w:color w:val="000000"/>
                <w:kern w:val="0"/>
                <w:sz w:val="24"/>
              </w:rPr>
            </w:pPr>
            <w:r>
              <w:rPr>
                <w:rFonts w:ascii="仿宋_GB2312" w:hint="eastAsia"/>
                <w:b/>
                <w:bCs/>
                <w:color w:val="000000"/>
                <w:kern w:val="0"/>
                <w:sz w:val="24"/>
              </w:rPr>
              <w:t>备注</w:t>
            </w:r>
          </w:p>
        </w:tc>
      </w:tr>
      <w:tr w:rsidR="0090693F" w:rsidTr="0090693F">
        <w:trPr>
          <w:trHeight w:val="270"/>
          <w:jc w:val="center"/>
        </w:trPr>
        <w:tc>
          <w:tcPr>
            <w:tcW w:w="1122" w:type="pct"/>
            <w:tcBorders>
              <w:top w:val="nil"/>
              <w:left w:val="single" w:sz="4" w:space="0" w:color="auto"/>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center"/>
              <w:rPr>
                <w:rFonts w:ascii="仿宋_GB2312"/>
                <w:b/>
                <w:color w:val="000000"/>
                <w:kern w:val="0"/>
                <w:sz w:val="24"/>
              </w:rPr>
            </w:pPr>
            <w:r>
              <w:rPr>
                <w:rFonts w:ascii="仿宋_GB2312" w:hint="eastAsia"/>
                <w:b/>
                <w:color w:val="000000"/>
                <w:kern w:val="0"/>
                <w:sz w:val="24"/>
              </w:rPr>
              <w:t>ZF-M/DM/DX</w:t>
            </w:r>
          </w:p>
        </w:tc>
        <w:tc>
          <w:tcPr>
            <w:tcW w:w="3282" w:type="pct"/>
            <w:tcBorders>
              <w:top w:val="nil"/>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b/>
                <w:color w:val="000000"/>
                <w:kern w:val="0"/>
                <w:sz w:val="24"/>
              </w:rPr>
            </w:pPr>
            <w:r>
              <w:rPr>
                <w:rFonts w:ascii="仿宋_GB2312" w:hint="eastAsia"/>
                <w:b/>
                <w:color w:val="000000"/>
                <w:kern w:val="0"/>
                <w:sz w:val="24"/>
              </w:rPr>
              <w:t>募集说明书/定向募集说明书/定向协议</w:t>
            </w:r>
            <w:r>
              <w:rPr>
                <w:rStyle w:val="a7"/>
                <w:rFonts w:ascii="仿宋_GB2312"/>
                <w:b/>
                <w:color w:val="000000"/>
                <w:kern w:val="0"/>
                <w:sz w:val="24"/>
              </w:rPr>
              <w:footnoteReference w:id="2"/>
            </w:r>
          </w:p>
        </w:tc>
        <w:tc>
          <w:tcPr>
            <w:tcW w:w="321" w:type="pct"/>
            <w:tcBorders>
              <w:top w:val="nil"/>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b/>
                <w:color w:val="000000"/>
                <w:kern w:val="0"/>
                <w:sz w:val="24"/>
              </w:rPr>
            </w:pPr>
            <w:r>
              <w:rPr>
                <w:rFonts w:ascii="仿宋_GB2312" w:hint="eastAsia"/>
                <w:b/>
                <w:color w:val="000000"/>
                <w:kern w:val="0"/>
                <w:sz w:val="24"/>
              </w:rPr>
              <w:t xml:space="preserve">　</w:t>
            </w:r>
          </w:p>
        </w:tc>
        <w:tc>
          <w:tcPr>
            <w:tcW w:w="275" w:type="pct"/>
            <w:tcBorders>
              <w:top w:val="nil"/>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b/>
                <w:color w:val="000000"/>
                <w:kern w:val="0"/>
                <w:sz w:val="24"/>
              </w:rPr>
            </w:pPr>
            <w:r>
              <w:rPr>
                <w:rFonts w:ascii="仿宋_GB2312" w:hint="eastAsia"/>
                <w:b/>
                <w:color w:val="000000"/>
                <w:kern w:val="0"/>
                <w:sz w:val="24"/>
              </w:rPr>
              <w:t xml:space="preserve">　</w:t>
            </w:r>
          </w:p>
        </w:tc>
      </w:tr>
      <w:tr w:rsidR="0090693F" w:rsidTr="0090693F">
        <w:trPr>
          <w:trHeight w:val="300"/>
          <w:jc w:val="center"/>
        </w:trPr>
        <w:tc>
          <w:tcPr>
            <w:tcW w:w="1122" w:type="pct"/>
            <w:vMerge w:val="restart"/>
            <w:tcBorders>
              <w:top w:val="nil"/>
              <w:left w:val="single" w:sz="4" w:space="0" w:color="auto"/>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center"/>
              <w:rPr>
                <w:rFonts w:ascii="仿宋_GB2312"/>
                <w:bCs/>
                <w:color w:val="000000"/>
                <w:kern w:val="0"/>
                <w:sz w:val="24"/>
              </w:rPr>
            </w:pPr>
            <w:r>
              <w:rPr>
                <w:rFonts w:ascii="仿宋_GB2312" w:hint="eastAsia"/>
                <w:bCs/>
                <w:color w:val="000000"/>
                <w:kern w:val="0"/>
                <w:sz w:val="24"/>
              </w:rPr>
              <w:t>ZF-M/DM/DX-1</w:t>
            </w:r>
          </w:p>
        </w:tc>
        <w:tc>
          <w:tcPr>
            <w:tcW w:w="3282" w:type="pct"/>
            <w:tcBorders>
              <w:top w:val="nil"/>
              <w:left w:val="nil"/>
              <w:bottom w:val="single" w:sz="4" w:space="0" w:color="auto"/>
              <w:right w:val="single" w:sz="4" w:space="0" w:color="auto"/>
            </w:tcBorders>
            <w:vAlign w:val="center"/>
            <w:hideMark/>
          </w:tcPr>
          <w:p w:rsidR="0090693F" w:rsidRDefault="00230AF1" w:rsidP="0090693F">
            <w:pPr>
              <w:adjustRightInd w:val="0"/>
              <w:snapToGrid w:val="0"/>
              <w:spacing w:line="240" w:lineRule="auto"/>
              <w:ind w:firstLineChars="0" w:firstLine="0"/>
              <w:rPr>
                <w:rFonts w:ascii="仿宋_GB2312"/>
                <w:b/>
                <w:bCs/>
                <w:color w:val="000000"/>
                <w:kern w:val="0"/>
                <w:sz w:val="24"/>
              </w:rPr>
            </w:pPr>
            <w:r>
              <w:rPr>
                <w:rFonts w:ascii="仿宋_GB2312" w:hint="eastAsia"/>
                <w:b/>
                <w:bCs/>
                <w:color w:val="000000"/>
                <w:kern w:val="0"/>
                <w:sz w:val="24"/>
              </w:rPr>
              <w:t>扉页</w:t>
            </w:r>
          </w:p>
        </w:tc>
        <w:tc>
          <w:tcPr>
            <w:tcW w:w="321" w:type="pct"/>
            <w:tcBorders>
              <w:top w:val="nil"/>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color w:val="000000"/>
                <w:kern w:val="0"/>
                <w:sz w:val="24"/>
              </w:rPr>
            </w:pPr>
            <w:r>
              <w:rPr>
                <w:rFonts w:ascii="仿宋_GB2312" w:hint="eastAsia"/>
                <w:color w:val="000000"/>
                <w:kern w:val="0"/>
                <w:sz w:val="24"/>
              </w:rPr>
              <w:t xml:space="preserve">　</w:t>
            </w:r>
          </w:p>
        </w:tc>
        <w:tc>
          <w:tcPr>
            <w:tcW w:w="275" w:type="pct"/>
            <w:tcBorders>
              <w:top w:val="nil"/>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color w:val="000000"/>
                <w:kern w:val="0"/>
                <w:sz w:val="24"/>
              </w:rPr>
            </w:pPr>
            <w:r>
              <w:rPr>
                <w:rFonts w:ascii="仿宋_GB2312" w:hint="eastAsia"/>
                <w:color w:val="000000"/>
                <w:kern w:val="0"/>
                <w:sz w:val="24"/>
              </w:rPr>
              <w:t xml:space="preserve">　</w:t>
            </w:r>
          </w:p>
        </w:tc>
      </w:tr>
      <w:tr w:rsidR="0090693F" w:rsidTr="0090693F">
        <w:trPr>
          <w:trHeight w:val="990"/>
          <w:jc w:val="center"/>
        </w:trPr>
        <w:tc>
          <w:tcPr>
            <w:tcW w:w="0" w:type="auto"/>
            <w:vMerge/>
            <w:tcBorders>
              <w:top w:val="nil"/>
              <w:left w:val="single" w:sz="4" w:space="0" w:color="auto"/>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left"/>
              <w:rPr>
                <w:rFonts w:ascii="仿宋_GB2312" w:cs="Times New Roman"/>
                <w:bCs/>
                <w:color w:val="000000"/>
                <w:kern w:val="0"/>
                <w:sz w:val="24"/>
                <w:szCs w:val="24"/>
              </w:rPr>
            </w:pPr>
          </w:p>
        </w:tc>
        <w:tc>
          <w:tcPr>
            <w:tcW w:w="3282" w:type="pct"/>
            <w:tcBorders>
              <w:top w:val="single" w:sz="4" w:space="0" w:color="auto"/>
              <w:left w:val="nil"/>
              <w:bottom w:val="single" w:sz="4" w:space="0" w:color="auto"/>
              <w:right w:val="single" w:sz="4" w:space="0" w:color="auto"/>
            </w:tcBorders>
            <w:vAlign w:val="center"/>
            <w:hideMark/>
          </w:tcPr>
          <w:p w:rsidR="0090693F" w:rsidRDefault="0090693F" w:rsidP="0090693F">
            <w:pPr>
              <w:adjustRightInd w:val="0"/>
              <w:snapToGrid w:val="0"/>
              <w:spacing w:line="240" w:lineRule="auto"/>
              <w:ind w:firstLineChars="0" w:firstLine="0"/>
              <w:rPr>
                <w:rFonts w:ascii="仿宋_GB2312"/>
                <w:color w:val="000000"/>
                <w:kern w:val="0"/>
                <w:sz w:val="24"/>
              </w:rPr>
            </w:pPr>
            <w:r>
              <w:rPr>
                <w:rFonts w:ascii="仿宋_GB2312" w:hint="eastAsia"/>
                <w:color w:val="000000"/>
                <w:kern w:val="0"/>
                <w:sz w:val="24"/>
              </w:rPr>
              <w:t>在M/DM-0-1、DX-13披露：</w:t>
            </w:r>
          </w:p>
          <w:p w:rsidR="0090693F" w:rsidRDefault="0090693F" w:rsidP="0090693F">
            <w:pPr>
              <w:adjustRightInd w:val="0"/>
              <w:snapToGrid w:val="0"/>
              <w:spacing w:line="240" w:lineRule="auto"/>
              <w:ind w:firstLineChars="0" w:firstLine="0"/>
              <w:rPr>
                <w:rFonts w:ascii="仿宋_GB2312"/>
                <w:color w:val="000000"/>
                <w:kern w:val="0"/>
                <w:sz w:val="24"/>
              </w:rPr>
            </w:pPr>
            <w:r>
              <w:rPr>
                <w:rFonts w:ascii="仿宋_GB2312" w:hint="eastAsia"/>
                <w:color w:val="000000"/>
                <w:kern w:val="0"/>
                <w:sz w:val="24"/>
              </w:rPr>
              <w:t>本期债务融资工具存在存续期内进行增发的可能。增发的债务融资工具上市后同对应的原债务融资工具合并交易、合并托管。</w:t>
            </w:r>
          </w:p>
        </w:tc>
        <w:tc>
          <w:tcPr>
            <w:tcW w:w="321" w:type="pct"/>
            <w:tcBorders>
              <w:top w:val="single" w:sz="4" w:space="0" w:color="auto"/>
              <w:left w:val="nil"/>
              <w:bottom w:val="single" w:sz="4" w:space="0" w:color="auto"/>
              <w:right w:val="single" w:sz="4" w:space="0" w:color="auto"/>
            </w:tcBorders>
            <w:vAlign w:val="center"/>
          </w:tcPr>
          <w:p w:rsidR="0090693F" w:rsidRDefault="0090693F" w:rsidP="0090693F">
            <w:pPr>
              <w:adjustRightInd w:val="0"/>
              <w:snapToGrid w:val="0"/>
              <w:spacing w:line="240" w:lineRule="auto"/>
              <w:ind w:firstLineChars="0" w:firstLine="0"/>
              <w:rPr>
                <w:rFonts w:ascii="仿宋_GB2312"/>
                <w:color w:val="000000"/>
                <w:kern w:val="0"/>
                <w:sz w:val="24"/>
              </w:rPr>
            </w:pPr>
          </w:p>
        </w:tc>
        <w:tc>
          <w:tcPr>
            <w:tcW w:w="275" w:type="pct"/>
            <w:tcBorders>
              <w:top w:val="single" w:sz="4" w:space="0" w:color="auto"/>
              <w:left w:val="nil"/>
              <w:bottom w:val="single" w:sz="4" w:space="0" w:color="auto"/>
              <w:right w:val="single" w:sz="4" w:space="0" w:color="auto"/>
            </w:tcBorders>
            <w:vAlign w:val="center"/>
          </w:tcPr>
          <w:p w:rsidR="0090693F" w:rsidRDefault="0090693F" w:rsidP="0090693F">
            <w:pPr>
              <w:adjustRightInd w:val="0"/>
              <w:snapToGrid w:val="0"/>
              <w:spacing w:line="240" w:lineRule="auto"/>
              <w:ind w:firstLineChars="0" w:firstLine="0"/>
              <w:rPr>
                <w:rFonts w:ascii="仿宋_GB2312"/>
                <w:color w:val="000000"/>
                <w:kern w:val="0"/>
                <w:sz w:val="24"/>
              </w:rPr>
            </w:pPr>
          </w:p>
        </w:tc>
      </w:tr>
      <w:tr w:rsidR="0090693F" w:rsidTr="0090693F">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left"/>
              <w:rPr>
                <w:rFonts w:ascii="仿宋_GB2312" w:cs="Times New Roman"/>
                <w:bCs/>
                <w:color w:val="000000"/>
                <w:kern w:val="0"/>
                <w:sz w:val="24"/>
                <w:szCs w:val="24"/>
              </w:rPr>
            </w:pPr>
          </w:p>
        </w:tc>
        <w:tc>
          <w:tcPr>
            <w:tcW w:w="3282" w:type="pct"/>
            <w:tcBorders>
              <w:top w:val="nil"/>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color w:val="000000"/>
                <w:kern w:val="0"/>
                <w:sz w:val="24"/>
              </w:rPr>
            </w:pPr>
            <w:r>
              <w:rPr>
                <w:rFonts w:ascii="仿宋_GB2312" w:hint="eastAsia"/>
                <w:color w:val="000000"/>
                <w:kern w:val="0"/>
                <w:sz w:val="24"/>
              </w:rPr>
              <w:t>在M/DM-0-1、DX-13承诺：</w:t>
            </w:r>
          </w:p>
          <w:p w:rsidR="0090693F" w:rsidRDefault="0090693F" w:rsidP="0090693F">
            <w:pPr>
              <w:widowControl/>
              <w:adjustRightInd w:val="0"/>
              <w:snapToGrid w:val="0"/>
              <w:spacing w:line="240" w:lineRule="auto"/>
              <w:ind w:firstLineChars="0" w:firstLine="0"/>
              <w:rPr>
                <w:rFonts w:ascii="仿宋_GB2312"/>
                <w:b/>
                <w:color w:val="000000"/>
                <w:kern w:val="0"/>
                <w:sz w:val="24"/>
              </w:rPr>
            </w:pPr>
            <w:r>
              <w:rPr>
                <w:rFonts w:ascii="仿宋_GB2312" w:hint="eastAsia"/>
                <w:color w:val="000000"/>
                <w:kern w:val="0"/>
                <w:sz w:val="24"/>
              </w:rPr>
              <w:t>增发前将严格按照法律法规及交易商协会相关自律规则尽职履行信息披露义务。增发前的相关披露文件仅对必要的企业基本情况、财务状况、资信状况和重大事项等内容进行披露，不会对包括含权条款、承诺性条款、投资者保护机制、</w:t>
            </w:r>
            <w:r>
              <w:rPr>
                <w:rFonts w:ascii="仿宋_GB2312" w:hint="eastAsia"/>
                <w:bCs/>
                <w:color w:val="000000"/>
                <w:kern w:val="0"/>
                <w:sz w:val="24"/>
              </w:rPr>
              <w:t>受托管理人及持有人会议相关机制安排</w:t>
            </w:r>
            <w:r>
              <w:rPr>
                <w:rFonts w:ascii="仿宋_GB2312" w:hint="eastAsia"/>
                <w:color w:val="000000"/>
                <w:kern w:val="0"/>
                <w:sz w:val="24"/>
              </w:rPr>
              <w:t>、风险及违约处置约定</w:t>
            </w:r>
            <w:r>
              <w:rPr>
                <w:rFonts w:ascii="仿宋_GB2312" w:hint="eastAsia"/>
                <w:bCs/>
                <w:color w:val="000000"/>
                <w:kern w:val="0"/>
                <w:sz w:val="24"/>
              </w:rPr>
              <w:t>、</w:t>
            </w:r>
            <w:r>
              <w:rPr>
                <w:rFonts w:ascii="仿宋_GB2312" w:hint="eastAsia"/>
                <w:color w:val="000000"/>
                <w:kern w:val="0"/>
                <w:sz w:val="24"/>
              </w:rPr>
              <w:t>信用增进情况以及</w:t>
            </w:r>
            <w:r>
              <w:rPr>
                <w:rFonts w:ascii="仿宋_GB2312" w:hint="eastAsia"/>
                <w:kern w:val="0"/>
                <w:sz w:val="24"/>
              </w:rPr>
              <w:t>其他主体职责条款</w:t>
            </w:r>
            <w:r>
              <w:rPr>
                <w:rFonts w:ascii="仿宋_GB2312" w:hint="eastAsia"/>
                <w:color w:val="000000"/>
                <w:kern w:val="0"/>
                <w:sz w:val="24"/>
              </w:rPr>
              <w:t>等可能影响本期债务融资工具现金流、持有人权利的任何条款做出增删或变更。</w:t>
            </w:r>
          </w:p>
        </w:tc>
        <w:tc>
          <w:tcPr>
            <w:tcW w:w="321"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c>
          <w:tcPr>
            <w:tcW w:w="275"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r>
      <w:tr w:rsidR="0090693F" w:rsidTr="0090693F">
        <w:trPr>
          <w:trHeight w:val="330"/>
          <w:jc w:val="center"/>
        </w:trPr>
        <w:tc>
          <w:tcPr>
            <w:tcW w:w="1122" w:type="pct"/>
            <w:vMerge w:val="restart"/>
            <w:tcBorders>
              <w:top w:val="nil"/>
              <w:left w:val="single" w:sz="4" w:space="0" w:color="auto"/>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center"/>
              <w:rPr>
                <w:rFonts w:ascii="仿宋_GB2312"/>
                <w:bCs/>
                <w:color w:val="000000"/>
                <w:kern w:val="0"/>
                <w:sz w:val="24"/>
              </w:rPr>
            </w:pPr>
            <w:r>
              <w:rPr>
                <w:rFonts w:ascii="仿宋_GB2312" w:hint="eastAsia"/>
                <w:bCs/>
                <w:color w:val="000000"/>
                <w:kern w:val="0"/>
                <w:sz w:val="24"/>
              </w:rPr>
              <w:t>ZF-M/DM/DX-2</w:t>
            </w:r>
          </w:p>
        </w:tc>
        <w:tc>
          <w:tcPr>
            <w:tcW w:w="3282" w:type="pct"/>
            <w:tcBorders>
              <w:top w:val="nil"/>
              <w:left w:val="nil"/>
              <w:bottom w:val="single" w:sz="4" w:space="0" w:color="auto"/>
              <w:right w:val="single" w:sz="4" w:space="0" w:color="auto"/>
            </w:tcBorders>
            <w:vAlign w:val="center"/>
            <w:hideMark/>
          </w:tcPr>
          <w:p w:rsidR="0090693F" w:rsidRDefault="0090693F" w:rsidP="0090693F">
            <w:pPr>
              <w:adjustRightInd w:val="0"/>
              <w:snapToGrid w:val="0"/>
              <w:spacing w:line="240" w:lineRule="auto"/>
              <w:ind w:firstLineChars="0" w:firstLine="0"/>
              <w:rPr>
                <w:rFonts w:ascii="仿宋_GB2312"/>
                <w:bCs/>
                <w:color w:val="000000"/>
                <w:kern w:val="0"/>
                <w:sz w:val="24"/>
              </w:rPr>
            </w:pPr>
            <w:r>
              <w:rPr>
                <w:rFonts w:ascii="仿宋_GB2312" w:hint="eastAsia"/>
                <w:b/>
                <w:bCs/>
                <w:color w:val="000000"/>
                <w:kern w:val="0"/>
                <w:sz w:val="24"/>
                <w:szCs w:val="18"/>
              </w:rPr>
              <w:t>信息披露安排</w:t>
            </w:r>
          </w:p>
        </w:tc>
        <w:tc>
          <w:tcPr>
            <w:tcW w:w="321"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c>
          <w:tcPr>
            <w:tcW w:w="275"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r>
      <w:tr w:rsidR="0090693F" w:rsidTr="0090693F">
        <w:trPr>
          <w:trHeight w:val="1182"/>
          <w:jc w:val="center"/>
        </w:trPr>
        <w:tc>
          <w:tcPr>
            <w:tcW w:w="0" w:type="auto"/>
            <w:vMerge/>
            <w:tcBorders>
              <w:top w:val="nil"/>
              <w:left w:val="single" w:sz="4" w:space="0" w:color="auto"/>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left"/>
              <w:rPr>
                <w:rFonts w:ascii="仿宋_GB2312" w:cs="Times New Roman"/>
                <w:bCs/>
                <w:color w:val="000000"/>
                <w:kern w:val="0"/>
                <w:sz w:val="24"/>
                <w:szCs w:val="24"/>
              </w:rPr>
            </w:pPr>
          </w:p>
        </w:tc>
        <w:tc>
          <w:tcPr>
            <w:tcW w:w="3282" w:type="pct"/>
            <w:tcBorders>
              <w:top w:val="single" w:sz="4" w:space="0" w:color="auto"/>
              <w:left w:val="nil"/>
              <w:bottom w:val="single" w:sz="4" w:space="0" w:color="auto"/>
              <w:right w:val="single" w:sz="4" w:space="0" w:color="auto"/>
            </w:tcBorders>
            <w:vAlign w:val="center"/>
            <w:hideMark/>
          </w:tcPr>
          <w:p w:rsidR="0090693F" w:rsidRDefault="0090693F" w:rsidP="0090693F">
            <w:pPr>
              <w:adjustRightInd w:val="0"/>
              <w:snapToGrid w:val="0"/>
              <w:spacing w:line="240" w:lineRule="auto"/>
              <w:ind w:firstLineChars="0" w:firstLine="0"/>
              <w:rPr>
                <w:rFonts w:ascii="仿宋_GB2312"/>
                <w:bCs/>
                <w:color w:val="000000"/>
                <w:kern w:val="0"/>
                <w:sz w:val="24"/>
              </w:rPr>
            </w:pPr>
            <w:r>
              <w:rPr>
                <w:rFonts w:ascii="仿宋_GB2312" w:hint="eastAsia"/>
                <w:bCs/>
                <w:color w:val="000000"/>
                <w:kern w:val="0"/>
                <w:sz w:val="24"/>
              </w:rPr>
              <w:t>在M-11-2/DM-10-2/DX-5承诺：</w:t>
            </w:r>
          </w:p>
          <w:p w:rsidR="0090693F" w:rsidRDefault="0090693F" w:rsidP="0090693F">
            <w:pPr>
              <w:adjustRightInd w:val="0"/>
              <w:snapToGrid w:val="0"/>
              <w:spacing w:line="240" w:lineRule="auto"/>
              <w:ind w:firstLineChars="0" w:firstLine="0"/>
              <w:rPr>
                <w:rFonts w:ascii="仿宋_GB2312"/>
                <w:bCs/>
                <w:color w:val="000000"/>
                <w:kern w:val="0"/>
                <w:sz w:val="24"/>
              </w:rPr>
            </w:pPr>
            <w:r>
              <w:rPr>
                <w:rFonts w:ascii="仿宋_GB2312" w:hint="eastAsia"/>
                <w:bCs/>
                <w:color w:val="000000"/>
                <w:kern w:val="0"/>
                <w:sz w:val="24"/>
              </w:rPr>
              <w:t>发行人在本期债务融资工具存续期间进行债券增发前，将严格按照法律法规及交易商协会相关自律规则尽职履行信息披露义务。增发前的相关披露文件仅对必要的企业基本情况、财务状况、资信状况和重大事项等内容进行披露，不会对包括含权条款、承诺性条款、投资者保护机制、受托管理人及持有人会议相关机制安排</w:t>
            </w:r>
            <w:r>
              <w:rPr>
                <w:rFonts w:ascii="仿宋_GB2312" w:hint="eastAsia"/>
                <w:color w:val="000000"/>
                <w:kern w:val="0"/>
                <w:sz w:val="24"/>
              </w:rPr>
              <w:t>、风险及违约处置约定</w:t>
            </w:r>
            <w:r>
              <w:rPr>
                <w:rFonts w:ascii="仿宋_GB2312" w:hint="eastAsia"/>
                <w:bCs/>
                <w:color w:val="000000"/>
                <w:kern w:val="0"/>
                <w:sz w:val="24"/>
              </w:rPr>
              <w:t>、</w:t>
            </w:r>
            <w:r>
              <w:rPr>
                <w:rFonts w:ascii="仿宋_GB2312" w:hint="eastAsia"/>
                <w:color w:val="000000"/>
                <w:kern w:val="0"/>
                <w:sz w:val="24"/>
              </w:rPr>
              <w:t>信用增进情况以及</w:t>
            </w:r>
            <w:r>
              <w:rPr>
                <w:rFonts w:ascii="仿宋_GB2312" w:hint="eastAsia"/>
                <w:kern w:val="0"/>
                <w:sz w:val="24"/>
              </w:rPr>
              <w:t>其他主体职责条款</w:t>
            </w:r>
            <w:r>
              <w:rPr>
                <w:rFonts w:ascii="仿宋_GB2312" w:hint="eastAsia"/>
                <w:bCs/>
                <w:color w:val="000000"/>
                <w:kern w:val="0"/>
                <w:sz w:val="24"/>
              </w:rPr>
              <w:t>等可能影响本期债务融资工具现金流、持有人权利的任何条款做出增删或变更。</w:t>
            </w:r>
          </w:p>
        </w:tc>
        <w:tc>
          <w:tcPr>
            <w:tcW w:w="321" w:type="pct"/>
            <w:tcBorders>
              <w:top w:val="single" w:sz="4" w:space="0" w:color="auto"/>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c>
          <w:tcPr>
            <w:tcW w:w="275" w:type="pct"/>
            <w:tcBorders>
              <w:top w:val="single" w:sz="4" w:space="0" w:color="auto"/>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r>
      <w:tr w:rsidR="0090693F" w:rsidTr="0090693F">
        <w:trPr>
          <w:trHeight w:val="270"/>
          <w:jc w:val="center"/>
        </w:trPr>
        <w:tc>
          <w:tcPr>
            <w:tcW w:w="1122" w:type="pct"/>
            <w:tcBorders>
              <w:top w:val="single" w:sz="4" w:space="0" w:color="auto"/>
              <w:left w:val="single" w:sz="4" w:space="0" w:color="auto"/>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center"/>
              <w:rPr>
                <w:rFonts w:ascii="仿宋_GB2312"/>
                <w:b/>
                <w:color w:val="000000"/>
                <w:kern w:val="0"/>
                <w:sz w:val="24"/>
              </w:rPr>
            </w:pPr>
            <w:r>
              <w:rPr>
                <w:rFonts w:ascii="仿宋_GB2312" w:hint="eastAsia"/>
                <w:b/>
                <w:color w:val="000000"/>
                <w:kern w:val="0"/>
                <w:sz w:val="24"/>
              </w:rPr>
              <w:t>ZF-F/DF</w:t>
            </w:r>
          </w:p>
        </w:tc>
        <w:tc>
          <w:tcPr>
            <w:tcW w:w="3282" w:type="pct"/>
            <w:tcBorders>
              <w:top w:val="single" w:sz="4" w:space="0" w:color="auto"/>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b/>
                <w:color w:val="000000"/>
                <w:kern w:val="0"/>
                <w:sz w:val="24"/>
              </w:rPr>
            </w:pPr>
            <w:r>
              <w:rPr>
                <w:rFonts w:ascii="仿宋_GB2312" w:hint="eastAsia"/>
                <w:b/>
                <w:color w:val="000000"/>
                <w:kern w:val="0"/>
                <w:sz w:val="24"/>
              </w:rPr>
              <w:t>法律意见书</w:t>
            </w:r>
          </w:p>
        </w:tc>
        <w:tc>
          <w:tcPr>
            <w:tcW w:w="321" w:type="pct"/>
            <w:tcBorders>
              <w:top w:val="single" w:sz="4" w:space="0" w:color="auto"/>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c>
          <w:tcPr>
            <w:tcW w:w="275" w:type="pct"/>
            <w:tcBorders>
              <w:top w:val="single" w:sz="4" w:space="0" w:color="auto"/>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r>
      <w:tr w:rsidR="0090693F" w:rsidTr="0090693F">
        <w:trPr>
          <w:trHeight w:val="270"/>
          <w:jc w:val="center"/>
        </w:trPr>
        <w:tc>
          <w:tcPr>
            <w:tcW w:w="1122" w:type="pct"/>
            <w:tcBorders>
              <w:top w:val="single" w:sz="4" w:space="0" w:color="auto"/>
              <w:left w:val="single" w:sz="4" w:space="0" w:color="auto"/>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center"/>
              <w:rPr>
                <w:rFonts w:ascii="仿宋_GB2312"/>
                <w:bCs/>
                <w:color w:val="000000"/>
                <w:kern w:val="0"/>
                <w:sz w:val="24"/>
              </w:rPr>
            </w:pPr>
            <w:r>
              <w:rPr>
                <w:rFonts w:ascii="仿宋_GB2312" w:hint="eastAsia"/>
                <w:bCs/>
                <w:color w:val="000000"/>
                <w:kern w:val="0"/>
                <w:sz w:val="24"/>
              </w:rPr>
              <w:t>ZF-F/DF-1</w:t>
            </w:r>
          </w:p>
        </w:tc>
        <w:tc>
          <w:tcPr>
            <w:tcW w:w="3282" w:type="pct"/>
            <w:tcBorders>
              <w:top w:val="single" w:sz="4" w:space="0" w:color="auto"/>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color w:val="000000"/>
                <w:kern w:val="0"/>
                <w:sz w:val="24"/>
              </w:rPr>
            </w:pPr>
            <w:r>
              <w:rPr>
                <w:rFonts w:ascii="仿宋_GB2312" w:hint="eastAsia"/>
                <w:color w:val="000000"/>
                <w:kern w:val="0"/>
                <w:sz w:val="24"/>
              </w:rPr>
              <w:t>在F/DF-4中就当期债务融资工具发行及后续增发发</w:t>
            </w:r>
            <w:r>
              <w:rPr>
                <w:rFonts w:ascii="仿宋_GB2312" w:hint="eastAsia"/>
                <w:color w:val="000000"/>
                <w:kern w:val="0"/>
                <w:sz w:val="24"/>
              </w:rPr>
              <w:lastRenderedPageBreak/>
              <w:t>行</w:t>
            </w:r>
            <w:r>
              <w:rPr>
                <w:rFonts w:ascii="仿宋_GB2312" w:hint="eastAsia"/>
                <w:color w:val="000000"/>
                <w:kern w:val="0"/>
                <w:sz w:val="24"/>
                <w:szCs w:val="18"/>
              </w:rPr>
              <w:t>是否合法合规、是否符合规则指引、是否存在潜在法律风险发表意见。</w:t>
            </w:r>
          </w:p>
        </w:tc>
        <w:tc>
          <w:tcPr>
            <w:tcW w:w="321" w:type="pct"/>
            <w:tcBorders>
              <w:top w:val="single" w:sz="4" w:space="0" w:color="auto"/>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color w:val="000000"/>
                <w:kern w:val="0"/>
                <w:sz w:val="24"/>
              </w:rPr>
            </w:pPr>
          </w:p>
        </w:tc>
        <w:tc>
          <w:tcPr>
            <w:tcW w:w="275" w:type="pct"/>
            <w:tcBorders>
              <w:top w:val="single" w:sz="4" w:space="0" w:color="auto"/>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color w:val="000000"/>
                <w:kern w:val="0"/>
                <w:sz w:val="24"/>
              </w:rPr>
            </w:pPr>
          </w:p>
        </w:tc>
      </w:tr>
      <w:tr w:rsidR="0090693F" w:rsidTr="0090693F">
        <w:trPr>
          <w:trHeight w:val="270"/>
          <w:jc w:val="center"/>
        </w:trPr>
        <w:tc>
          <w:tcPr>
            <w:tcW w:w="1122" w:type="pct"/>
            <w:tcBorders>
              <w:top w:val="nil"/>
              <w:left w:val="single" w:sz="4" w:space="0" w:color="auto"/>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center"/>
              <w:rPr>
                <w:rFonts w:ascii="仿宋_GB2312"/>
                <w:b/>
                <w:color w:val="000000"/>
                <w:kern w:val="0"/>
                <w:sz w:val="24"/>
              </w:rPr>
            </w:pPr>
            <w:r>
              <w:rPr>
                <w:rFonts w:ascii="仿宋_GB2312" w:hint="eastAsia"/>
                <w:b/>
                <w:color w:val="000000"/>
                <w:kern w:val="0"/>
                <w:sz w:val="24"/>
              </w:rPr>
              <w:lastRenderedPageBreak/>
              <w:t>ZF-G/DS</w:t>
            </w:r>
          </w:p>
        </w:tc>
        <w:tc>
          <w:tcPr>
            <w:tcW w:w="3282" w:type="pct"/>
            <w:tcBorders>
              <w:top w:val="nil"/>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b/>
                <w:color w:val="000000"/>
                <w:kern w:val="0"/>
                <w:sz w:val="24"/>
              </w:rPr>
            </w:pPr>
            <w:r>
              <w:rPr>
                <w:rFonts w:ascii="仿宋_GB2312" w:hint="eastAsia"/>
                <w:b/>
                <w:color w:val="000000"/>
                <w:kern w:val="0"/>
                <w:sz w:val="24"/>
              </w:rPr>
              <w:t>增发公告/增发定向说明</w:t>
            </w:r>
            <w:r>
              <w:rPr>
                <w:rStyle w:val="a7"/>
                <w:rFonts w:ascii="仿宋_GB2312"/>
                <w:b/>
                <w:color w:val="000000"/>
                <w:kern w:val="0"/>
                <w:sz w:val="24"/>
              </w:rPr>
              <w:footnoteReference w:id="3"/>
            </w:r>
          </w:p>
        </w:tc>
        <w:tc>
          <w:tcPr>
            <w:tcW w:w="321" w:type="pct"/>
            <w:tcBorders>
              <w:top w:val="nil"/>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b/>
                <w:color w:val="000000"/>
                <w:kern w:val="0"/>
                <w:sz w:val="24"/>
              </w:rPr>
            </w:pPr>
            <w:r>
              <w:rPr>
                <w:rFonts w:ascii="仿宋_GB2312" w:hint="eastAsia"/>
                <w:b/>
                <w:color w:val="000000"/>
                <w:kern w:val="0"/>
                <w:sz w:val="24"/>
              </w:rPr>
              <w:t xml:space="preserve">　</w:t>
            </w:r>
          </w:p>
        </w:tc>
        <w:tc>
          <w:tcPr>
            <w:tcW w:w="275" w:type="pct"/>
            <w:tcBorders>
              <w:top w:val="nil"/>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b/>
                <w:color w:val="000000"/>
                <w:kern w:val="0"/>
                <w:sz w:val="24"/>
              </w:rPr>
            </w:pPr>
            <w:r>
              <w:rPr>
                <w:rFonts w:ascii="仿宋_GB2312" w:hint="eastAsia"/>
                <w:b/>
                <w:color w:val="000000"/>
                <w:kern w:val="0"/>
                <w:sz w:val="24"/>
              </w:rPr>
              <w:t xml:space="preserve">　</w:t>
            </w:r>
          </w:p>
        </w:tc>
      </w:tr>
      <w:tr w:rsidR="0090693F" w:rsidTr="0090693F">
        <w:trPr>
          <w:trHeight w:val="270"/>
          <w:jc w:val="center"/>
        </w:trPr>
        <w:tc>
          <w:tcPr>
            <w:tcW w:w="1122" w:type="pct"/>
            <w:vMerge w:val="restart"/>
            <w:tcBorders>
              <w:top w:val="nil"/>
              <w:left w:val="single" w:sz="4" w:space="0" w:color="auto"/>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center"/>
              <w:rPr>
                <w:rFonts w:ascii="仿宋_GB2312"/>
                <w:color w:val="000000"/>
                <w:kern w:val="0"/>
                <w:sz w:val="24"/>
              </w:rPr>
            </w:pPr>
            <w:r>
              <w:rPr>
                <w:rFonts w:ascii="仿宋_GB2312" w:hint="eastAsia"/>
                <w:color w:val="000000"/>
                <w:kern w:val="0"/>
                <w:sz w:val="24"/>
              </w:rPr>
              <w:t>ZF-G/DS-0</w:t>
            </w:r>
          </w:p>
        </w:tc>
        <w:tc>
          <w:tcPr>
            <w:tcW w:w="3282" w:type="pct"/>
            <w:tcBorders>
              <w:top w:val="nil"/>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b/>
                <w:color w:val="000000"/>
                <w:kern w:val="0"/>
                <w:sz w:val="24"/>
              </w:rPr>
            </w:pPr>
            <w:r>
              <w:rPr>
                <w:rFonts w:ascii="仿宋_GB2312" w:hint="eastAsia"/>
                <w:b/>
                <w:color w:val="000000"/>
                <w:kern w:val="0"/>
                <w:sz w:val="24"/>
              </w:rPr>
              <w:t>声明与承诺、目录</w:t>
            </w:r>
          </w:p>
        </w:tc>
        <w:tc>
          <w:tcPr>
            <w:tcW w:w="321"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c>
          <w:tcPr>
            <w:tcW w:w="275"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r>
      <w:tr w:rsidR="0090693F" w:rsidTr="0090693F">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left"/>
              <w:rPr>
                <w:rFonts w:ascii="仿宋_GB2312" w:cs="Times New Roman"/>
                <w:color w:val="000000"/>
                <w:kern w:val="0"/>
                <w:sz w:val="24"/>
                <w:szCs w:val="24"/>
              </w:rPr>
            </w:pPr>
          </w:p>
        </w:tc>
        <w:tc>
          <w:tcPr>
            <w:tcW w:w="3282" w:type="pct"/>
            <w:tcBorders>
              <w:top w:val="nil"/>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color w:val="000000"/>
                <w:kern w:val="0"/>
                <w:sz w:val="24"/>
              </w:rPr>
            </w:pPr>
            <w:r>
              <w:rPr>
                <w:rFonts w:ascii="仿宋_GB2312" w:hint="eastAsia"/>
                <w:color w:val="000000"/>
                <w:kern w:val="0"/>
                <w:sz w:val="24"/>
              </w:rPr>
              <w:t>在按照M/DM-0进行披露的基础上，新增如下承诺：</w:t>
            </w:r>
          </w:p>
          <w:p w:rsidR="0090693F" w:rsidRDefault="0090693F" w:rsidP="0090693F">
            <w:pPr>
              <w:widowControl/>
              <w:adjustRightInd w:val="0"/>
              <w:snapToGrid w:val="0"/>
              <w:spacing w:line="240" w:lineRule="auto"/>
              <w:ind w:firstLineChars="0" w:firstLine="0"/>
              <w:rPr>
                <w:rFonts w:ascii="仿宋_GB2312"/>
                <w:color w:val="000000"/>
                <w:kern w:val="0"/>
                <w:sz w:val="24"/>
              </w:rPr>
            </w:pPr>
            <w:r>
              <w:rPr>
                <w:rFonts w:ascii="仿宋_GB2312" w:hint="eastAsia"/>
                <w:color w:val="000000"/>
                <w:kern w:val="0"/>
                <w:sz w:val="24"/>
              </w:rPr>
              <w:t>本次增发为原债务融资工具_____项下新增发行，本增发公告/增发定向说明仅披露企业基本情况、财务状况等必要信息，有关含权条款、承诺性条款、投资者保护机制、受托管理人及持有人会议相关机制安排、风险及违约处置约定、信用增进情况以及其他主体职责条款同原债务融资工具保持一致。</w:t>
            </w:r>
          </w:p>
        </w:tc>
        <w:tc>
          <w:tcPr>
            <w:tcW w:w="321"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c>
          <w:tcPr>
            <w:tcW w:w="275"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r>
      <w:tr w:rsidR="0090693F" w:rsidTr="0090693F">
        <w:trPr>
          <w:trHeight w:val="270"/>
          <w:jc w:val="center"/>
        </w:trPr>
        <w:tc>
          <w:tcPr>
            <w:tcW w:w="1122" w:type="pct"/>
            <w:vMerge w:val="restart"/>
            <w:tcBorders>
              <w:top w:val="single" w:sz="4" w:space="0" w:color="auto"/>
              <w:left w:val="single" w:sz="4" w:space="0" w:color="auto"/>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center"/>
              <w:rPr>
                <w:rFonts w:ascii="仿宋_GB2312"/>
                <w:color w:val="000000"/>
                <w:kern w:val="0"/>
                <w:sz w:val="24"/>
              </w:rPr>
            </w:pPr>
            <w:r>
              <w:rPr>
                <w:rFonts w:ascii="仿宋_GB2312" w:hint="eastAsia"/>
                <w:color w:val="000000"/>
                <w:kern w:val="0"/>
                <w:sz w:val="24"/>
              </w:rPr>
              <w:t>ZF-G/DS-1</w:t>
            </w:r>
          </w:p>
        </w:tc>
        <w:tc>
          <w:tcPr>
            <w:tcW w:w="3282" w:type="pct"/>
            <w:tcBorders>
              <w:top w:val="single" w:sz="4" w:space="0" w:color="auto"/>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b/>
                <w:color w:val="000000"/>
                <w:kern w:val="0"/>
                <w:sz w:val="24"/>
              </w:rPr>
            </w:pPr>
            <w:r>
              <w:rPr>
                <w:rFonts w:ascii="仿宋_GB2312" w:hint="eastAsia"/>
                <w:b/>
                <w:color w:val="000000"/>
                <w:kern w:val="0"/>
                <w:sz w:val="24"/>
              </w:rPr>
              <w:t>第一章 释义</w:t>
            </w:r>
          </w:p>
        </w:tc>
        <w:tc>
          <w:tcPr>
            <w:tcW w:w="321"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c>
          <w:tcPr>
            <w:tcW w:w="275"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r>
      <w:tr w:rsidR="0090693F" w:rsidTr="0090693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left"/>
              <w:rPr>
                <w:rFonts w:ascii="仿宋_GB2312" w:cs="Times New Roman"/>
                <w:color w:val="000000"/>
                <w:kern w:val="0"/>
                <w:sz w:val="24"/>
                <w:szCs w:val="24"/>
              </w:rPr>
            </w:pPr>
          </w:p>
        </w:tc>
        <w:tc>
          <w:tcPr>
            <w:tcW w:w="3282" w:type="pct"/>
            <w:tcBorders>
              <w:top w:val="single" w:sz="4" w:space="0" w:color="auto"/>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b/>
                <w:color w:val="000000"/>
                <w:kern w:val="0"/>
                <w:sz w:val="24"/>
              </w:rPr>
            </w:pPr>
            <w:r>
              <w:rPr>
                <w:rFonts w:ascii="仿宋_GB2312" w:hint="eastAsia"/>
                <w:color w:val="000000"/>
                <w:kern w:val="0"/>
                <w:sz w:val="24"/>
              </w:rPr>
              <w:t>对可能引起投资者理解障碍及有特定含义的名称缩写、专有名词等做出释义。</w:t>
            </w:r>
          </w:p>
        </w:tc>
        <w:tc>
          <w:tcPr>
            <w:tcW w:w="321"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c>
          <w:tcPr>
            <w:tcW w:w="275"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r>
      <w:tr w:rsidR="0090693F" w:rsidTr="0090693F">
        <w:trPr>
          <w:trHeight w:val="270"/>
          <w:jc w:val="center"/>
        </w:trPr>
        <w:tc>
          <w:tcPr>
            <w:tcW w:w="1122" w:type="pct"/>
            <w:vMerge w:val="restart"/>
            <w:tcBorders>
              <w:top w:val="single" w:sz="4" w:space="0" w:color="auto"/>
              <w:left w:val="single" w:sz="4" w:space="0" w:color="auto"/>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center"/>
              <w:rPr>
                <w:rFonts w:ascii="仿宋_GB2312"/>
                <w:color w:val="000000"/>
                <w:kern w:val="0"/>
                <w:sz w:val="24"/>
              </w:rPr>
            </w:pPr>
            <w:r>
              <w:rPr>
                <w:rFonts w:ascii="仿宋_GB2312" w:hint="eastAsia"/>
                <w:color w:val="000000"/>
                <w:kern w:val="0"/>
                <w:sz w:val="24"/>
              </w:rPr>
              <w:t>ZF-G/DS-2</w:t>
            </w:r>
          </w:p>
        </w:tc>
        <w:tc>
          <w:tcPr>
            <w:tcW w:w="3282" w:type="pct"/>
            <w:tcBorders>
              <w:top w:val="single" w:sz="4" w:space="0" w:color="auto"/>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b/>
                <w:color w:val="000000"/>
                <w:kern w:val="0"/>
                <w:sz w:val="24"/>
              </w:rPr>
            </w:pPr>
            <w:r>
              <w:rPr>
                <w:rFonts w:ascii="仿宋_GB2312" w:hint="eastAsia"/>
                <w:b/>
                <w:color w:val="000000"/>
                <w:kern w:val="0"/>
                <w:sz w:val="24"/>
              </w:rPr>
              <w:t>第二章 风险提示及说明</w:t>
            </w:r>
          </w:p>
        </w:tc>
        <w:tc>
          <w:tcPr>
            <w:tcW w:w="321"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c>
          <w:tcPr>
            <w:tcW w:w="275"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r>
      <w:tr w:rsidR="0090693F" w:rsidTr="0090693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left"/>
              <w:rPr>
                <w:rFonts w:ascii="仿宋_GB2312" w:cs="Times New Roman"/>
                <w:color w:val="000000"/>
                <w:kern w:val="0"/>
                <w:sz w:val="24"/>
                <w:szCs w:val="24"/>
              </w:rPr>
            </w:pPr>
          </w:p>
        </w:tc>
        <w:tc>
          <w:tcPr>
            <w:tcW w:w="3282" w:type="pct"/>
            <w:tcBorders>
              <w:top w:val="nil"/>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color w:val="000000"/>
                <w:kern w:val="0"/>
                <w:sz w:val="24"/>
              </w:rPr>
            </w:pPr>
            <w:r>
              <w:rPr>
                <w:rFonts w:ascii="仿宋_GB2312" w:hint="eastAsia"/>
                <w:color w:val="000000"/>
                <w:kern w:val="0"/>
                <w:sz w:val="24"/>
              </w:rPr>
              <w:t>比照M/DM-2、F1/F2-2进行披露</w:t>
            </w:r>
          </w:p>
        </w:tc>
        <w:tc>
          <w:tcPr>
            <w:tcW w:w="321"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c>
          <w:tcPr>
            <w:tcW w:w="275"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r>
      <w:tr w:rsidR="0090693F" w:rsidTr="0090693F">
        <w:trPr>
          <w:trHeight w:val="270"/>
          <w:jc w:val="center"/>
        </w:trPr>
        <w:tc>
          <w:tcPr>
            <w:tcW w:w="1122" w:type="pct"/>
            <w:vMerge w:val="restart"/>
            <w:tcBorders>
              <w:top w:val="nil"/>
              <w:left w:val="single" w:sz="4" w:space="0" w:color="auto"/>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center"/>
              <w:rPr>
                <w:rFonts w:ascii="仿宋_GB2312"/>
                <w:color w:val="000000"/>
                <w:kern w:val="0"/>
                <w:sz w:val="24"/>
              </w:rPr>
            </w:pPr>
            <w:r>
              <w:rPr>
                <w:rFonts w:ascii="仿宋_GB2312" w:hint="eastAsia"/>
                <w:color w:val="000000"/>
                <w:kern w:val="0"/>
                <w:sz w:val="24"/>
              </w:rPr>
              <w:t>ZF-G/DS-3</w:t>
            </w:r>
          </w:p>
        </w:tc>
        <w:tc>
          <w:tcPr>
            <w:tcW w:w="3282" w:type="pct"/>
            <w:tcBorders>
              <w:top w:val="nil"/>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b/>
                <w:color w:val="000000"/>
                <w:kern w:val="0"/>
                <w:sz w:val="24"/>
              </w:rPr>
            </w:pPr>
            <w:r>
              <w:rPr>
                <w:rFonts w:ascii="仿宋_GB2312" w:hint="eastAsia"/>
                <w:b/>
                <w:color w:val="000000"/>
                <w:kern w:val="0"/>
                <w:sz w:val="24"/>
              </w:rPr>
              <w:t>第三章 发行条款</w:t>
            </w:r>
          </w:p>
        </w:tc>
        <w:tc>
          <w:tcPr>
            <w:tcW w:w="321"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c>
          <w:tcPr>
            <w:tcW w:w="275"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r>
      <w:tr w:rsidR="0090693F" w:rsidTr="0090693F">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left"/>
              <w:rPr>
                <w:rFonts w:ascii="仿宋_GB2312" w:cs="Times New Roman"/>
                <w:color w:val="000000"/>
                <w:kern w:val="0"/>
                <w:sz w:val="24"/>
                <w:szCs w:val="24"/>
              </w:rPr>
            </w:pPr>
          </w:p>
        </w:tc>
        <w:tc>
          <w:tcPr>
            <w:tcW w:w="3282" w:type="pct"/>
            <w:tcBorders>
              <w:top w:val="nil"/>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color w:val="000000"/>
                <w:kern w:val="0"/>
                <w:sz w:val="24"/>
              </w:rPr>
            </w:pPr>
            <w:r>
              <w:rPr>
                <w:rFonts w:ascii="仿宋_GB2312" w:hint="eastAsia"/>
                <w:color w:val="000000"/>
                <w:kern w:val="0"/>
                <w:sz w:val="24"/>
              </w:rPr>
              <w:t>主要发行条款——债务融资工具的名称，企业全称，主承销商，簿记管理人，受托管理人，企业待偿还债务融资余额，注册通知书文号，注册金额，原债务融资工具发行金额，增发金额，票面利率，期限，面值，发行价格确定方式，发行方式，托管方式，发行对象，承销方式，公告日期、发行日期、起息日期、缴款日，债权债务登记日，上市流通日，付息日，兑付价格，兑付方式，兑付日期，偿付顺序，信用评级机构及信用评级结果（如有），担保情况及其他增信措施（如有），登记和托管机构。</w:t>
            </w:r>
          </w:p>
          <w:p w:rsidR="0090693F" w:rsidRDefault="0090693F" w:rsidP="0090693F">
            <w:pPr>
              <w:widowControl/>
              <w:adjustRightInd w:val="0"/>
              <w:snapToGrid w:val="0"/>
              <w:spacing w:line="240" w:lineRule="auto"/>
              <w:ind w:firstLineChars="0" w:firstLine="0"/>
              <w:rPr>
                <w:rFonts w:ascii="仿宋_GB2312"/>
                <w:color w:val="000000"/>
                <w:kern w:val="0"/>
                <w:sz w:val="24"/>
              </w:rPr>
            </w:pPr>
            <w:r>
              <w:rPr>
                <w:rFonts w:ascii="仿宋_GB2312" w:hint="eastAsia"/>
                <w:color w:val="000000"/>
                <w:kern w:val="0"/>
                <w:sz w:val="24"/>
              </w:rPr>
              <w:t>采取发行金额动态调整机制发行的，应当披露本次增发的基础发行规模和发行金额上限。</w:t>
            </w:r>
          </w:p>
        </w:tc>
        <w:tc>
          <w:tcPr>
            <w:tcW w:w="321"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c>
          <w:tcPr>
            <w:tcW w:w="275"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r>
      <w:tr w:rsidR="0090693F" w:rsidTr="0090693F">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left"/>
              <w:rPr>
                <w:rFonts w:ascii="仿宋_GB2312" w:cs="Times New Roman"/>
                <w:color w:val="000000"/>
                <w:kern w:val="0"/>
                <w:sz w:val="24"/>
                <w:szCs w:val="24"/>
              </w:rPr>
            </w:pPr>
          </w:p>
        </w:tc>
        <w:tc>
          <w:tcPr>
            <w:tcW w:w="3282" w:type="pct"/>
            <w:tcBorders>
              <w:top w:val="single" w:sz="4" w:space="0" w:color="auto"/>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b/>
                <w:color w:val="000000"/>
                <w:kern w:val="0"/>
                <w:sz w:val="24"/>
              </w:rPr>
            </w:pPr>
            <w:r>
              <w:rPr>
                <w:rFonts w:ascii="仿宋_GB2312" w:hint="eastAsia"/>
                <w:color w:val="000000"/>
                <w:kern w:val="0"/>
                <w:sz w:val="24"/>
              </w:rPr>
              <w:t>增发安排-债券增发、登记托管结算及上市流通安排，包括但不限于簿记建档、招标（如有）、分销、缴款、结算等。</w:t>
            </w:r>
          </w:p>
        </w:tc>
        <w:tc>
          <w:tcPr>
            <w:tcW w:w="321"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c>
          <w:tcPr>
            <w:tcW w:w="275"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r>
      <w:tr w:rsidR="0090693F" w:rsidTr="0090693F">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left"/>
              <w:rPr>
                <w:rFonts w:ascii="仿宋_GB2312" w:cs="Times New Roman"/>
                <w:color w:val="000000"/>
                <w:kern w:val="0"/>
                <w:sz w:val="24"/>
                <w:szCs w:val="24"/>
              </w:rPr>
            </w:pPr>
          </w:p>
        </w:tc>
        <w:tc>
          <w:tcPr>
            <w:tcW w:w="3282" w:type="pct"/>
            <w:tcBorders>
              <w:top w:val="single" w:sz="4" w:space="0" w:color="auto"/>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b/>
                <w:color w:val="000000"/>
                <w:kern w:val="0"/>
                <w:sz w:val="24"/>
              </w:rPr>
            </w:pPr>
            <w:r>
              <w:rPr>
                <w:rFonts w:ascii="仿宋_GB2312" w:hint="eastAsia"/>
                <w:color w:val="000000"/>
                <w:kern w:val="0"/>
                <w:sz w:val="24"/>
              </w:rPr>
              <w:t>招标发行的，应披露投标人、招标总额、招标标的、招标日。增发安排——招标发行的，应披露公告日、招投标系统、招投标方式、投标人投标路径、招标系统参数设置、招投标时间、标书和标位、应急投标、中标原则、分销安排、缴款和结算安排、登记托管安排、上市流通安排。</w:t>
            </w:r>
          </w:p>
        </w:tc>
        <w:tc>
          <w:tcPr>
            <w:tcW w:w="321"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c>
          <w:tcPr>
            <w:tcW w:w="275"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r>
      <w:tr w:rsidR="0090693F" w:rsidTr="0090693F">
        <w:trPr>
          <w:trHeight w:val="270"/>
          <w:jc w:val="center"/>
        </w:trPr>
        <w:tc>
          <w:tcPr>
            <w:tcW w:w="1122" w:type="pct"/>
            <w:vMerge w:val="restart"/>
            <w:tcBorders>
              <w:top w:val="nil"/>
              <w:left w:val="single" w:sz="4" w:space="0" w:color="auto"/>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center"/>
              <w:rPr>
                <w:rFonts w:ascii="仿宋_GB2312"/>
                <w:b/>
                <w:color w:val="000000"/>
                <w:kern w:val="0"/>
                <w:sz w:val="24"/>
              </w:rPr>
            </w:pPr>
            <w:r>
              <w:rPr>
                <w:rFonts w:ascii="仿宋_GB2312" w:hint="eastAsia"/>
                <w:color w:val="000000"/>
                <w:kern w:val="0"/>
                <w:sz w:val="24"/>
              </w:rPr>
              <w:t>ZF-G/DS</w:t>
            </w:r>
          </w:p>
        </w:tc>
        <w:tc>
          <w:tcPr>
            <w:tcW w:w="3282" w:type="pct"/>
            <w:tcBorders>
              <w:top w:val="single" w:sz="4" w:space="0" w:color="auto"/>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b/>
                <w:color w:val="000000"/>
                <w:kern w:val="0"/>
                <w:sz w:val="24"/>
              </w:rPr>
            </w:pPr>
            <w:r>
              <w:rPr>
                <w:rFonts w:ascii="仿宋_GB2312" w:hint="eastAsia"/>
                <w:b/>
                <w:color w:val="000000"/>
                <w:kern w:val="0"/>
                <w:sz w:val="24"/>
              </w:rPr>
              <w:t>其他要求</w:t>
            </w:r>
          </w:p>
        </w:tc>
        <w:tc>
          <w:tcPr>
            <w:tcW w:w="321"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c>
          <w:tcPr>
            <w:tcW w:w="275"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r>
      <w:tr w:rsidR="0090693F" w:rsidTr="0090693F">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left"/>
              <w:rPr>
                <w:rFonts w:ascii="仿宋_GB2312" w:cs="Times New Roman"/>
                <w:b/>
                <w:color w:val="000000"/>
                <w:kern w:val="0"/>
                <w:sz w:val="24"/>
                <w:szCs w:val="24"/>
              </w:rPr>
            </w:pPr>
          </w:p>
        </w:tc>
        <w:tc>
          <w:tcPr>
            <w:tcW w:w="3282" w:type="pct"/>
            <w:tcBorders>
              <w:top w:val="single" w:sz="4" w:space="0" w:color="auto"/>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b/>
                <w:color w:val="000000"/>
                <w:kern w:val="0"/>
                <w:sz w:val="24"/>
              </w:rPr>
            </w:pPr>
            <w:r>
              <w:rPr>
                <w:rFonts w:ascii="仿宋_GB2312" w:hint="eastAsia"/>
                <w:color w:val="000000"/>
                <w:kern w:val="0"/>
                <w:sz w:val="24"/>
              </w:rPr>
              <w:t>本增发公告/增发定向说明的其他内容需按照表格</w:t>
            </w:r>
            <w:r>
              <w:rPr>
                <w:rFonts w:ascii="仿宋_GB2312" w:hint="eastAsia"/>
                <w:color w:val="000000"/>
                <w:kern w:val="0"/>
                <w:sz w:val="24"/>
              </w:rPr>
              <w:lastRenderedPageBreak/>
              <w:t>体系M系列表、DM系列表、DX系列表相关章节要求进行披露。</w:t>
            </w:r>
          </w:p>
        </w:tc>
        <w:tc>
          <w:tcPr>
            <w:tcW w:w="321"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c>
          <w:tcPr>
            <w:tcW w:w="275"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r>
      <w:tr w:rsidR="0090693F" w:rsidTr="0090693F">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left"/>
              <w:rPr>
                <w:rFonts w:ascii="仿宋_GB2312" w:cs="Times New Roman"/>
                <w:b/>
                <w:color w:val="000000"/>
                <w:kern w:val="0"/>
                <w:sz w:val="24"/>
                <w:szCs w:val="24"/>
              </w:rPr>
            </w:pPr>
          </w:p>
        </w:tc>
        <w:tc>
          <w:tcPr>
            <w:tcW w:w="3282" w:type="pct"/>
            <w:tcBorders>
              <w:top w:val="single" w:sz="4" w:space="0" w:color="auto"/>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b/>
                <w:color w:val="000000"/>
                <w:kern w:val="0"/>
                <w:sz w:val="24"/>
              </w:rPr>
            </w:pPr>
            <w:r>
              <w:rPr>
                <w:rFonts w:ascii="仿宋_GB2312" w:hint="eastAsia"/>
                <w:color w:val="000000"/>
                <w:kern w:val="0"/>
                <w:sz w:val="24"/>
              </w:rPr>
              <w:t>本增发公告/增发定向说明</w:t>
            </w:r>
            <w:r>
              <w:rPr>
                <w:rFonts w:ascii="仿宋_GB2312" w:hint="eastAsia"/>
                <w:bCs/>
                <w:kern w:val="0"/>
                <w:sz w:val="24"/>
              </w:rPr>
              <w:t>中，</w:t>
            </w:r>
            <w:r>
              <w:rPr>
                <w:rFonts w:ascii="仿宋_GB2312" w:hint="eastAsia"/>
                <w:color w:val="000000"/>
                <w:kern w:val="0"/>
                <w:sz w:val="24"/>
              </w:rPr>
              <w:t>含权条款、承诺性条款、投资者保护机制、受托管理人及持有人会议相关机制安排、风险及违约处置约定、信用增进情况以及</w:t>
            </w:r>
            <w:r>
              <w:rPr>
                <w:rFonts w:ascii="仿宋_GB2312" w:hint="eastAsia"/>
                <w:kern w:val="0"/>
                <w:sz w:val="24"/>
              </w:rPr>
              <w:t>其他主体职责等条款均</w:t>
            </w:r>
            <w:r>
              <w:rPr>
                <w:rFonts w:ascii="仿宋_GB2312" w:hint="eastAsia"/>
                <w:bCs/>
                <w:kern w:val="0"/>
                <w:sz w:val="24"/>
              </w:rPr>
              <w:t>与原债务融资工具保持一致。</w:t>
            </w:r>
            <w:r>
              <w:rPr>
                <w:rFonts w:ascii="仿宋_GB2312" w:hint="eastAsia"/>
                <w:color w:val="000000"/>
                <w:kern w:val="0"/>
                <w:sz w:val="24"/>
              </w:rPr>
              <w:t>本增发公告/增发定向说明</w:t>
            </w:r>
            <w:r>
              <w:rPr>
                <w:rFonts w:ascii="仿宋_GB2312" w:hint="eastAsia"/>
                <w:color w:val="000000"/>
                <w:kern w:val="0"/>
                <w:sz w:val="24"/>
                <w:szCs w:val="18"/>
              </w:rPr>
              <w:t>可参考和引用原债务融资工具募集说明书、定向募集说明书、定向协议或当期债务融资工具其他已披露增发公告/增发定向说明的有关内容。</w:t>
            </w:r>
          </w:p>
        </w:tc>
        <w:tc>
          <w:tcPr>
            <w:tcW w:w="321"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c>
          <w:tcPr>
            <w:tcW w:w="275"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r>
      <w:tr w:rsidR="0090693F" w:rsidTr="0090693F">
        <w:trPr>
          <w:trHeight w:val="270"/>
          <w:jc w:val="center"/>
        </w:trPr>
        <w:tc>
          <w:tcPr>
            <w:tcW w:w="1122" w:type="pct"/>
            <w:tcBorders>
              <w:top w:val="nil"/>
              <w:left w:val="single" w:sz="4" w:space="0" w:color="auto"/>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jc w:val="center"/>
              <w:rPr>
                <w:rFonts w:ascii="仿宋_GB2312"/>
                <w:b/>
                <w:color w:val="000000"/>
                <w:kern w:val="0"/>
                <w:sz w:val="24"/>
              </w:rPr>
            </w:pPr>
            <w:r>
              <w:rPr>
                <w:rFonts w:ascii="仿宋_GB2312" w:hint="eastAsia"/>
                <w:b/>
                <w:color w:val="000000"/>
                <w:kern w:val="0"/>
                <w:sz w:val="24"/>
              </w:rPr>
              <w:t>备注</w:t>
            </w:r>
          </w:p>
        </w:tc>
        <w:tc>
          <w:tcPr>
            <w:tcW w:w="3282" w:type="pct"/>
            <w:tcBorders>
              <w:top w:val="single" w:sz="4" w:space="0" w:color="auto"/>
              <w:left w:val="nil"/>
              <w:bottom w:val="single" w:sz="4" w:space="0" w:color="auto"/>
              <w:right w:val="single" w:sz="4" w:space="0" w:color="auto"/>
            </w:tcBorders>
            <w:vAlign w:val="center"/>
            <w:hideMark/>
          </w:tcPr>
          <w:p w:rsidR="0090693F" w:rsidRDefault="0090693F" w:rsidP="0090693F">
            <w:pPr>
              <w:widowControl/>
              <w:adjustRightInd w:val="0"/>
              <w:snapToGrid w:val="0"/>
              <w:spacing w:line="240" w:lineRule="auto"/>
              <w:ind w:firstLineChars="0" w:firstLine="0"/>
              <w:rPr>
                <w:rFonts w:ascii="仿宋_GB2312"/>
                <w:color w:val="000000"/>
                <w:kern w:val="0"/>
                <w:sz w:val="24"/>
              </w:rPr>
            </w:pPr>
            <w:r>
              <w:rPr>
                <w:rFonts w:ascii="仿宋_GB2312" w:hint="eastAsia"/>
                <w:color w:val="000000"/>
                <w:kern w:val="0"/>
                <w:sz w:val="24"/>
              </w:rPr>
              <w:t>增发业务的其他信息披露要求，参照协会注册发行自律规则及表格体系相关章节。</w:t>
            </w:r>
          </w:p>
        </w:tc>
        <w:tc>
          <w:tcPr>
            <w:tcW w:w="321"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c>
          <w:tcPr>
            <w:tcW w:w="275" w:type="pct"/>
            <w:tcBorders>
              <w:top w:val="nil"/>
              <w:left w:val="nil"/>
              <w:bottom w:val="single" w:sz="4" w:space="0" w:color="auto"/>
              <w:right w:val="single" w:sz="4" w:space="0" w:color="auto"/>
            </w:tcBorders>
            <w:vAlign w:val="center"/>
          </w:tcPr>
          <w:p w:rsidR="0090693F" w:rsidRDefault="0090693F" w:rsidP="0090693F">
            <w:pPr>
              <w:widowControl/>
              <w:adjustRightInd w:val="0"/>
              <w:snapToGrid w:val="0"/>
              <w:spacing w:line="240" w:lineRule="auto"/>
              <w:ind w:firstLineChars="0" w:firstLine="0"/>
              <w:rPr>
                <w:rFonts w:ascii="仿宋_GB2312"/>
                <w:b/>
                <w:color w:val="000000"/>
                <w:kern w:val="0"/>
                <w:sz w:val="24"/>
              </w:rPr>
            </w:pPr>
          </w:p>
        </w:tc>
      </w:tr>
    </w:tbl>
    <w:p w:rsidR="0090693F" w:rsidRDefault="0090693F" w:rsidP="0090693F">
      <w:pPr>
        <w:widowControl/>
        <w:adjustRightInd w:val="0"/>
        <w:snapToGrid w:val="0"/>
        <w:spacing w:line="240" w:lineRule="auto"/>
        <w:ind w:firstLineChars="0" w:firstLine="0"/>
        <w:rPr>
          <w:rFonts w:ascii="仿宋_GB2312"/>
          <w:b/>
          <w:kern w:val="0"/>
          <w:sz w:val="24"/>
        </w:rPr>
      </w:pPr>
      <w:r>
        <w:rPr>
          <w:rFonts w:ascii="仿宋_GB2312" w:hint="eastAsia"/>
          <w:b/>
          <w:kern w:val="0"/>
          <w:sz w:val="24"/>
        </w:rPr>
        <w:t>说明：</w:t>
      </w:r>
    </w:p>
    <w:p w:rsidR="0090693F" w:rsidRDefault="0090693F" w:rsidP="0090693F">
      <w:pPr>
        <w:widowControl/>
        <w:adjustRightInd w:val="0"/>
        <w:snapToGrid w:val="0"/>
        <w:spacing w:line="240" w:lineRule="auto"/>
        <w:ind w:firstLine="480"/>
        <w:rPr>
          <w:rFonts w:ascii="仿宋_GB2312"/>
          <w:bCs/>
          <w:kern w:val="0"/>
          <w:sz w:val="24"/>
        </w:rPr>
      </w:pPr>
      <w:r>
        <w:rPr>
          <w:rFonts w:ascii="仿宋_GB2312" w:hint="eastAsia"/>
          <w:kern w:val="0"/>
          <w:sz w:val="24"/>
        </w:rPr>
        <w:t>1、</w:t>
      </w:r>
      <w:r>
        <w:rPr>
          <w:rFonts w:ascii="仿宋_GB2312" w:hint="eastAsia"/>
          <w:bCs/>
          <w:kern w:val="0"/>
          <w:sz w:val="24"/>
        </w:rPr>
        <w:t>债务融资工具增发是指发行人针对此前发行的某一期债务融资工具（简称“原债务融资工具”），在其存续期内以相同的要素（</w:t>
      </w:r>
      <w:r>
        <w:rPr>
          <w:rFonts w:ascii="仿宋_GB2312" w:hint="eastAsia"/>
          <w:color w:val="000000"/>
          <w:kern w:val="0"/>
          <w:sz w:val="24"/>
          <w:szCs w:val="18"/>
        </w:rPr>
        <w:t>债务融资工具名称</w:t>
      </w:r>
      <w:r>
        <w:rPr>
          <w:rFonts w:ascii="仿宋_GB2312" w:hint="eastAsia"/>
          <w:bCs/>
          <w:kern w:val="0"/>
          <w:sz w:val="24"/>
        </w:rPr>
        <w:t>、到期日、票面利率等）发行一期新</w:t>
      </w:r>
      <w:r>
        <w:rPr>
          <w:rFonts w:ascii="仿宋_GB2312" w:hint="eastAsia"/>
          <w:color w:val="000000"/>
          <w:kern w:val="0"/>
          <w:sz w:val="24"/>
          <w:szCs w:val="18"/>
        </w:rPr>
        <w:t>债务融资工具</w:t>
      </w:r>
      <w:r>
        <w:rPr>
          <w:rFonts w:ascii="仿宋_GB2312" w:hint="eastAsia"/>
          <w:bCs/>
          <w:kern w:val="0"/>
          <w:sz w:val="24"/>
        </w:rPr>
        <w:t>（简称“增发债务融资工具”）。增发债务融资工具债券简称代码等要素与原债务融资工具保持一致，并与原债务融资工具合并托管。</w:t>
      </w:r>
    </w:p>
    <w:p w:rsidR="0090693F" w:rsidRDefault="0090693F" w:rsidP="0090693F">
      <w:pPr>
        <w:widowControl/>
        <w:adjustRightInd w:val="0"/>
        <w:snapToGrid w:val="0"/>
        <w:spacing w:line="240" w:lineRule="auto"/>
        <w:ind w:firstLine="480"/>
        <w:rPr>
          <w:rFonts w:ascii="仿宋_GB2312"/>
          <w:bCs/>
          <w:kern w:val="0"/>
          <w:sz w:val="24"/>
        </w:rPr>
      </w:pPr>
      <w:r>
        <w:rPr>
          <w:rFonts w:ascii="仿宋_GB2312" w:hint="eastAsia"/>
          <w:bCs/>
          <w:kern w:val="0"/>
          <w:sz w:val="24"/>
        </w:rPr>
        <w:t>2、</w:t>
      </w:r>
      <w:r>
        <w:rPr>
          <w:rFonts w:ascii="仿宋_GB2312" w:hint="eastAsia"/>
          <w:color w:val="000000"/>
          <w:kern w:val="0"/>
          <w:sz w:val="24"/>
          <w:szCs w:val="18"/>
        </w:rPr>
        <w:t>债务融资工具增发机制适用于财务经营稳健、信息披露成熟、发行存续规模较大、发行安排相对稳定、风险控制能力较强的成熟发行人。</w:t>
      </w:r>
    </w:p>
    <w:p w:rsidR="0090693F" w:rsidRDefault="0090693F" w:rsidP="0090693F">
      <w:pPr>
        <w:widowControl/>
        <w:adjustRightInd w:val="0"/>
        <w:snapToGrid w:val="0"/>
        <w:spacing w:line="240" w:lineRule="auto"/>
        <w:ind w:firstLine="480"/>
        <w:rPr>
          <w:rFonts w:ascii="仿宋_GB2312"/>
          <w:color w:val="000000"/>
          <w:kern w:val="0"/>
          <w:sz w:val="24"/>
          <w:szCs w:val="18"/>
        </w:rPr>
      </w:pPr>
      <w:r>
        <w:rPr>
          <w:rFonts w:ascii="仿宋_GB2312" w:hint="eastAsia"/>
          <w:color w:val="000000"/>
          <w:kern w:val="0"/>
          <w:sz w:val="24"/>
          <w:szCs w:val="18"/>
        </w:rPr>
        <w:t>3、原债务融资工具应为一年期以上中长期品种。</w:t>
      </w:r>
    </w:p>
    <w:p w:rsidR="00906D70" w:rsidRPr="0090693F" w:rsidRDefault="00906D70" w:rsidP="0090693F">
      <w:pPr>
        <w:adjustRightInd w:val="0"/>
        <w:snapToGrid w:val="0"/>
        <w:ind w:firstLine="600"/>
      </w:pPr>
    </w:p>
    <w:sectPr w:rsidR="00906D70" w:rsidRPr="0090693F" w:rsidSect="00FE430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7D9" w:rsidRDefault="006137D9" w:rsidP="00C14272">
      <w:pPr>
        <w:spacing w:line="240" w:lineRule="auto"/>
        <w:ind w:firstLine="600"/>
      </w:pPr>
      <w:r>
        <w:separator/>
      </w:r>
    </w:p>
  </w:endnote>
  <w:endnote w:type="continuationSeparator" w:id="1">
    <w:p w:rsidR="006137D9" w:rsidRDefault="006137D9" w:rsidP="00C14272">
      <w:pPr>
        <w:spacing w:line="240" w:lineRule="auto"/>
        <w:ind w:firstLine="60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272" w:rsidRDefault="00C14272">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272" w:rsidRDefault="00C14272">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272" w:rsidRDefault="00C14272">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7D9" w:rsidRDefault="006137D9" w:rsidP="00C14272">
      <w:pPr>
        <w:spacing w:line="240" w:lineRule="auto"/>
        <w:ind w:firstLine="600"/>
      </w:pPr>
      <w:r>
        <w:separator/>
      </w:r>
    </w:p>
  </w:footnote>
  <w:footnote w:type="continuationSeparator" w:id="1">
    <w:p w:rsidR="006137D9" w:rsidRDefault="006137D9" w:rsidP="00C14272">
      <w:pPr>
        <w:spacing w:line="240" w:lineRule="auto"/>
        <w:ind w:firstLine="600"/>
      </w:pPr>
      <w:r>
        <w:continuationSeparator/>
      </w:r>
    </w:p>
  </w:footnote>
  <w:footnote w:id="2">
    <w:p w:rsidR="0090693F" w:rsidRDefault="0090693F" w:rsidP="0090693F">
      <w:pPr>
        <w:pStyle w:val="a6"/>
        <w:spacing w:line="240" w:lineRule="auto"/>
        <w:ind w:firstLine="400"/>
      </w:pPr>
      <w:r>
        <w:rPr>
          <w:rStyle w:val="a7"/>
          <w:sz w:val="20"/>
          <w:szCs w:val="20"/>
        </w:rPr>
        <w:footnoteRef/>
      </w:r>
      <w:r>
        <w:rPr>
          <w:rFonts w:hint="eastAsia"/>
          <w:sz w:val="20"/>
          <w:szCs w:val="20"/>
        </w:rPr>
        <w:t>债务融资工具增发是指发行人针对此前发行的某一期债务融资工具（简称“原债务融资工具”），在其存续期内以相同的要素（债务融资工具名称、到期日、票面利率等）发行一期新债务融资工具（简称“增发债务融资工具”）。</w:t>
      </w:r>
      <w:r>
        <w:rPr>
          <w:sz w:val="20"/>
          <w:szCs w:val="20"/>
        </w:rPr>
        <w:t>ZF-M/DM/DX</w:t>
      </w:r>
      <w:r>
        <w:rPr>
          <w:rFonts w:hint="eastAsia"/>
          <w:sz w:val="20"/>
          <w:szCs w:val="20"/>
        </w:rPr>
        <w:t>表适用于原债务融资工具，本表格未涉及内容应按照表格体系</w:t>
      </w:r>
      <w:r>
        <w:rPr>
          <w:sz w:val="20"/>
          <w:szCs w:val="20"/>
        </w:rPr>
        <w:t>M</w:t>
      </w:r>
      <w:r>
        <w:rPr>
          <w:rFonts w:hint="eastAsia"/>
          <w:sz w:val="20"/>
          <w:szCs w:val="20"/>
        </w:rPr>
        <w:t>系列表、</w:t>
      </w:r>
      <w:r>
        <w:rPr>
          <w:sz w:val="20"/>
          <w:szCs w:val="20"/>
        </w:rPr>
        <w:t>DM</w:t>
      </w:r>
      <w:r>
        <w:rPr>
          <w:rFonts w:hint="eastAsia"/>
          <w:sz w:val="20"/>
          <w:szCs w:val="20"/>
        </w:rPr>
        <w:t>系列表和</w:t>
      </w:r>
      <w:r>
        <w:rPr>
          <w:sz w:val="20"/>
          <w:szCs w:val="20"/>
        </w:rPr>
        <w:t>DX</w:t>
      </w:r>
      <w:r>
        <w:rPr>
          <w:rFonts w:hint="eastAsia"/>
          <w:sz w:val="20"/>
          <w:szCs w:val="20"/>
        </w:rPr>
        <w:t>系列表要求进行披露。</w:t>
      </w:r>
    </w:p>
  </w:footnote>
  <w:footnote w:id="3">
    <w:p w:rsidR="0090693F" w:rsidRDefault="0090693F" w:rsidP="0090693F">
      <w:pPr>
        <w:pStyle w:val="a6"/>
        <w:spacing w:line="240" w:lineRule="auto"/>
        <w:ind w:firstLine="400"/>
      </w:pPr>
      <w:r>
        <w:rPr>
          <w:rStyle w:val="a7"/>
          <w:sz w:val="20"/>
          <w:szCs w:val="20"/>
        </w:rPr>
        <w:footnoteRef/>
      </w:r>
      <w:r>
        <w:rPr>
          <w:sz w:val="20"/>
          <w:szCs w:val="20"/>
        </w:rPr>
        <w:t xml:space="preserve"> ZF-G/DS</w:t>
      </w:r>
      <w:r>
        <w:rPr>
          <w:rFonts w:hint="eastAsia"/>
          <w:sz w:val="20"/>
          <w:szCs w:val="20"/>
        </w:rPr>
        <w:t>表适用于增发债务融资工具。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272" w:rsidRDefault="00C14272">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272" w:rsidRDefault="00C14272" w:rsidP="005F500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272" w:rsidRDefault="00C14272">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3D4B"/>
    <w:rsid w:val="00030F3F"/>
    <w:rsid w:val="000C4C75"/>
    <w:rsid w:val="000E4633"/>
    <w:rsid w:val="00230AF1"/>
    <w:rsid w:val="00260D44"/>
    <w:rsid w:val="002C1978"/>
    <w:rsid w:val="002D4D1B"/>
    <w:rsid w:val="003050E0"/>
    <w:rsid w:val="00515468"/>
    <w:rsid w:val="00573921"/>
    <w:rsid w:val="005F4759"/>
    <w:rsid w:val="005F5003"/>
    <w:rsid w:val="006137D9"/>
    <w:rsid w:val="00742E18"/>
    <w:rsid w:val="00893D4B"/>
    <w:rsid w:val="008B17D3"/>
    <w:rsid w:val="0090693F"/>
    <w:rsid w:val="00906D70"/>
    <w:rsid w:val="00AA0024"/>
    <w:rsid w:val="00AA7B4D"/>
    <w:rsid w:val="00AE6C3C"/>
    <w:rsid w:val="00B80329"/>
    <w:rsid w:val="00C14272"/>
    <w:rsid w:val="00C47C7E"/>
    <w:rsid w:val="00DD4A7C"/>
    <w:rsid w:val="00DE2E2A"/>
    <w:rsid w:val="00E50B14"/>
    <w:rsid w:val="00E77A9E"/>
    <w:rsid w:val="00F12F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4B"/>
    <w:pPr>
      <w:widowControl w:val="0"/>
      <w:contextualSpacing/>
      <w:jc w:val="both"/>
    </w:pPr>
    <w:rPr>
      <w:rFonts w:ascii="Times New Roman" w:eastAsia="仿宋_GB2312" w:hAnsi="Times New Roman"/>
      <w:sz w:val="30"/>
    </w:rPr>
  </w:style>
  <w:style w:type="paragraph" w:styleId="3">
    <w:name w:val="heading 3"/>
    <w:basedOn w:val="a"/>
    <w:next w:val="a"/>
    <w:link w:val="3Char"/>
    <w:uiPriority w:val="9"/>
    <w:unhideWhenUsed/>
    <w:qFormat/>
    <w:rsid w:val="00893D4B"/>
    <w:pPr>
      <w:keepNext/>
      <w:keepLines/>
      <w:spacing w:before="260" w:after="260" w:line="416" w:lineRule="atLeast"/>
      <w:outlineLvl w:val="2"/>
    </w:pPr>
    <w:rPr>
      <w:b/>
      <w:bCs/>
      <w:sz w:val="32"/>
      <w:szCs w:val="32"/>
    </w:rPr>
  </w:style>
  <w:style w:type="paragraph" w:styleId="4">
    <w:name w:val="heading 4"/>
    <w:basedOn w:val="a"/>
    <w:next w:val="a"/>
    <w:link w:val="4Char"/>
    <w:uiPriority w:val="9"/>
    <w:semiHidden/>
    <w:unhideWhenUsed/>
    <w:qFormat/>
    <w:rsid w:val="00893D4B"/>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93D4B"/>
    <w:rPr>
      <w:rFonts w:ascii="Times New Roman" w:eastAsia="仿宋_GB2312" w:hAnsi="Times New Roman"/>
      <w:b/>
      <w:bCs/>
      <w:sz w:val="32"/>
      <w:szCs w:val="32"/>
    </w:rPr>
  </w:style>
  <w:style w:type="character" w:customStyle="1" w:styleId="4Char">
    <w:name w:val="标题 4 Char"/>
    <w:basedOn w:val="a0"/>
    <w:link w:val="4"/>
    <w:uiPriority w:val="9"/>
    <w:semiHidden/>
    <w:rsid w:val="00893D4B"/>
    <w:rPr>
      <w:rFonts w:asciiTheme="majorHAnsi" w:eastAsiaTheme="majorEastAsia" w:hAnsiTheme="majorHAnsi" w:cstheme="majorBidi"/>
      <w:b/>
      <w:bCs/>
      <w:sz w:val="28"/>
      <w:szCs w:val="28"/>
    </w:rPr>
  </w:style>
  <w:style w:type="paragraph" w:styleId="a3">
    <w:name w:val="Balloon Text"/>
    <w:basedOn w:val="a"/>
    <w:link w:val="Char"/>
    <w:uiPriority w:val="99"/>
    <w:semiHidden/>
    <w:unhideWhenUsed/>
    <w:rsid w:val="00C47C7E"/>
    <w:pPr>
      <w:spacing w:line="240" w:lineRule="auto"/>
    </w:pPr>
    <w:rPr>
      <w:sz w:val="18"/>
      <w:szCs w:val="18"/>
    </w:rPr>
  </w:style>
  <w:style w:type="character" w:customStyle="1" w:styleId="Char">
    <w:name w:val="批注框文本 Char"/>
    <w:basedOn w:val="a0"/>
    <w:link w:val="a3"/>
    <w:uiPriority w:val="99"/>
    <w:semiHidden/>
    <w:rsid w:val="00C47C7E"/>
    <w:rPr>
      <w:rFonts w:ascii="Times New Roman" w:eastAsia="仿宋_GB2312" w:hAnsi="Times New Roman"/>
      <w:sz w:val="18"/>
      <w:szCs w:val="18"/>
    </w:rPr>
  </w:style>
  <w:style w:type="paragraph" w:styleId="a4">
    <w:name w:val="header"/>
    <w:basedOn w:val="a"/>
    <w:link w:val="Char0"/>
    <w:uiPriority w:val="99"/>
    <w:unhideWhenUsed/>
    <w:rsid w:val="00C1427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C14272"/>
    <w:rPr>
      <w:rFonts w:ascii="Times New Roman" w:eastAsia="仿宋_GB2312" w:hAnsi="Times New Roman"/>
      <w:sz w:val="18"/>
      <w:szCs w:val="18"/>
    </w:rPr>
  </w:style>
  <w:style w:type="paragraph" w:styleId="a5">
    <w:name w:val="footer"/>
    <w:basedOn w:val="a"/>
    <w:link w:val="Char1"/>
    <w:uiPriority w:val="99"/>
    <w:unhideWhenUsed/>
    <w:rsid w:val="00C14272"/>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C14272"/>
    <w:rPr>
      <w:rFonts w:ascii="Times New Roman" w:eastAsia="仿宋_GB2312" w:hAnsi="Times New Roman"/>
      <w:sz w:val="18"/>
      <w:szCs w:val="18"/>
    </w:rPr>
  </w:style>
  <w:style w:type="paragraph" w:styleId="a6">
    <w:name w:val="footnote text"/>
    <w:basedOn w:val="a"/>
    <w:link w:val="Char2"/>
    <w:uiPriority w:val="99"/>
    <w:semiHidden/>
    <w:unhideWhenUsed/>
    <w:rsid w:val="00742E18"/>
    <w:pPr>
      <w:snapToGrid w:val="0"/>
      <w:contextualSpacing w:val="0"/>
      <w:jc w:val="left"/>
    </w:pPr>
    <w:rPr>
      <w:rFonts w:cs="Times New Roman"/>
      <w:sz w:val="18"/>
      <w:szCs w:val="18"/>
    </w:rPr>
  </w:style>
  <w:style w:type="character" w:customStyle="1" w:styleId="Char2">
    <w:name w:val="脚注文本 Char"/>
    <w:basedOn w:val="a0"/>
    <w:link w:val="a6"/>
    <w:uiPriority w:val="99"/>
    <w:semiHidden/>
    <w:rsid w:val="00742E18"/>
    <w:rPr>
      <w:rFonts w:ascii="Times New Roman" w:eastAsia="仿宋_GB2312" w:hAnsi="Times New Roman" w:cs="Times New Roman"/>
      <w:sz w:val="18"/>
      <w:szCs w:val="18"/>
    </w:rPr>
  </w:style>
  <w:style w:type="character" w:styleId="a7">
    <w:name w:val="footnote reference"/>
    <w:basedOn w:val="a0"/>
    <w:uiPriority w:val="99"/>
    <w:semiHidden/>
    <w:unhideWhenUsed/>
    <w:rsid w:val="00742E18"/>
    <w:rPr>
      <w:vertAlign w:val="superscript"/>
    </w:rPr>
  </w:style>
</w:styles>
</file>

<file path=word/webSettings.xml><?xml version="1.0" encoding="utf-8"?>
<w:webSettings xmlns:r="http://schemas.openxmlformats.org/officeDocument/2006/relationships" xmlns:w="http://schemas.openxmlformats.org/wordprocessingml/2006/main">
  <w:divs>
    <w:div w:id="897788292">
      <w:bodyDiv w:val="1"/>
      <w:marLeft w:val="0"/>
      <w:marRight w:val="0"/>
      <w:marTop w:val="0"/>
      <w:marBottom w:val="0"/>
      <w:divBdr>
        <w:top w:val="none" w:sz="0" w:space="0" w:color="auto"/>
        <w:left w:val="none" w:sz="0" w:space="0" w:color="auto"/>
        <w:bottom w:val="none" w:sz="0" w:space="0" w:color="auto"/>
        <w:right w:val="none" w:sz="0" w:space="0" w:color="auto"/>
      </w:divBdr>
    </w:div>
    <w:div w:id="1063211651">
      <w:bodyDiv w:val="1"/>
      <w:marLeft w:val="0"/>
      <w:marRight w:val="0"/>
      <w:marTop w:val="0"/>
      <w:marBottom w:val="0"/>
      <w:divBdr>
        <w:top w:val="none" w:sz="0" w:space="0" w:color="auto"/>
        <w:left w:val="none" w:sz="0" w:space="0" w:color="auto"/>
        <w:bottom w:val="none" w:sz="0" w:space="0" w:color="auto"/>
        <w:right w:val="none" w:sz="0" w:space="0" w:color="auto"/>
      </w:divBdr>
    </w:div>
    <w:div w:id="205202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56DDE-2BDC-45C9-8DDC-4E3212C5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注册办公室</dc:creator>
  <cp:keywords/>
  <dc:description/>
  <cp:lastModifiedBy>未定义</cp:lastModifiedBy>
  <cp:revision>20</cp:revision>
  <cp:lastPrinted>2020-09-25T01:03:00Z</cp:lastPrinted>
  <dcterms:created xsi:type="dcterms:W3CDTF">2020-09-23T14:06:00Z</dcterms:created>
  <dcterms:modified xsi:type="dcterms:W3CDTF">2020-09-25T10:57:00Z</dcterms:modified>
</cp:coreProperties>
</file>